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748D" w14:textId="77777777" w:rsidR="00E84B2A" w:rsidRPr="009D1D0C" w:rsidRDefault="00E84B2A" w:rsidP="002210CA">
      <w:pPr>
        <w:spacing w:line="360" w:lineRule="auto"/>
        <w:rPr>
          <w:rFonts w:ascii="Arial" w:hAnsi="Arial" w:cs="Arial"/>
          <w:b/>
        </w:rPr>
      </w:pPr>
    </w:p>
    <w:p w14:paraId="412F0409" w14:textId="77777777" w:rsidR="00333789" w:rsidRPr="009D1D0C" w:rsidRDefault="00333789" w:rsidP="00E84B2A">
      <w:pPr>
        <w:spacing w:line="360" w:lineRule="auto"/>
        <w:rPr>
          <w:rFonts w:ascii="Arial" w:hAnsi="Arial" w:cs="Arial"/>
          <w:b/>
        </w:rPr>
      </w:pPr>
    </w:p>
    <w:p w14:paraId="34D5748F" w14:textId="04E063C2" w:rsidR="00E84B2A" w:rsidRPr="009D1D0C" w:rsidRDefault="00E84B2A" w:rsidP="00022139">
      <w:pPr>
        <w:rPr>
          <w:rFonts w:ascii="Arial" w:hAnsi="Arial" w:cs="Arial"/>
          <w:b/>
        </w:rPr>
      </w:pPr>
    </w:p>
    <w:p w14:paraId="4CA64F1E" w14:textId="77777777" w:rsidR="004E0A02" w:rsidRPr="00F3508D" w:rsidRDefault="004E0A02" w:rsidP="004E0A02">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4E0A02" w:rsidRPr="008554C4" w14:paraId="4EC9154D" w14:textId="77777777" w:rsidTr="001D2A3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33607EC" w14:textId="77777777" w:rsidR="004E0A02" w:rsidRPr="008554C4" w:rsidRDefault="004E0A02" w:rsidP="001D2A3D">
            <w:pPr>
              <w:spacing w:before="40" w:after="40"/>
              <w:rPr>
                <w:rFonts w:ascii="Arial" w:hAnsi="Arial" w:cs="Arial"/>
                <w:b/>
              </w:rPr>
            </w:pPr>
            <w:r w:rsidRPr="008554C4">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ADAA0EE" w14:textId="280FF6B6" w:rsidR="004E0A02" w:rsidRPr="008554C4" w:rsidRDefault="00B86851" w:rsidP="001D2A3D">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605CAD24" w14:textId="77777777" w:rsidR="004E0A02" w:rsidRPr="008554C4" w:rsidRDefault="004E0A02" w:rsidP="001D2A3D">
            <w:pPr>
              <w:spacing w:before="40" w:after="40"/>
              <w:rPr>
                <w:rFonts w:ascii="Arial" w:hAnsi="Arial" w:cs="Arial"/>
                <w:b/>
              </w:rPr>
            </w:pPr>
            <w:r w:rsidRPr="008554C4">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E6B2075" w14:textId="0377EB6F" w:rsidR="004E0A02" w:rsidRPr="008554C4" w:rsidRDefault="00D85038" w:rsidP="001D2A3D">
            <w:pPr>
              <w:spacing w:before="40" w:after="40"/>
              <w:rPr>
                <w:rFonts w:ascii="Arial" w:hAnsi="Arial" w:cs="Arial"/>
              </w:rPr>
            </w:pPr>
            <w:r w:rsidRPr="008554C4">
              <w:rPr>
                <w:rFonts w:ascii="Arial" w:hAnsi="Arial" w:cs="Arial"/>
              </w:rPr>
              <w:t>Kjris Lund</w:t>
            </w:r>
          </w:p>
        </w:tc>
      </w:tr>
      <w:tr w:rsidR="004E0A02" w:rsidRPr="008554C4" w14:paraId="680BDFCD" w14:textId="77777777" w:rsidTr="001D2A3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342FAED" w14:textId="30789D01" w:rsidR="004E0A02" w:rsidRPr="008554C4" w:rsidRDefault="00B86851" w:rsidP="001D2A3D">
            <w:pPr>
              <w:spacing w:before="40" w:after="40"/>
              <w:rPr>
                <w:rFonts w:ascii="Arial" w:hAnsi="Arial" w:cs="Arial"/>
                <w:b/>
              </w:rPr>
            </w:pPr>
            <w:r>
              <w:rPr>
                <w:rFonts w:ascii="Arial" w:hAnsi="Arial" w:cs="Arial"/>
                <w:b/>
              </w:rPr>
              <w:t>Motion</w:t>
            </w:r>
            <w:r w:rsidR="004E0A02" w:rsidRPr="008554C4">
              <w:rPr>
                <w:rFonts w:ascii="Arial" w:hAnsi="Arial" w:cs="Arial"/>
                <w:b/>
              </w:rPr>
              <w:t xml:space="preserve"> No:</w:t>
            </w:r>
          </w:p>
        </w:tc>
        <w:tc>
          <w:tcPr>
            <w:tcW w:w="2430" w:type="dxa"/>
            <w:tcBorders>
              <w:top w:val="single" w:sz="4" w:space="0" w:color="auto"/>
              <w:left w:val="single" w:sz="4" w:space="0" w:color="auto"/>
              <w:bottom w:val="single" w:sz="4" w:space="0" w:color="auto"/>
              <w:right w:val="single" w:sz="4" w:space="0" w:color="auto"/>
            </w:tcBorders>
            <w:vAlign w:val="center"/>
          </w:tcPr>
          <w:p w14:paraId="0BA1024F" w14:textId="5ABC9AE8" w:rsidR="004E0A02" w:rsidRPr="008554C4" w:rsidRDefault="004E0A02" w:rsidP="001D2A3D">
            <w:pPr>
              <w:spacing w:before="40" w:after="40"/>
              <w:rPr>
                <w:rFonts w:ascii="Arial" w:hAnsi="Arial" w:cs="Arial"/>
                <w:b/>
              </w:rPr>
            </w:pPr>
            <w:r w:rsidRPr="008554C4">
              <w:rPr>
                <w:rFonts w:ascii="Arial" w:hAnsi="Arial" w:cs="Arial"/>
                <w:b/>
              </w:rPr>
              <w:t>FCD2</w:t>
            </w:r>
            <w:r w:rsidR="00077ACA" w:rsidRPr="008554C4">
              <w:rPr>
                <w:rFonts w:ascii="Arial" w:hAnsi="Arial" w:cs="Arial"/>
                <w:b/>
              </w:rPr>
              <w:t>1-</w:t>
            </w:r>
            <w:r w:rsidR="008554C4" w:rsidRPr="008554C4">
              <w:rPr>
                <w:rFonts w:ascii="Arial" w:hAnsi="Arial" w:cs="Arial"/>
                <w:b/>
              </w:rPr>
              <w:t>03</w:t>
            </w:r>
          </w:p>
        </w:tc>
        <w:tc>
          <w:tcPr>
            <w:tcW w:w="1170" w:type="dxa"/>
            <w:tcBorders>
              <w:top w:val="single" w:sz="4" w:space="0" w:color="auto"/>
              <w:left w:val="single" w:sz="4" w:space="0" w:color="auto"/>
              <w:bottom w:val="single" w:sz="4" w:space="0" w:color="auto"/>
              <w:right w:val="single" w:sz="4" w:space="0" w:color="auto"/>
            </w:tcBorders>
            <w:vAlign w:val="center"/>
          </w:tcPr>
          <w:p w14:paraId="3AE24A9F" w14:textId="77777777" w:rsidR="004E0A02" w:rsidRPr="008554C4" w:rsidRDefault="004E0A02" w:rsidP="001D2A3D">
            <w:pPr>
              <w:spacing w:before="40" w:after="40"/>
              <w:ind w:right="-108"/>
              <w:rPr>
                <w:rFonts w:ascii="Arial" w:hAnsi="Arial" w:cs="Arial"/>
              </w:rPr>
            </w:pPr>
            <w:r w:rsidRPr="008554C4">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65578E6" w14:textId="5A50D058" w:rsidR="004E0A02" w:rsidRPr="008554C4" w:rsidRDefault="00D85038" w:rsidP="001D2A3D">
            <w:pPr>
              <w:spacing w:before="40" w:after="40"/>
              <w:rPr>
                <w:rFonts w:ascii="Arial" w:hAnsi="Arial" w:cs="Arial"/>
              </w:rPr>
            </w:pPr>
            <w:r w:rsidRPr="008554C4">
              <w:rPr>
                <w:rFonts w:ascii="Arial" w:hAnsi="Arial" w:cs="Arial"/>
              </w:rPr>
              <w:t>October 6</w:t>
            </w:r>
            <w:r w:rsidR="00077ACA" w:rsidRPr="008554C4">
              <w:rPr>
                <w:rFonts w:ascii="Arial" w:hAnsi="Arial" w:cs="Arial"/>
              </w:rPr>
              <w:t>, 2021</w:t>
            </w:r>
          </w:p>
        </w:tc>
      </w:tr>
    </w:tbl>
    <w:p w14:paraId="2A95A9EB" w14:textId="77777777" w:rsidR="004E0A02" w:rsidRPr="008554C4" w:rsidRDefault="004E0A02" w:rsidP="004E0A02">
      <w:pPr>
        <w:ind w:left="-630"/>
      </w:pPr>
    </w:p>
    <w:p w14:paraId="6176B2ED" w14:textId="77777777" w:rsidR="00022139" w:rsidRPr="008554C4" w:rsidRDefault="00022139" w:rsidP="00D00180">
      <w:pPr>
        <w:rPr>
          <w:rFonts w:ascii="Arial" w:hAnsi="Arial" w:cs="Arial"/>
          <w:b/>
        </w:rPr>
      </w:pPr>
    </w:p>
    <w:p w14:paraId="5F3A4EA0" w14:textId="77777777" w:rsidR="004D1396" w:rsidRPr="008554C4" w:rsidRDefault="004D1396" w:rsidP="004D1396">
      <w:pPr>
        <w:widowControl w:val="0"/>
        <w:autoSpaceDE w:val="0"/>
        <w:autoSpaceDN w:val="0"/>
        <w:adjustRightInd w:val="0"/>
        <w:ind w:right="720"/>
        <w:rPr>
          <w:rFonts w:ascii="Arial" w:hAnsi="Arial" w:cs="Arial"/>
          <w:b/>
        </w:rPr>
      </w:pPr>
    </w:p>
    <w:p w14:paraId="10623EDE" w14:textId="48204B26" w:rsidR="004D1396" w:rsidRPr="008554C4" w:rsidRDefault="004D1396" w:rsidP="004D1396">
      <w:pPr>
        <w:widowControl w:val="0"/>
        <w:autoSpaceDE w:val="0"/>
        <w:autoSpaceDN w:val="0"/>
        <w:adjustRightInd w:val="0"/>
        <w:ind w:right="720"/>
        <w:rPr>
          <w:rFonts w:ascii="Arial" w:hAnsi="Arial" w:cs="Arial"/>
          <w:b/>
          <w:bCs/>
        </w:rPr>
      </w:pPr>
      <w:r w:rsidRPr="008554C4">
        <w:rPr>
          <w:rFonts w:ascii="Arial" w:hAnsi="Arial" w:cs="Arial"/>
          <w:b/>
        </w:rPr>
        <w:t xml:space="preserve">Proposed FCD </w:t>
      </w:r>
      <w:r w:rsidR="00D85038" w:rsidRPr="008554C4">
        <w:rPr>
          <w:rFonts w:ascii="Arial" w:hAnsi="Arial" w:cs="Arial"/>
          <w:b/>
        </w:rPr>
        <w:t>Motion</w:t>
      </w:r>
      <w:r w:rsidRPr="008554C4">
        <w:rPr>
          <w:rFonts w:ascii="Arial" w:hAnsi="Arial" w:cs="Arial"/>
          <w:b/>
        </w:rPr>
        <w:t xml:space="preserve"> FCD2</w:t>
      </w:r>
      <w:r w:rsidR="00077ACA" w:rsidRPr="008554C4">
        <w:rPr>
          <w:rFonts w:ascii="Arial" w:hAnsi="Arial" w:cs="Arial"/>
          <w:b/>
        </w:rPr>
        <w:t>1-</w:t>
      </w:r>
      <w:r w:rsidR="008554C4" w:rsidRPr="008554C4">
        <w:rPr>
          <w:rFonts w:ascii="Arial" w:hAnsi="Arial" w:cs="Arial"/>
          <w:b/>
        </w:rPr>
        <w:t>03</w:t>
      </w:r>
      <w:r w:rsidR="00077ACA" w:rsidRPr="008554C4">
        <w:rPr>
          <w:rFonts w:ascii="Arial" w:hAnsi="Arial" w:cs="Arial"/>
          <w:b/>
        </w:rPr>
        <w:t>:</w:t>
      </w:r>
      <w:r w:rsidRPr="008554C4">
        <w:rPr>
          <w:rFonts w:ascii="Arial" w:hAnsi="Arial" w:cs="Arial"/>
          <w:b/>
        </w:rPr>
        <w:t xml:space="preserve"> </w:t>
      </w:r>
      <w:r w:rsidRPr="008554C4">
        <w:rPr>
          <w:rFonts w:ascii="Arial" w:hAnsi="Arial" w:cs="Arial"/>
          <w:b/>
          <w:bCs/>
        </w:rPr>
        <w:t xml:space="preserve">A </w:t>
      </w:r>
      <w:r w:rsidR="00D85038" w:rsidRPr="008554C4">
        <w:rPr>
          <w:rFonts w:ascii="Arial" w:hAnsi="Arial" w:cs="Arial"/>
          <w:b/>
          <w:bCs/>
        </w:rPr>
        <w:t>Motion</w:t>
      </w:r>
      <w:r w:rsidR="00D85038" w:rsidRPr="008554C4">
        <w:rPr>
          <w:rFonts w:ascii="Arial" w:hAnsi="Arial" w:cs="Arial"/>
        </w:rPr>
        <w:t xml:space="preserve"> </w:t>
      </w:r>
      <w:r w:rsidR="00D85038" w:rsidRPr="008554C4">
        <w:rPr>
          <w:rFonts w:ascii="Arial" w:hAnsi="Arial" w:cs="Arial"/>
          <w:b/>
          <w:bCs/>
        </w:rPr>
        <w:t>relating</w:t>
      </w:r>
      <w:r w:rsidR="00D85038" w:rsidRPr="008554C4">
        <w:rPr>
          <w:rFonts w:ascii="Arial" w:hAnsi="Arial" w:cs="Arial"/>
          <w:b/>
          <w:bCs/>
          <w:spacing w:val="-3"/>
        </w:rPr>
        <w:t xml:space="preserve"> </w:t>
      </w:r>
      <w:r w:rsidR="00D85038" w:rsidRPr="008554C4">
        <w:rPr>
          <w:rFonts w:ascii="Arial" w:hAnsi="Arial" w:cs="Arial"/>
          <w:b/>
          <w:bCs/>
        </w:rPr>
        <w:t>to</w:t>
      </w:r>
      <w:r w:rsidR="00D85038" w:rsidRPr="008554C4">
        <w:rPr>
          <w:rFonts w:ascii="Arial" w:hAnsi="Arial" w:cs="Arial"/>
          <w:b/>
          <w:bCs/>
          <w:spacing w:val="-2"/>
        </w:rPr>
        <w:t xml:space="preserve"> </w:t>
      </w:r>
      <w:r w:rsidR="00D85038" w:rsidRPr="008554C4">
        <w:rPr>
          <w:rFonts w:ascii="Arial" w:hAnsi="Arial" w:cs="Arial"/>
          <w:b/>
          <w:bCs/>
        </w:rPr>
        <w:t>the</w:t>
      </w:r>
      <w:r w:rsidR="00D85038" w:rsidRPr="008554C4">
        <w:rPr>
          <w:rFonts w:ascii="Arial" w:hAnsi="Arial" w:cs="Arial"/>
          <w:b/>
          <w:bCs/>
          <w:spacing w:val="-1"/>
        </w:rPr>
        <w:t xml:space="preserve"> </w:t>
      </w:r>
      <w:r w:rsidR="00D85038" w:rsidRPr="008554C4">
        <w:rPr>
          <w:rFonts w:ascii="Arial" w:hAnsi="Arial" w:cs="Arial"/>
          <w:b/>
          <w:bCs/>
        </w:rPr>
        <w:t>Lower</w:t>
      </w:r>
      <w:r w:rsidR="00D85038" w:rsidRPr="008554C4">
        <w:rPr>
          <w:rFonts w:ascii="Arial" w:hAnsi="Arial" w:cs="Arial"/>
          <w:b/>
          <w:bCs/>
          <w:spacing w:val="1"/>
        </w:rPr>
        <w:t xml:space="preserve"> </w:t>
      </w:r>
      <w:r w:rsidR="00D85038" w:rsidRPr="008554C4">
        <w:rPr>
          <w:rFonts w:ascii="Arial" w:hAnsi="Arial" w:cs="Arial"/>
          <w:b/>
          <w:bCs/>
        </w:rPr>
        <w:t>Green</w:t>
      </w:r>
      <w:r w:rsidR="00D85038" w:rsidRPr="008554C4">
        <w:rPr>
          <w:rFonts w:ascii="Arial" w:hAnsi="Arial" w:cs="Arial"/>
          <w:b/>
          <w:bCs/>
          <w:spacing w:val="-3"/>
        </w:rPr>
        <w:t xml:space="preserve"> </w:t>
      </w:r>
      <w:r w:rsidR="00D85038" w:rsidRPr="008554C4">
        <w:rPr>
          <w:rFonts w:ascii="Arial" w:hAnsi="Arial" w:cs="Arial"/>
          <w:b/>
          <w:bCs/>
        </w:rPr>
        <w:t xml:space="preserve">River </w:t>
      </w:r>
      <w:r w:rsidR="008554C4" w:rsidRPr="008554C4">
        <w:rPr>
          <w:rFonts w:ascii="Arial" w:hAnsi="Arial" w:cs="Arial"/>
          <w:b/>
          <w:bCs/>
        </w:rPr>
        <w:t xml:space="preserve">Corridor </w:t>
      </w:r>
      <w:r w:rsidR="00D85038" w:rsidRPr="008554C4">
        <w:rPr>
          <w:rFonts w:ascii="Arial" w:hAnsi="Arial" w:cs="Arial"/>
          <w:b/>
          <w:bCs/>
        </w:rPr>
        <w:t>Flood Hazard Management Plan (</w:t>
      </w:r>
      <w:r w:rsidR="008554C4" w:rsidRPr="008554C4">
        <w:rPr>
          <w:rFonts w:ascii="Arial" w:hAnsi="Arial" w:cs="Arial"/>
          <w:b/>
          <w:bCs/>
        </w:rPr>
        <w:t>"</w:t>
      </w:r>
      <w:r w:rsidR="00D85038" w:rsidRPr="008554C4">
        <w:rPr>
          <w:rFonts w:ascii="Arial" w:hAnsi="Arial" w:cs="Arial"/>
          <w:b/>
          <w:bCs/>
        </w:rPr>
        <w:t>LG</w:t>
      </w:r>
      <w:r w:rsidR="008554C4" w:rsidRPr="008554C4">
        <w:rPr>
          <w:rFonts w:ascii="Arial" w:hAnsi="Arial" w:cs="Arial"/>
          <w:b/>
          <w:bCs/>
        </w:rPr>
        <w:t>RC</w:t>
      </w:r>
      <w:r w:rsidR="00D85038" w:rsidRPr="008554C4">
        <w:rPr>
          <w:rFonts w:ascii="Arial" w:hAnsi="Arial" w:cs="Arial"/>
          <w:b/>
          <w:bCs/>
        </w:rPr>
        <w:t>FHMP</w:t>
      </w:r>
      <w:r w:rsidR="008554C4" w:rsidRPr="008554C4">
        <w:rPr>
          <w:rFonts w:ascii="Arial" w:hAnsi="Arial" w:cs="Arial"/>
          <w:b/>
          <w:bCs/>
        </w:rPr>
        <w:t>"</w:t>
      </w:r>
      <w:r w:rsidR="00D85038" w:rsidRPr="008554C4">
        <w:rPr>
          <w:rFonts w:ascii="Arial" w:hAnsi="Arial" w:cs="Arial"/>
          <w:b/>
          <w:bCs/>
        </w:rPr>
        <w:t>);</w:t>
      </w:r>
      <w:r w:rsidR="00D85038" w:rsidRPr="008554C4">
        <w:rPr>
          <w:rFonts w:ascii="Arial" w:hAnsi="Arial" w:cs="Arial"/>
          <w:b/>
          <w:bCs/>
          <w:spacing w:val="-2"/>
        </w:rPr>
        <w:t xml:space="preserve"> </w:t>
      </w:r>
      <w:r w:rsidR="00D85038" w:rsidRPr="008554C4">
        <w:rPr>
          <w:rFonts w:ascii="Arial" w:hAnsi="Arial" w:cs="Arial"/>
          <w:b/>
          <w:bCs/>
        </w:rPr>
        <w:t>updating</w:t>
      </w:r>
      <w:r w:rsidR="00D85038" w:rsidRPr="008554C4">
        <w:rPr>
          <w:rFonts w:ascii="Arial" w:hAnsi="Arial" w:cs="Arial"/>
          <w:b/>
          <w:bCs/>
          <w:spacing w:val="-4"/>
        </w:rPr>
        <w:t xml:space="preserve"> </w:t>
      </w:r>
      <w:r w:rsidR="00D85038" w:rsidRPr="008554C4">
        <w:rPr>
          <w:rFonts w:ascii="Arial" w:hAnsi="Arial" w:cs="Arial"/>
          <w:b/>
          <w:bCs/>
        </w:rPr>
        <w:t>the</w:t>
      </w:r>
      <w:r w:rsidR="00D85038" w:rsidRPr="008554C4">
        <w:rPr>
          <w:rFonts w:ascii="Arial" w:hAnsi="Arial" w:cs="Arial"/>
          <w:b/>
          <w:bCs/>
          <w:spacing w:val="-2"/>
        </w:rPr>
        <w:t xml:space="preserve"> </w:t>
      </w:r>
      <w:r w:rsidR="00D85038" w:rsidRPr="008554C4">
        <w:rPr>
          <w:rFonts w:ascii="Arial" w:hAnsi="Arial" w:cs="Arial"/>
          <w:b/>
          <w:bCs/>
        </w:rPr>
        <w:t>planning</w:t>
      </w:r>
      <w:r w:rsidR="00D85038" w:rsidRPr="008554C4">
        <w:rPr>
          <w:rFonts w:ascii="Arial" w:hAnsi="Arial" w:cs="Arial"/>
          <w:b/>
          <w:bCs/>
          <w:spacing w:val="-4"/>
        </w:rPr>
        <w:t xml:space="preserve"> </w:t>
      </w:r>
      <w:r w:rsidR="00D85038" w:rsidRPr="008554C4">
        <w:rPr>
          <w:rFonts w:ascii="Arial" w:hAnsi="Arial" w:cs="Arial"/>
          <w:b/>
          <w:bCs/>
        </w:rPr>
        <w:t>process</w:t>
      </w:r>
      <w:r w:rsidR="00D85038" w:rsidRPr="008554C4">
        <w:rPr>
          <w:rFonts w:ascii="Arial" w:hAnsi="Arial" w:cs="Arial"/>
          <w:b/>
          <w:bCs/>
          <w:spacing w:val="1"/>
        </w:rPr>
        <w:t xml:space="preserve"> </w:t>
      </w:r>
      <w:r w:rsidR="00D85038" w:rsidRPr="008554C4">
        <w:rPr>
          <w:rFonts w:ascii="Arial" w:hAnsi="Arial" w:cs="Arial"/>
          <w:b/>
          <w:bCs/>
        </w:rPr>
        <w:t>for</w:t>
      </w:r>
      <w:r w:rsidR="00D85038" w:rsidRPr="008554C4">
        <w:rPr>
          <w:rFonts w:ascii="Arial" w:hAnsi="Arial" w:cs="Arial"/>
          <w:b/>
          <w:bCs/>
          <w:spacing w:val="-2"/>
        </w:rPr>
        <w:t xml:space="preserve"> </w:t>
      </w:r>
      <w:r w:rsidR="00D85038" w:rsidRPr="008554C4">
        <w:rPr>
          <w:rFonts w:ascii="Arial" w:hAnsi="Arial" w:cs="Arial"/>
          <w:b/>
          <w:bCs/>
        </w:rPr>
        <w:t>a</w:t>
      </w:r>
      <w:r w:rsidR="00D85038" w:rsidRPr="008554C4">
        <w:rPr>
          <w:rFonts w:ascii="Arial" w:hAnsi="Arial" w:cs="Arial"/>
          <w:b/>
          <w:bCs/>
          <w:spacing w:val="-2"/>
        </w:rPr>
        <w:t xml:space="preserve"> </w:t>
      </w:r>
      <w:r w:rsidR="00D85038" w:rsidRPr="008554C4">
        <w:rPr>
          <w:rFonts w:ascii="Arial" w:hAnsi="Arial" w:cs="Arial"/>
          <w:b/>
          <w:bCs/>
        </w:rPr>
        <w:t>proposal</w:t>
      </w:r>
      <w:r w:rsidR="00D85038" w:rsidRPr="008554C4">
        <w:rPr>
          <w:rFonts w:ascii="Arial" w:hAnsi="Arial" w:cs="Arial"/>
          <w:b/>
          <w:bCs/>
          <w:spacing w:val="-2"/>
        </w:rPr>
        <w:t xml:space="preserve"> </w:t>
      </w:r>
      <w:r w:rsidR="00D85038" w:rsidRPr="008554C4">
        <w:rPr>
          <w:rFonts w:ascii="Arial" w:hAnsi="Arial" w:cs="Arial"/>
          <w:b/>
          <w:bCs/>
        </w:rPr>
        <w:t>that</w:t>
      </w:r>
      <w:r w:rsidR="00D85038" w:rsidRPr="008554C4">
        <w:rPr>
          <w:rFonts w:ascii="Arial" w:hAnsi="Arial" w:cs="Arial"/>
          <w:b/>
          <w:bCs/>
          <w:spacing w:val="-2"/>
        </w:rPr>
        <w:t xml:space="preserve"> </w:t>
      </w:r>
      <w:r w:rsidR="00D85038" w:rsidRPr="008554C4">
        <w:rPr>
          <w:rFonts w:ascii="Arial" w:hAnsi="Arial" w:cs="Arial"/>
          <w:b/>
          <w:bCs/>
        </w:rPr>
        <w:t>will result in</w:t>
      </w:r>
      <w:r w:rsidR="00D85038" w:rsidRPr="008554C4">
        <w:rPr>
          <w:rFonts w:ascii="Arial" w:hAnsi="Arial" w:cs="Arial"/>
          <w:b/>
          <w:bCs/>
          <w:spacing w:val="-2"/>
        </w:rPr>
        <w:t xml:space="preserve"> </w:t>
      </w:r>
      <w:r w:rsidR="00D85038" w:rsidRPr="008554C4">
        <w:rPr>
          <w:rFonts w:ascii="Arial" w:hAnsi="Arial" w:cs="Arial"/>
          <w:b/>
          <w:bCs/>
        </w:rPr>
        <w:t xml:space="preserve">the </w:t>
      </w:r>
      <w:r w:rsidR="00D85038" w:rsidRPr="008554C4">
        <w:rPr>
          <w:rFonts w:ascii="Arial" w:hAnsi="Arial" w:cs="Arial"/>
          <w:b/>
          <w:bCs/>
          <w:spacing w:val="-2"/>
        </w:rPr>
        <w:t>LGR</w:t>
      </w:r>
      <w:r w:rsidR="008554C4" w:rsidRPr="008554C4">
        <w:rPr>
          <w:rFonts w:ascii="Arial" w:hAnsi="Arial" w:cs="Arial"/>
          <w:b/>
          <w:bCs/>
          <w:spacing w:val="-2"/>
        </w:rPr>
        <w:t>C</w:t>
      </w:r>
      <w:r w:rsidR="00D85038" w:rsidRPr="008554C4">
        <w:rPr>
          <w:rFonts w:ascii="Arial" w:hAnsi="Arial" w:cs="Arial"/>
          <w:b/>
          <w:bCs/>
          <w:spacing w:val="-2"/>
        </w:rPr>
        <w:t>FHMP (</w:t>
      </w:r>
      <w:r w:rsidR="008554C4" w:rsidRPr="008554C4">
        <w:rPr>
          <w:rFonts w:ascii="Arial" w:hAnsi="Arial" w:cs="Arial"/>
          <w:b/>
          <w:bCs/>
          <w:spacing w:val="-2"/>
        </w:rPr>
        <w:t>"</w:t>
      </w:r>
      <w:r w:rsidR="00D85038" w:rsidRPr="008554C4">
        <w:rPr>
          <w:rFonts w:ascii="Arial" w:hAnsi="Arial" w:cs="Arial"/>
          <w:b/>
          <w:bCs/>
          <w:spacing w:val="-2"/>
        </w:rPr>
        <w:t>Proposal</w:t>
      </w:r>
      <w:r w:rsidR="008554C4" w:rsidRPr="008554C4">
        <w:rPr>
          <w:rFonts w:ascii="Arial" w:hAnsi="Arial" w:cs="Arial"/>
          <w:b/>
          <w:bCs/>
          <w:spacing w:val="-2"/>
        </w:rPr>
        <w:t>"</w:t>
      </w:r>
      <w:r w:rsidR="00D85038" w:rsidRPr="008554C4">
        <w:rPr>
          <w:rFonts w:ascii="Arial" w:hAnsi="Arial" w:cs="Arial"/>
          <w:b/>
          <w:bCs/>
          <w:spacing w:val="-2"/>
        </w:rPr>
        <w:t>)</w:t>
      </w:r>
      <w:r w:rsidR="00D85038" w:rsidRPr="008554C4">
        <w:rPr>
          <w:rFonts w:ascii="Arial" w:hAnsi="Arial" w:cs="Arial"/>
          <w:b/>
          <w:bCs/>
        </w:rPr>
        <w:t>;</w:t>
      </w:r>
      <w:r w:rsidR="00D85038" w:rsidRPr="008554C4">
        <w:rPr>
          <w:rFonts w:ascii="Arial" w:hAnsi="Arial" w:cs="Arial"/>
          <w:b/>
          <w:bCs/>
          <w:spacing w:val="-2"/>
        </w:rPr>
        <w:t xml:space="preserve"> </w:t>
      </w:r>
      <w:r w:rsidR="00D85038" w:rsidRPr="008554C4">
        <w:rPr>
          <w:rFonts w:ascii="Arial" w:hAnsi="Arial" w:cs="Arial"/>
          <w:b/>
          <w:bCs/>
        </w:rPr>
        <w:t>confirming</w:t>
      </w:r>
      <w:r w:rsidR="00D85038" w:rsidRPr="008554C4">
        <w:rPr>
          <w:rFonts w:ascii="Arial" w:hAnsi="Arial" w:cs="Arial"/>
          <w:b/>
          <w:bCs/>
          <w:spacing w:val="-4"/>
        </w:rPr>
        <w:t xml:space="preserve"> </w:t>
      </w:r>
      <w:r w:rsidR="00D85038" w:rsidRPr="008554C4">
        <w:rPr>
          <w:rFonts w:ascii="Arial" w:hAnsi="Arial" w:cs="Arial"/>
          <w:b/>
          <w:bCs/>
        </w:rPr>
        <w:t>the</w:t>
      </w:r>
      <w:r w:rsidR="00D85038" w:rsidRPr="008554C4">
        <w:rPr>
          <w:rFonts w:ascii="Arial" w:hAnsi="Arial" w:cs="Arial"/>
          <w:b/>
          <w:bCs/>
          <w:spacing w:val="1"/>
        </w:rPr>
        <w:t xml:space="preserve"> </w:t>
      </w:r>
      <w:r w:rsidR="00D85038" w:rsidRPr="008554C4">
        <w:rPr>
          <w:rFonts w:ascii="Arial" w:hAnsi="Arial" w:cs="Arial"/>
          <w:b/>
          <w:bCs/>
        </w:rPr>
        <w:t>goals</w:t>
      </w:r>
      <w:r w:rsidR="00D85038" w:rsidRPr="008554C4">
        <w:rPr>
          <w:rFonts w:ascii="Arial" w:hAnsi="Arial" w:cs="Arial"/>
          <w:b/>
          <w:bCs/>
          <w:spacing w:val="-2"/>
        </w:rPr>
        <w:t xml:space="preserve"> </w:t>
      </w:r>
      <w:r w:rsidR="00D85038" w:rsidRPr="008554C4">
        <w:rPr>
          <w:rFonts w:ascii="Arial" w:hAnsi="Arial" w:cs="Arial"/>
          <w:b/>
          <w:bCs/>
        </w:rPr>
        <w:t>and</w:t>
      </w:r>
      <w:r w:rsidR="00D85038" w:rsidRPr="008554C4">
        <w:rPr>
          <w:rFonts w:ascii="Arial" w:hAnsi="Arial" w:cs="Arial"/>
          <w:b/>
          <w:bCs/>
          <w:spacing w:val="-2"/>
        </w:rPr>
        <w:t xml:space="preserve"> </w:t>
      </w:r>
      <w:r w:rsidR="00D85038" w:rsidRPr="008554C4">
        <w:rPr>
          <w:rFonts w:ascii="Arial" w:hAnsi="Arial" w:cs="Arial"/>
          <w:b/>
          <w:bCs/>
        </w:rPr>
        <w:t>purposes</w:t>
      </w:r>
      <w:r w:rsidR="00D85038" w:rsidRPr="008554C4">
        <w:rPr>
          <w:rFonts w:ascii="Arial" w:hAnsi="Arial" w:cs="Arial"/>
          <w:b/>
          <w:bCs/>
          <w:spacing w:val="-2"/>
        </w:rPr>
        <w:t xml:space="preserve"> </w:t>
      </w:r>
      <w:r w:rsidR="00D85038" w:rsidRPr="008554C4">
        <w:rPr>
          <w:rFonts w:ascii="Arial" w:hAnsi="Arial" w:cs="Arial"/>
          <w:b/>
          <w:bCs/>
        </w:rPr>
        <w:t>of</w:t>
      </w:r>
      <w:r w:rsidR="00D85038" w:rsidRPr="008554C4">
        <w:rPr>
          <w:rFonts w:ascii="Arial" w:hAnsi="Arial" w:cs="Arial"/>
          <w:b/>
          <w:bCs/>
          <w:spacing w:val="-2"/>
        </w:rPr>
        <w:t xml:space="preserve"> </w:t>
      </w:r>
      <w:r w:rsidR="00D85038" w:rsidRPr="008554C4">
        <w:rPr>
          <w:rFonts w:ascii="Arial" w:hAnsi="Arial" w:cs="Arial"/>
          <w:b/>
          <w:bCs/>
        </w:rPr>
        <w:t>the proposal;</w:t>
      </w:r>
      <w:r w:rsidR="00D85038" w:rsidRPr="008554C4">
        <w:rPr>
          <w:rFonts w:ascii="Arial" w:hAnsi="Arial" w:cs="Arial"/>
          <w:b/>
          <w:bCs/>
          <w:spacing w:val="-1"/>
        </w:rPr>
        <w:t xml:space="preserve"> </w:t>
      </w:r>
      <w:r w:rsidR="00D85038" w:rsidRPr="008554C4">
        <w:rPr>
          <w:rFonts w:ascii="Arial" w:hAnsi="Arial" w:cs="Arial"/>
          <w:b/>
          <w:bCs/>
        </w:rPr>
        <w:t>and redefining</w:t>
      </w:r>
      <w:r w:rsidR="00D85038" w:rsidRPr="008554C4">
        <w:rPr>
          <w:rFonts w:ascii="Arial" w:hAnsi="Arial" w:cs="Arial"/>
          <w:b/>
          <w:bCs/>
          <w:spacing w:val="-5"/>
        </w:rPr>
        <w:t xml:space="preserve"> </w:t>
      </w:r>
      <w:r w:rsidR="00D85038" w:rsidRPr="008554C4">
        <w:rPr>
          <w:rFonts w:ascii="Arial" w:hAnsi="Arial" w:cs="Arial"/>
          <w:b/>
          <w:bCs/>
        </w:rPr>
        <w:t>alternative</w:t>
      </w:r>
      <w:r w:rsidR="00D85038" w:rsidRPr="008554C4">
        <w:rPr>
          <w:rFonts w:ascii="Arial" w:hAnsi="Arial" w:cs="Arial"/>
          <w:b/>
          <w:bCs/>
          <w:spacing w:val="-2"/>
        </w:rPr>
        <w:t xml:space="preserve"> </w:t>
      </w:r>
      <w:r w:rsidR="00D85038" w:rsidRPr="008554C4">
        <w:rPr>
          <w:rFonts w:ascii="Arial" w:hAnsi="Arial" w:cs="Arial"/>
          <w:b/>
          <w:bCs/>
        </w:rPr>
        <w:t>means</w:t>
      </w:r>
      <w:r w:rsidR="00D85038" w:rsidRPr="008554C4">
        <w:rPr>
          <w:rFonts w:ascii="Arial" w:hAnsi="Arial" w:cs="Arial"/>
          <w:b/>
          <w:bCs/>
          <w:spacing w:val="-3"/>
        </w:rPr>
        <w:t xml:space="preserve"> </w:t>
      </w:r>
      <w:r w:rsidR="00D85038" w:rsidRPr="008554C4">
        <w:rPr>
          <w:rFonts w:ascii="Arial" w:hAnsi="Arial" w:cs="Arial"/>
          <w:b/>
          <w:bCs/>
        </w:rPr>
        <w:t>of</w:t>
      </w:r>
      <w:r w:rsidR="00D85038" w:rsidRPr="008554C4">
        <w:rPr>
          <w:rFonts w:ascii="Arial" w:hAnsi="Arial" w:cs="Arial"/>
          <w:b/>
          <w:bCs/>
          <w:spacing w:val="-3"/>
        </w:rPr>
        <w:t xml:space="preserve"> </w:t>
      </w:r>
      <w:r w:rsidR="00D85038" w:rsidRPr="008554C4">
        <w:rPr>
          <w:rFonts w:ascii="Arial" w:hAnsi="Arial" w:cs="Arial"/>
          <w:b/>
          <w:bCs/>
        </w:rPr>
        <w:t>accomplishing the</w:t>
      </w:r>
      <w:r w:rsidR="00D85038" w:rsidRPr="008554C4">
        <w:rPr>
          <w:rFonts w:ascii="Arial" w:hAnsi="Arial" w:cs="Arial"/>
          <w:b/>
          <w:bCs/>
          <w:spacing w:val="-3"/>
        </w:rPr>
        <w:t xml:space="preserve"> </w:t>
      </w:r>
      <w:r w:rsidR="00D85038" w:rsidRPr="008554C4">
        <w:rPr>
          <w:rFonts w:ascii="Arial" w:hAnsi="Arial" w:cs="Arial"/>
          <w:b/>
          <w:bCs/>
        </w:rPr>
        <w:t>goals</w:t>
      </w:r>
      <w:r w:rsidR="00D85038" w:rsidRPr="008554C4">
        <w:rPr>
          <w:rFonts w:ascii="Arial" w:hAnsi="Arial" w:cs="Arial"/>
          <w:b/>
          <w:bCs/>
          <w:spacing w:val="-2"/>
        </w:rPr>
        <w:t xml:space="preserve"> </w:t>
      </w:r>
      <w:r w:rsidR="00D85038" w:rsidRPr="008554C4">
        <w:rPr>
          <w:rFonts w:ascii="Arial" w:hAnsi="Arial" w:cs="Arial"/>
          <w:b/>
          <w:bCs/>
        </w:rPr>
        <w:t>and</w:t>
      </w:r>
      <w:r w:rsidR="00D85038" w:rsidRPr="008554C4">
        <w:rPr>
          <w:rFonts w:ascii="Arial" w:hAnsi="Arial" w:cs="Arial"/>
          <w:b/>
          <w:bCs/>
          <w:spacing w:val="-2"/>
        </w:rPr>
        <w:t xml:space="preserve"> </w:t>
      </w:r>
      <w:r w:rsidR="00D85038" w:rsidRPr="008554C4">
        <w:rPr>
          <w:rFonts w:ascii="Arial" w:hAnsi="Arial" w:cs="Arial"/>
          <w:b/>
          <w:bCs/>
        </w:rPr>
        <w:t>purposes</w:t>
      </w:r>
      <w:r w:rsidR="00D85038" w:rsidRPr="008554C4">
        <w:rPr>
          <w:rFonts w:ascii="Arial" w:hAnsi="Arial" w:cs="Arial"/>
          <w:b/>
          <w:bCs/>
          <w:spacing w:val="-2"/>
        </w:rPr>
        <w:t xml:space="preserve"> </w:t>
      </w:r>
      <w:r w:rsidR="00D85038" w:rsidRPr="008554C4">
        <w:rPr>
          <w:rFonts w:ascii="Arial" w:hAnsi="Arial" w:cs="Arial"/>
          <w:b/>
          <w:bCs/>
        </w:rPr>
        <w:t>of the</w:t>
      </w:r>
      <w:r w:rsidR="00D85038" w:rsidRPr="008554C4">
        <w:rPr>
          <w:rFonts w:ascii="Arial" w:hAnsi="Arial" w:cs="Arial"/>
          <w:b/>
          <w:bCs/>
          <w:spacing w:val="-2"/>
        </w:rPr>
        <w:t xml:space="preserve"> </w:t>
      </w:r>
      <w:r w:rsidR="00D85038" w:rsidRPr="008554C4">
        <w:rPr>
          <w:rFonts w:ascii="Arial" w:hAnsi="Arial" w:cs="Arial"/>
          <w:b/>
          <w:bCs/>
        </w:rPr>
        <w:t>proposal;</w:t>
      </w:r>
      <w:r w:rsidR="00D85038" w:rsidRPr="008554C4">
        <w:rPr>
          <w:rFonts w:ascii="Arial" w:hAnsi="Arial" w:cs="Arial"/>
          <w:b/>
          <w:bCs/>
          <w:spacing w:val="-3"/>
        </w:rPr>
        <w:t xml:space="preserve"> and </w:t>
      </w:r>
      <w:r w:rsidR="00D85038" w:rsidRPr="008554C4">
        <w:rPr>
          <w:rFonts w:ascii="Arial" w:hAnsi="Arial" w:cs="Arial"/>
          <w:b/>
          <w:bCs/>
        </w:rPr>
        <w:t>requesting</w:t>
      </w:r>
      <w:r w:rsidR="00D85038" w:rsidRPr="008554C4">
        <w:rPr>
          <w:rFonts w:ascii="Arial" w:hAnsi="Arial" w:cs="Arial"/>
          <w:b/>
          <w:bCs/>
          <w:spacing w:val="-2"/>
        </w:rPr>
        <w:t xml:space="preserve"> </w:t>
      </w:r>
      <w:r w:rsidR="00D85038" w:rsidRPr="008554C4">
        <w:rPr>
          <w:rFonts w:ascii="Arial" w:hAnsi="Arial" w:cs="Arial"/>
          <w:b/>
          <w:bCs/>
        </w:rPr>
        <w:t>the District</w:t>
      </w:r>
      <w:r w:rsidR="00D85038" w:rsidRPr="008554C4">
        <w:rPr>
          <w:rFonts w:ascii="Arial" w:hAnsi="Arial" w:cs="Arial"/>
          <w:b/>
          <w:bCs/>
          <w:spacing w:val="-3"/>
        </w:rPr>
        <w:t xml:space="preserve"> </w:t>
      </w:r>
      <w:r w:rsidR="00D85038" w:rsidRPr="008554C4">
        <w:rPr>
          <w:rFonts w:ascii="Arial" w:hAnsi="Arial" w:cs="Arial"/>
          <w:b/>
          <w:bCs/>
        </w:rPr>
        <w:t>responsible</w:t>
      </w:r>
      <w:r w:rsidR="00D85038" w:rsidRPr="008554C4">
        <w:rPr>
          <w:rFonts w:ascii="Arial" w:hAnsi="Arial" w:cs="Arial"/>
          <w:b/>
          <w:bCs/>
          <w:spacing w:val="-3"/>
        </w:rPr>
        <w:t xml:space="preserve"> </w:t>
      </w:r>
      <w:r w:rsidR="00D85038" w:rsidRPr="008554C4">
        <w:rPr>
          <w:rFonts w:ascii="Arial" w:hAnsi="Arial" w:cs="Arial"/>
          <w:b/>
          <w:bCs/>
        </w:rPr>
        <w:t>official</w:t>
      </w:r>
      <w:r w:rsidR="00D85038" w:rsidRPr="008554C4">
        <w:rPr>
          <w:rFonts w:ascii="Arial" w:hAnsi="Arial" w:cs="Arial"/>
          <w:b/>
          <w:bCs/>
          <w:spacing w:val="-4"/>
        </w:rPr>
        <w:t xml:space="preserve"> </w:t>
      </w:r>
      <w:r w:rsidR="00D85038" w:rsidRPr="008554C4">
        <w:rPr>
          <w:rFonts w:ascii="Arial" w:hAnsi="Arial" w:cs="Arial"/>
          <w:b/>
          <w:bCs/>
        </w:rPr>
        <w:t>to</w:t>
      </w:r>
      <w:r w:rsidR="00D85038" w:rsidRPr="008554C4">
        <w:rPr>
          <w:rFonts w:ascii="Arial" w:hAnsi="Arial" w:cs="Arial"/>
          <w:b/>
          <w:bCs/>
          <w:spacing w:val="-3"/>
        </w:rPr>
        <w:t xml:space="preserve"> </w:t>
      </w:r>
      <w:r w:rsidR="00D85038" w:rsidRPr="008554C4">
        <w:rPr>
          <w:rFonts w:ascii="Arial" w:hAnsi="Arial" w:cs="Arial"/>
          <w:b/>
          <w:bCs/>
        </w:rPr>
        <w:t>continue</w:t>
      </w:r>
      <w:r w:rsidR="00D85038" w:rsidRPr="008554C4">
        <w:rPr>
          <w:rFonts w:ascii="Arial" w:hAnsi="Arial" w:cs="Arial"/>
          <w:b/>
          <w:bCs/>
          <w:spacing w:val="-1"/>
        </w:rPr>
        <w:t xml:space="preserve"> </w:t>
      </w:r>
      <w:r w:rsidR="00D85038" w:rsidRPr="008554C4">
        <w:rPr>
          <w:rFonts w:ascii="Arial" w:hAnsi="Arial" w:cs="Arial"/>
          <w:b/>
          <w:bCs/>
        </w:rPr>
        <w:t>State</w:t>
      </w:r>
      <w:r w:rsidR="00D85038" w:rsidRPr="008554C4">
        <w:rPr>
          <w:rFonts w:ascii="Arial" w:hAnsi="Arial" w:cs="Arial"/>
          <w:b/>
          <w:bCs/>
          <w:spacing w:val="-2"/>
        </w:rPr>
        <w:t xml:space="preserve"> </w:t>
      </w:r>
      <w:r w:rsidR="00D85038" w:rsidRPr="008554C4">
        <w:rPr>
          <w:rFonts w:ascii="Arial" w:hAnsi="Arial" w:cs="Arial"/>
          <w:b/>
          <w:bCs/>
        </w:rPr>
        <w:t>Environmental Policy</w:t>
      </w:r>
      <w:r w:rsidR="00D85038" w:rsidRPr="008554C4">
        <w:rPr>
          <w:rFonts w:ascii="Arial" w:hAnsi="Arial" w:cs="Arial"/>
          <w:b/>
          <w:bCs/>
          <w:spacing w:val="-6"/>
        </w:rPr>
        <w:t xml:space="preserve"> </w:t>
      </w:r>
      <w:r w:rsidR="00D85038" w:rsidRPr="008554C4">
        <w:rPr>
          <w:rFonts w:ascii="Arial" w:hAnsi="Arial" w:cs="Arial"/>
          <w:b/>
          <w:bCs/>
        </w:rPr>
        <w:t>Act</w:t>
      </w:r>
      <w:r w:rsidR="00D85038" w:rsidRPr="008554C4">
        <w:rPr>
          <w:rFonts w:ascii="Arial" w:hAnsi="Arial" w:cs="Arial"/>
          <w:b/>
          <w:bCs/>
          <w:spacing w:val="-2"/>
        </w:rPr>
        <w:t xml:space="preserve"> </w:t>
      </w:r>
      <w:r w:rsidR="00D85038" w:rsidRPr="008554C4">
        <w:rPr>
          <w:rFonts w:ascii="Arial" w:hAnsi="Arial" w:cs="Arial"/>
          <w:b/>
          <w:bCs/>
        </w:rPr>
        <w:t>review</w:t>
      </w:r>
      <w:r w:rsidR="00D85038" w:rsidRPr="008554C4">
        <w:rPr>
          <w:rFonts w:ascii="Arial" w:hAnsi="Arial" w:cs="Arial"/>
          <w:b/>
          <w:bCs/>
          <w:spacing w:val="-1"/>
        </w:rPr>
        <w:t xml:space="preserve"> </w:t>
      </w:r>
      <w:r w:rsidR="00D85038" w:rsidRPr="008554C4">
        <w:rPr>
          <w:rFonts w:ascii="Arial" w:hAnsi="Arial" w:cs="Arial"/>
          <w:b/>
          <w:bCs/>
        </w:rPr>
        <w:t>of</w:t>
      </w:r>
      <w:r w:rsidR="00D85038" w:rsidRPr="008554C4">
        <w:rPr>
          <w:rFonts w:ascii="Arial" w:hAnsi="Arial" w:cs="Arial"/>
          <w:b/>
          <w:bCs/>
          <w:spacing w:val="-3"/>
        </w:rPr>
        <w:t xml:space="preserve"> </w:t>
      </w:r>
      <w:r w:rsidR="00D85038" w:rsidRPr="008554C4">
        <w:rPr>
          <w:rFonts w:ascii="Arial" w:hAnsi="Arial" w:cs="Arial"/>
          <w:b/>
          <w:bCs/>
        </w:rPr>
        <w:t>the</w:t>
      </w:r>
      <w:r w:rsidR="00D85038" w:rsidRPr="008554C4">
        <w:rPr>
          <w:rFonts w:ascii="Arial" w:hAnsi="Arial" w:cs="Arial"/>
          <w:b/>
          <w:bCs/>
          <w:spacing w:val="-1"/>
        </w:rPr>
        <w:t xml:space="preserve"> </w:t>
      </w:r>
      <w:r w:rsidR="00D85038" w:rsidRPr="008554C4">
        <w:rPr>
          <w:rFonts w:ascii="Arial" w:hAnsi="Arial" w:cs="Arial"/>
          <w:b/>
          <w:bCs/>
        </w:rPr>
        <w:t>proposal.</w:t>
      </w:r>
    </w:p>
    <w:p w14:paraId="241274E9" w14:textId="77777777" w:rsidR="004D1396" w:rsidRPr="008554C4" w:rsidRDefault="004D1396" w:rsidP="004D1396">
      <w:pPr>
        <w:spacing w:before="1"/>
        <w:ind w:left="119" w:right="368"/>
        <w:rPr>
          <w:rFonts w:ascii="Arial" w:hAnsi="Arial" w:cs="Arial"/>
          <w:b/>
        </w:rPr>
      </w:pPr>
    </w:p>
    <w:p w14:paraId="58346AD7" w14:textId="77777777" w:rsidR="00D85038" w:rsidRPr="008554C4" w:rsidRDefault="00D85038" w:rsidP="00D85038">
      <w:pPr>
        <w:jc w:val="both"/>
        <w:rPr>
          <w:rFonts w:ascii="Arial" w:hAnsi="Arial" w:cs="Arial"/>
        </w:rPr>
      </w:pPr>
      <w:r w:rsidRPr="008554C4">
        <w:rPr>
          <w:rFonts w:ascii="Arial" w:hAnsi="Arial" w:cs="Arial"/>
        </w:rPr>
        <w:t>The purpose of this motion is to seek concurrence from the Flood District Board of Supervisors for my actions as SEPA official to reinitiate scoping on a revised set of alternatives for the Lower Green River Corridor Flood Hazard Management Plan Programmatic Environmental Impact Statement (“PEIS”).</w:t>
      </w:r>
    </w:p>
    <w:p w14:paraId="6DF39B6F" w14:textId="77777777" w:rsidR="00D85038" w:rsidRPr="008554C4" w:rsidRDefault="00D85038" w:rsidP="00D85038">
      <w:pPr>
        <w:jc w:val="both"/>
        <w:rPr>
          <w:rFonts w:ascii="Arial" w:hAnsi="Arial" w:cs="Arial"/>
        </w:rPr>
      </w:pPr>
    </w:p>
    <w:p w14:paraId="359EEFA7" w14:textId="77777777" w:rsidR="00D85038" w:rsidRPr="008554C4" w:rsidRDefault="00D85038" w:rsidP="00D85038">
      <w:pPr>
        <w:jc w:val="both"/>
        <w:rPr>
          <w:rFonts w:ascii="Arial" w:hAnsi="Arial" w:cs="Arial"/>
          <w:u w:val="single"/>
        </w:rPr>
      </w:pPr>
      <w:r w:rsidRPr="008554C4">
        <w:rPr>
          <w:rFonts w:ascii="Arial" w:hAnsi="Arial" w:cs="Arial"/>
          <w:u w:val="single"/>
        </w:rPr>
        <w:t>Significance of the Lower Green River Study Area</w:t>
      </w:r>
    </w:p>
    <w:p w14:paraId="2D5CBD19" w14:textId="77777777" w:rsidR="00D85038" w:rsidRPr="008554C4" w:rsidRDefault="00D85038" w:rsidP="00D85038">
      <w:pPr>
        <w:jc w:val="both"/>
        <w:rPr>
          <w:rFonts w:ascii="Arial" w:hAnsi="Arial" w:cs="Arial"/>
          <w:u w:val="single"/>
        </w:rPr>
      </w:pPr>
    </w:p>
    <w:p w14:paraId="59CF4358" w14:textId="77777777" w:rsidR="00D85038" w:rsidRPr="008554C4" w:rsidRDefault="00D85038" w:rsidP="00D85038">
      <w:pPr>
        <w:ind w:left="44" w:right="-522"/>
        <w:rPr>
          <w:rFonts w:ascii="Arial" w:hAnsi="Arial" w:cs="Arial"/>
        </w:rPr>
      </w:pPr>
      <w:r w:rsidRPr="008554C4">
        <w:rPr>
          <w:rFonts w:ascii="Arial" w:hAnsi="Arial" w:cs="Arial"/>
        </w:rPr>
        <w:t>The Lower Green River study area is approximately the area from river mile 11 near the Black River Pump Station north of I-405 in Tukwila/Renton, to river mile 32, near SR 18 in Auburn.  The study area includes flood risk reduction facilities in multiple jurisdictional ownerships and is surrounded by mixed land uses, including agricultural, commercial, industrial, open space, recreational and residential.</w:t>
      </w:r>
    </w:p>
    <w:p w14:paraId="7F5769F2" w14:textId="77777777" w:rsidR="00D85038" w:rsidRPr="008554C4" w:rsidRDefault="00D85038" w:rsidP="00D85038">
      <w:pPr>
        <w:ind w:left="44" w:right="-522"/>
        <w:rPr>
          <w:rFonts w:ascii="Arial" w:hAnsi="Arial" w:cs="Arial"/>
        </w:rPr>
      </w:pPr>
    </w:p>
    <w:p w14:paraId="57886718" w14:textId="77777777" w:rsidR="00D85038" w:rsidRPr="008554C4" w:rsidRDefault="00D85038" w:rsidP="00D85038">
      <w:pPr>
        <w:ind w:left="44" w:right="-522"/>
        <w:rPr>
          <w:rFonts w:ascii="Arial" w:hAnsi="Arial" w:cs="Arial"/>
        </w:rPr>
      </w:pPr>
      <w:r w:rsidRPr="008554C4">
        <w:rPr>
          <w:rFonts w:ascii="Arial" w:hAnsi="Arial" w:cs="Arial"/>
        </w:rPr>
        <w:t>The study area is the largest warehouse and distribution hub in the entire Northwest, second largest warehouse district on the west coast, and third largest in the nation, supplying the region with groceries, food service products, gasoline, medical supplies and other critical provisions and includes many of the region's major employers.</w:t>
      </w:r>
    </w:p>
    <w:p w14:paraId="26E7D910" w14:textId="77777777" w:rsidR="00D85038" w:rsidRPr="008554C4" w:rsidRDefault="00D85038" w:rsidP="00D85038">
      <w:pPr>
        <w:ind w:left="44" w:right="-522"/>
        <w:rPr>
          <w:rFonts w:ascii="Arial" w:hAnsi="Arial" w:cs="Arial"/>
        </w:rPr>
      </w:pPr>
    </w:p>
    <w:p w14:paraId="277F1062" w14:textId="77777777" w:rsidR="00D85038" w:rsidRPr="008554C4" w:rsidRDefault="00D85038" w:rsidP="00D85038">
      <w:pPr>
        <w:ind w:left="44" w:right="-522"/>
        <w:rPr>
          <w:rFonts w:ascii="Arial" w:hAnsi="Arial" w:cs="Arial"/>
        </w:rPr>
      </w:pPr>
      <w:r w:rsidRPr="008554C4">
        <w:rPr>
          <w:rFonts w:ascii="Arial" w:hAnsi="Arial" w:cs="Arial"/>
        </w:rPr>
        <w:t>Flood risk modeling conducted by the District in 2014 finds that levee overtopping or breaching that resulted in floodplain inundation of one to 10 feet or more put at risk, people, structures, infrastructure and economic activity including approximately 22,000 people that live in the floodplain and approximately 9,000 residential, commercial and public facilities, based on 2014 data. Expected annual damages and economic impacts due to flooding were estimated in 2014 to be $47.1 million over a 50-year period and the present value of those impacts were estimated to be $1.1 billion.</w:t>
      </w:r>
    </w:p>
    <w:p w14:paraId="50A443B6" w14:textId="77777777" w:rsidR="00D85038" w:rsidRPr="008554C4" w:rsidRDefault="00D85038" w:rsidP="00D85038">
      <w:pPr>
        <w:ind w:left="44" w:right="-522"/>
        <w:rPr>
          <w:rFonts w:ascii="Arial" w:hAnsi="Arial" w:cs="Arial"/>
        </w:rPr>
      </w:pPr>
    </w:p>
    <w:p w14:paraId="48C67B3A" w14:textId="77777777" w:rsidR="00D85038" w:rsidRPr="008554C4" w:rsidRDefault="00D85038" w:rsidP="00D85038">
      <w:pPr>
        <w:tabs>
          <w:tab w:val="left" w:pos="2200"/>
          <w:tab w:val="left" w:pos="2202"/>
        </w:tabs>
        <w:ind w:left="-23"/>
        <w:jc w:val="both"/>
        <w:rPr>
          <w:rFonts w:ascii="Arial" w:hAnsi="Arial" w:cs="Arial"/>
          <w:u w:val="single"/>
        </w:rPr>
      </w:pPr>
      <w:r w:rsidRPr="008554C4">
        <w:rPr>
          <w:rFonts w:ascii="Arial" w:hAnsi="Arial" w:cs="Arial"/>
          <w:u w:val="single"/>
        </w:rPr>
        <w:t>Legislative History (reverse chronological order)</w:t>
      </w:r>
    </w:p>
    <w:p w14:paraId="01723F4F" w14:textId="77777777" w:rsidR="00D85038" w:rsidRPr="008554C4" w:rsidRDefault="00D85038" w:rsidP="00D85038">
      <w:pPr>
        <w:ind w:right="-522"/>
        <w:rPr>
          <w:rFonts w:ascii="Arial" w:hAnsi="Arial" w:cs="Arial"/>
        </w:rPr>
      </w:pPr>
    </w:p>
    <w:p w14:paraId="16F36802" w14:textId="77777777" w:rsidR="00D85038" w:rsidRPr="008554C4" w:rsidRDefault="00D85038" w:rsidP="00D85038">
      <w:pPr>
        <w:ind w:right="-522"/>
        <w:rPr>
          <w:rFonts w:ascii="Arial" w:hAnsi="Arial" w:cs="Arial"/>
          <w:color w:val="010000"/>
        </w:rPr>
      </w:pPr>
      <w:r w:rsidRPr="008554C4">
        <w:rPr>
          <w:rFonts w:ascii="Arial" w:hAnsi="Arial" w:cs="Arial"/>
        </w:rPr>
        <w:lastRenderedPageBreak/>
        <w:t>The District on, November 4, 2020, adopted Motion FCD20-07.1 declaring a commitment to integrated floodplain management and multi-benefit projects.</w:t>
      </w:r>
    </w:p>
    <w:p w14:paraId="12E9D1F2" w14:textId="77777777" w:rsidR="00D85038" w:rsidRPr="008554C4" w:rsidRDefault="00D85038" w:rsidP="00D85038">
      <w:pPr>
        <w:tabs>
          <w:tab w:val="left" w:pos="2200"/>
          <w:tab w:val="left" w:pos="2202"/>
        </w:tabs>
        <w:ind w:left="-23"/>
        <w:jc w:val="both"/>
        <w:rPr>
          <w:rFonts w:ascii="Arial" w:hAnsi="Arial" w:cs="Arial"/>
        </w:rPr>
      </w:pPr>
    </w:p>
    <w:p w14:paraId="2F27FF41" w14:textId="77777777" w:rsidR="00D85038" w:rsidRPr="008554C4" w:rsidRDefault="00D85038" w:rsidP="00D85038">
      <w:pPr>
        <w:tabs>
          <w:tab w:val="left" w:pos="2200"/>
          <w:tab w:val="left" w:pos="2202"/>
        </w:tabs>
        <w:ind w:left="-23"/>
        <w:jc w:val="both"/>
        <w:rPr>
          <w:rFonts w:ascii="Arial" w:hAnsi="Arial" w:cs="Arial"/>
        </w:rPr>
      </w:pPr>
      <w:r w:rsidRPr="008554C4">
        <w:rPr>
          <w:rFonts w:ascii="Arial" w:hAnsi="Arial" w:cs="Arial"/>
        </w:rPr>
        <w:t>The District initiated a PEIS process for a Lower Green River Corridor Plan with Motion FCD18-01.  That motion described the goals and purposes of a proposal to prepare a Lower Green River Corridor Plan, described alternatives, and requested the SEPA responsible official begin SEPA review of the proposal.</w:t>
      </w:r>
    </w:p>
    <w:p w14:paraId="2C7823A3" w14:textId="77777777" w:rsidR="00D85038" w:rsidRPr="008554C4" w:rsidRDefault="00D85038" w:rsidP="00D85038">
      <w:pPr>
        <w:tabs>
          <w:tab w:val="left" w:pos="2200"/>
          <w:tab w:val="left" w:pos="2202"/>
        </w:tabs>
        <w:ind w:left="-23"/>
        <w:jc w:val="both"/>
        <w:rPr>
          <w:rFonts w:ascii="Arial" w:hAnsi="Arial" w:cs="Arial"/>
        </w:rPr>
      </w:pPr>
    </w:p>
    <w:p w14:paraId="17FBFD32" w14:textId="77777777" w:rsidR="00D85038" w:rsidRPr="008554C4" w:rsidRDefault="00D85038" w:rsidP="00D85038">
      <w:pPr>
        <w:tabs>
          <w:tab w:val="left" w:pos="2200"/>
          <w:tab w:val="left" w:pos="2202"/>
        </w:tabs>
        <w:ind w:left="-23"/>
        <w:jc w:val="both"/>
        <w:rPr>
          <w:rFonts w:ascii="Arial" w:hAnsi="Arial" w:cs="Arial"/>
        </w:rPr>
      </w:pPr>
      <w:r w:rsidRPr="008554C4">
        <w:rPr>
          <w:rFonts w:ascii="Arial" w:hAnsi="Arial" w:cs="Arial"/>
        </w:rPr>
        <w:t xml:space="preserve">Motion FCD18-01 did not contemplate Motion FCD20-07.1.  </w:t>
      </w:r>
    </w:p>
    <w:p w14:paraId="392D223F" w14:textId="77777777" w:rsidR="00D85038" w:rsidRPr="008554C4" w:rsidRDefault="00D85038" w:rsidP="00D85038">
      <w:pPr>
        <w:tabs>
          <w:tab w:val="left" w:pos="2199"/>
          <w:tab w:val="left" w:pos="2200"/>
        </w:tabs>
        <w:ind w:left="-23"/>
        <w:jc w:val="both"/>
        <w:rPr>
          <w:rFonts w:ascii="Arial" w:hAnsi="Arial" w:cs="Arial"/>
        </w:rPr>
      </w:pPr>
    </w:p>
    <w:p w14:paraId="13879A20" w14:textId="77777777" w:rsidR="00D85038" w:rsidRPr="008554C4" w:rsidRDefault="00D85038" w:rsidP="00D85038">
      <w:pPr>
        <w:tabs>
          <w:tab w:val="left" w:pos="2199"/>
          <w:tab w:val="left" w:pos="2200"/>
        </w:tabs>
        <w:ind w:left="-23"/>
        <w:jc w:val="both"/>
        <w:rPr>
          <w:rFonts w:ascii="Arial" w:hAnsi="Arial" w:cs="Arial"/>
        </w:rPr>
      </w:pPr>
      <w:r w:rsidRPr="008554C4">
        <w:rPr>
          <w:rFonts w:ascii="Arial" w:hAnsi="Arial" w:cs="Arial"/>
        </w:rPr>
        <w:t>The proposed Lower Green River Corridor Plan was</w:t>
      </w:r>
      <w:r w:rsidRPr="008554C4">
        <w:rPr>
          <w:rFonts w:ascii="Arial" w:hAnsi="Arial" w:cs="Arial"/>
          <w:spacing w:val="-2"/>
        </w:rPr>
        <w:t xml:space="preserve"> </w:t>
      </w:r>
      <w:r w:rsidRPr="008554C4">
        <w:rPr>
          <w:rFonts w:ascii="Arial" w:hAnsi="Arial" w:cs="Arial"/>
        </w:rPr>
        <w:t>a</w:t>
      </w:r>
      <w:r w:rsidRPr="008554C4">
        <w:rPr>
          <w:rFonts w:ascii="Arial" w:hAnsi="Arial" w:cs="Arial"/>
          <w:spacing w:val="-2"/>
        </w:rPr>
        <w:t xml:space="preserve"> </w:t>
      </w:r>
      <w:r w:rsidRPr="008554C4">
        <w:rPr>
          <w:rFonts w:ascii="Arial" w:hAnsi="Arial" w:cs="Arial"/>
        </w:rPr>
        <w:t>follow-up</w:t>
      </w:r>
      <w:r w:rsidRPr="008554C4">
        <w:rPr>
          <w:rFonts w:ascii="Arial" w:hAnsi="Arial" w:cs="Arial"/>
          <w:spacing w:val="-4"/>
        </w:rPr>
        <w:t xml:space="preserve"> </w:t>
      </w:r>
      <w:r w:rsidRPr="008554C4">
        <w:rPr>
          <w:rFonts w:ascii="Arial" w:hAnsi="Arial" w:cs="Arial"/>
        </w:rPr>
        <w:t>plan</w:t>
      </w:r>
      <w:r w:rsidRPr="008554C4">
        <w:rPr>
          <w:rFonts w:ascii="Arial" w:hAnsi="Arial" w:cs="Arial"/>
          <w:spacing w:val="-4"/>
        </w:rPr>
        <w:t xml:space="preserve"> </w:t>
      </w:r>
      <w:r w:rsidRPr="008554C4">
        <w:rPr>
          <w:rFonts w:ascii="Arial" w:hAnsi="Arial" w:cs="Arial"/>
        </w:rPr>
        <w:t>to</w:t>
      </w:r>
      <w:r w:rsidRPr="008554C4">
        <w:rPr>
          <w:rFonts w:ascii="Arial" w:hAnsi="Arial" w:cs="Arial"/>
          <w:spacing w:val="-2"/>
        </w:rPr>
        <w:t xml:space="preserve"> </w:t>
      </w:r>
      <w:r w:rsidRPr="008554C4">
        <w:rPr>
          <w:rFonts w:ascii="Arial" w:hAnsi="Arial" w:cs="Arial"/>
        </w:rPr>
        <w:t>the</w:t>
      </w:r>
      <w:r w:rsidRPr="008554C4">
        <w:rPr>
          <w:rFonts w:ascii="Arial" w:hAnsi="Arial" w:cs="Arial"/>
          <w:spacing w:val="-2"/>
        </w:rPr>
        <w:t xml:space="preserve"> </w:t>
      </w:r>
      <w:r w:rsidRPr="008554C4">
        <w:rPr>
          <w:rFonts w:ascii="Arial" w:hAnsi="Arial" w:cs="Arial"/>
        </w:rPr>
        <w:t>System-Wide Improvement</w:t>
      </w:r>
      <w:r w:rsidRPr="008554C4">
        <w:rPr>
          <w:rFonts w:ascii="Arial" w:hAnsi="Arial" w:cs="Arial"/>
          <w:spacing w:val="-3"/>
        </w:rPr>
        <w:t xml:space="preserve"> </w:t>
      </w:r>
      <w:r w:rsidRPr="008554C4">
        <w:rPr>
          <w:rFonts w:ascii="Arial" w:hAnsi="Arial" w:cs="Arial"/>
        </w:rPr>
        <w:t>Framework</w:t>
      </w:r>
      <w:r w:rsidRPr="008554C4">
        <w:rPr>
          <w:rFonts w:ascii="Arial" w:hAnsi="Arial" w:cs="Arial"/>
          <w:spacing w:val="-2"/>
        </w:rPr>
        <w:t xml:space="preserve"> </w:t>
      </w:r>
      <w:r w:rsidRPr="008554C4">
        <w:rPr>
          <w:rFonts w:ascii="Arial" w:hAnsi="Arial" w:cs="Arial"/>
        </w:rPr>
        <w:t>("SWIF")</w:t>
      </w:r>
      <w:r w:rsidRPr="008554C4">
        <w:rPr>
          <w:rFonts w:ascii="Arial" w:hAnsi="Arial" w:cs="Arial"/>
          <w:spacing w:val="-5"/>
        </w:rPr>
        <w:t xml:space="preserve"> submitted by the District to the </w:t>
      </w:r>
      <w:r w:rsidRPr="008554C4">
        <w:rPr>
          <w:rFonts w:ascii="Arial" w:hAnsi="Arial" w:cs="Arial"/>
        </w:rPr>
        <w:t>United</w:t>
      </w:r>
      <w:r w:rsidRPr="008554C4">
        <w:rPr>
          <w:rFonts w:ascii="Arial" w:hAnsi="Arial" w:cs="Arial"/>
          <w:spacing w:val="-3"/>
        </w:rPr>
        <w:t xml:space="preserve"> </w:t>
      </w:r>
      <w:r w:rsidRPr="008554C4">
        <w:rPr>
          <w:rFonts w:ascii="Arial" w:hAnsi="Arial" w:cs="Arial"/>
        </w:rPr>
        <w:t>States Army</w:t>
      </w:r>
      <w:r w:rsidRPr="008554C4">
        <w:rPr>
          <w:rFonts w:ascii="Arial" w:hAnsi="Arial" w:cs="Arial"/>
          <w:spacing w:val="-6"/>
        </w:rPr>
        <w:t xml:space="preserve"> </w:t>
      </w:r>
      <w:r w:rsidRPr="008554C4">
        <w:rPr>
          <w:rFonts w:ascii="Arial" w:hAnsi="Arial" w:cs="Arial"/>
        </w:rPr>
        <w:t>Corps</w:t>
      </w:r>
      <w:r w:rsidRPr="008554C4">
        <w:rPr>
          <w:rFonts w:ascii="Arial" w:hAnsi="Arial" w:cs="Arial"/>
          <w:spacing w:val="-1"/>
        </w:rPr>
        <w:t xml:space="preserve"> </w:t>
      </w:r>
      <w:r w:rsidRPr="008554C4">
        <w:rPr>
          <w:rFonts w:ascii="Arial" w:hAnsi="Arial" w:cs="Arial"/>
        </w:rPr>
        <w:t>of</w:t>
      </w:r>
      <w:r w:rsidRPr="008554C4">
        <w:rPr>
          <w:rFonts w:ascii="Arial" w:hAnsi="Arial" w:cs="Arial"/>
          <w:spacing w:val="-2"/>
        </w:rPr>
        <w:t xml:space="preserve"> </w:t>
      </w:r>
      <w:r w:rsidRPr="008554C4">
        <w:rPr>
          <w:rFonts w:ascii="Arial" w:hAnsi="Arial" w:cs="Arial"/>
        </w:rPr>
        <w:t>Engineers in March 2019</w:t>
      </w:r>
      <w:r w:rsidRPr="008554C4">
        <w:rPr>
          <w:rFonts w:ascii="Arial" w:hAnsi="Arial" w:cs="Arial"/>
          <w:spacing w:val="-2"/>
        </w:rPr>
        <w:t xml:space="preserve"> </w:t>
      </w:r>
      <w:r w:rsidRPr="008554C4">
        <w:rPr>
          <w:rFonts w:ascii="Arial" w:hAnsi="Arial" w:cs="Arial"/>
        </w:rPr>
        <w:t>and</w:t>
      </w:r>
      <w:r w:rsidRPr="008554C4">
        <w:rPr>
          <w:rFonts w:ascii="Arial" w:hAnsi="Arial" w:cs="Arial"/>
          <w:spacing w:val="2"/>
        </w:rPr>
        <w:t xml:space="preserve"> </w:t>
      </w:r>
      <w:r w:rsidRPr="008554C4">
        <w:rPr>
          <w:rFonts w:ascii="Arial" w:hAnsi="Arial" w:cs="Arial"/>
        </w:rPr>
        <w:t>accepted</w:t>
      </w:r>
      <w:r w:rsidRPr="008554C4">
        <w:rPr>
          <w:rFonts w:ascii="Arial" w:hAnsi="Arial" w:cs="Arial"/>
          <w:spacing w:val="-2"/>
        </w:rPr>
        <w:t xml:space="preserve"> </w:t>
      </w:r>
      <w:r w:rsidRPr="008554C4">
        <w:rPr>
          <w:rFonts w:ascii="Arial" w:hAnsi="Arial" w:cs="Arial"/>
        </w:rPr>
        <w:t>by</w:t>
      </w:r>
      <w:r w:rsidRPr="008554C4">
        <w:rPr>
          <w:rFonts w:ascii="Arial" w:hAnsi="Arial" w:cs="Arial"/>
          <w:spacing w:val="-5"/>
        </w:rPr>
        <w:t xml:space="preserve"> </w:t>
      </w:r>
      <w:r w:rsidRPr="008554C4">
        <w:rPr>
          <w:rFonts w:ascii="Arial" w:hAnsi="Arial" w:cs="Arial"/>
        </w:rPr>
        <w:t>the</w:t>
      </w:r>
      <w:r w:rsidRPr="008554C4">
        <w:rPr>
          <w:rFonts w:ascii="Arial" w:hAnsi="Arial" w:cs="Arial"/>
          <w:spacing w:val="-1"/>
        </w:rPr>
        <w:t xml:space="preserve"> Corps in September 2019.  The SWIF process began in 2012.  While the </w:t>
      </w:r>
      <w:r w:rsidRPr="008554C4">
        <w:rPr>
          <w:rFonts w:ascii="Arial" w:hAnsi="Arial" w:cs="Arial"/>
        </w:rPr>
        <w:t>SWIF</w:t>
      </w:r>
      <w:r w:rsidRPr="008554C4">
        <w:rPr>
          <w:rFonts w:ascii="Arial" w:hAnsi="Arial" w:cs="Arial"/>
          <w:spacing w:val="-4"/>
        </w:rPr>
        <w:t xml:space="preserve"> </w:t>
      </w:r>
      <w:r w:rsidRPr="008554C4">
        <w:rPr>
          <w:rFonts w:ascii="Arial" w:hAnsi="Arial" w:cs="Arial"/>
        </w:rPr>
        <w:t>maintains</w:t>
      </w:r>
      <w:r w:rsidRPr="008554C4">
        <w:rPr>
          <w:rFonts w:ascii="Arial" w:hAnsi="Arial" w:cs="Arial"/>
          <w:spacing w:val="-2"/>
        </w:rPr>
        <w:t xml:space="preserve"> </w:t>
      </w:r>
      <w:r w:rsidRPr="008554C4">
        <w:rPr>
          <w:rFonts w:ascii="Arial" w:hAnsi="Arial" w:cs="Arial"/>
        </w:rPr>
        <w:t>eligibility</w:t>
      </w:r>
      <w:r w:rsidRPr="008554C4">
        <w:rPr>
          <w:rFonts w:ascii="Arial" w:hAnsi="Arial" w:cs="Arial"/>
          <w:spacing w:val="-5"/>
        </w:rPr>
        <w:t xml:space="preserve"> </w:t>
      </w:r>
      <w:r w:rsidRPr="008554C4">
        <w:rPr>
          <w:rFonts w:ascii="Arial" w:hAnsi="Arial" w:cs="Arial"/>
        </w:rPr>
        <w:t>for</w:t>
      </w:r>
      <w:r w:rsidRPr="008554C4">
        <w:rPr>
          <w:rFonts w:ascii="Arial" w:hAnsi="Arial" w:cs="Arial"/>
          <w:spacing w:val="-2"/>
        </w:rPr>
        <w:t xml:space="preserve"> </w:t>
      </w:r>
      <w:r w:rsidRPr="008554C4">
        <w:rPr>
          <w:rFonts w:ascii="Arial" w:hAnsi="Arial" w:cs="Arial"/>
        </w:rPr>
        <w:t>flood</w:t>
      </w:r>
      <w:r w:rsidRPr="008554C4">
        <w:rPr>
          <w:rFonts w:ascii="Arial" w:hAnsi="Arial" w:cs="Arial"/>
          <w:spacing w:val="-3"/>
        </w:rPr>
        <w:t xml:space="preserve"> </w:t>
      </w:r>
      <w:r w:rsidRPr="008554C4">
        <w:rPr>
          <w:rFonts w:ascii="Arial" w:hAnsi="Arial" w:cs="Arial"/>
        </w:rPr>
        <w:t>damage</w:t>
      </w:r>
      <w:r w:rsidRPr="008554C4">
        <w:rPr>
          <w:rFonts w:ascii="Arial" w:hAnsi="Arial" w:cs="Arial"/>
          <w:spacing w:val="-2"/>
        </w:rPr>
        <w:t xml:space="preserve"> </w:t>
      </w:r>
      <w:r w:rsidRPr="008554C4">
        <w:rPr>
          <w:rFonts w:ascii="Arial" w:hAnsi="Arial" w:cs="Arial"/>
        </w:rPr>
        <w:t>repairs under the federal PL 84-99 Program it does not include projects to extend flood protection and does not address multiple objectives.</w:t>
      </w:r>
    </w:p>
    <w:p w14:paraId="54308781" w14:textId="77777777" w:rsidR="00D85038" w:rsidRPr="008554C4" w:rsidRDefault="00D85038" w:rsidP="00D85038">
      <w:pPr>
        <w:tabs>
          <w:tab w:val="left" w:pos="2199"/>
          <w:tab w:val="left" w:pos="2200"/>
        </w:tabs>
        <w:ind w:left="-23"/>
        <w:jc w:val="both"/>
        <w:rPr>
          <w:rFonts w:ascii="Arial" w:hAnsi="Arial" w:cs="Arial"/>
        </w:rPr>
      </w:pPr>
    </w:p>
    <w:p w14:paraId="64CB3D72" w14:textId="77777777" w:rsidR="00D85038" w:rsidRPr="008554C4" w:rsidRDefault="00D85038" w:rsidP="00D85038">
      <w:pPr>
        <w:tabs>
          <w:tab w:val="left" w:pos="2199"/>
          <w:tab w:val="left" w:pos="2200"/>
        </w:tabs>
        <w:ind w:left="-23"/>
        <w:jc w:val="both"/>
        <w:rPr>
          <w:rFonts w:ascii="Arial" w:hAnsi="Arial" w:cs="Arial"/>
        </w:rPr>
      </w:pPr>
      <w:r w:rsidRPr="008554C4">
        <w:rPr>
          <w:rFonts w:ascii="Arial" w:hAnsi="Arial" w:cs="Arial"/>
        </w:rPr>
        <w:t>District Resolution FCD2016-05 determined that the broader objectives supported by stakeholders who participated as SWIF advisors could best be achieved through a long-range planning process that included a SEPA PEIS that could analyze cumulative impacts and reasonable alternatives for accomplishing multiple objectives.</w:t>
      </w:r>
    </w:p>
    <w:p w14:paraId="64013998" w14:textId="77777777" w:rsidR="00D85038" w:rsidRPr="008554C4" w:rsidRDefault="00D85038" w:rsidP="00D85038">
      <w:pPr>
        <w:ind w:right="-522"/>
        <w:rPr>
          <w:rFonts w:ascii="Arial" w:hAnsi="Arial" w:cs="Arial"/>
        </w:rPr>
      </w:pPr>
    </w:p>
    <w:p w14:paraId="1E0B6DBD" w14:textId="77777777" w:rsidR="00D85038" w:rsidRPr="008554C4" w:rsidRDefault="00D85038" w:rsidP="00D85038">
      <w:pPr>
        <w:ind w:right="-522"/>
        <w:rPr>
          <w:rFonts w:ascii="Arial" w:hAnsi="Arial" w:cs="Arial"/>
        </w:rPr>
      </w:pPr>
      <w:r w:rsidRPr="008554C4">
        <w:rPr>
          <w:rFonts w:ascii="Arial" w:hAnsi="Arial" w:cs="Arial"/>
        </w:rPr>
        <w:t>District Resolution FCD2016-04 adopted SEPA procedures and designated the District executive director as the District's SEPA responsible official.</w:t>
      </w:r>
    </w:p>
    <w:p w14:paraId="377DA641" w14:textId="77777777" w:rsidR="00D85038" w:rsidRPr="008554C4" w:rsidRDefault="00D85038" w:rsidP="00D85038">
      <w:pPr>
        <w:tabs>
          <w:tab w:val="left" w:pos="2199"/>
          <w:tab w:val="left" w:pos="2200"/>
        </w:tabs>
        <w:ind w:left="-23"/>
        <w:jc w:val="both"/>
        <w:rPr>
          <w:rFonts w:ascii="Arial" w:hAnsi="Arial" w:cs="Arial"/>
        </w:rPr>
      </w:pPr>
    </w:p>
    <w:p w14:paraId="6A5FE719" w14:textId="77777777" w:rsidR="00D85038" w:rsidRPr="008554C4" w:rsidRDefault="00D85038" w:rsidP="00D85038">
      <w:pPr>
        <w:tabs>
          <w:tab w:val="left" w:pos="2199"/>
          <w:tab w:val="left" w:pos="2200"/>
        </w:tabs>
        <w:ind w:left="-23"/>
        <w:jc w:val="both"/>
        <w:rPr>
          <w:rFonts w:ascii="Arial" w:hAnsi="Arial" w:cs="Arial"/>
          <w:color w:val="010000"/>
          <w:spacing w:val="-4"/>
        </w:rPr>
      </w:pPr>
      <w:r w:rsidRPr="008554C4">
        <w:rPr>
          <w:rFonts w:ascii="Arial" w:hAnsi="Arial" w:cs="Arial"/>
        </w:rPr>
        <w:t>District Resolution FCD2014-09.1</w:t>
      </w:r>
      <w:r w:rsidRPr="008554C4">
        <w:rPr>
          <w:rFonts w:ascii="Arial" w:hAnsi="Arial" w:cs="Arial"/>
          <w:spacing w:val="-3"/>
        </w:rPr>
        <w:t xml:space="preserve"> </w:t>
      </w:r>
      <w:r w:rsidRPr="008554C4">
        <w:rPr>
          <w:rFonts w:ascii="Arial" w:hAnsi="Arial" w:cs="Arial"/>
        </w:rPr>
        <w:t>adopted</w:t>
      </w:r>
      <w:r w:rsidRPr="008554C4">
        <w:rPr>
          <w:rFonts w:ascii="Arial" w:hAnsi="Arial" w:cs="Arial"/>
          <w:spacing w:val="-3"/>
        </w:rPr>
        <w:t xml:space="preserve"> </w:t>
      </w:r>
      <w:r w:rsidRPr="008554C4">
        <w:rPr>
          <w:rFonts w:ascii="Arial" w:hAnsi="Arial" w:cs="Arial"/>
        </w:rPr>
        <w:t xml:space="preserve">provisional </w:t>
      </w:r>
      <w:r w:rsidRPr="008554C4">
        <w:rPr>
          <w:rFonts w:ascii="Arial" w:hAnsi="Arial" w:cs="Arial"/>
          <w:color w:val="010000"/>
        </w:rPr>
        <w:t>levels</w:t>
      </w:r>
      <w:r w:rsidRPr="008554C4">
        <w:rPr>
          <w:rFonts w:ascii="Arial" w:hAnsi="Arial" w:cs="Arial"/>
          <w:color w:val="010000"/>
          <w:spacing w:val="1"/>
        </w:rPr>
        <w:t xml:space="preserve"> </w:t>
      </w:r>
      <w:r w:rsidRPr="008554C4">
        <w:rPr>
          <w:rFonts w:ascii="Arial" w:hAnsi="Arial" w:cs="Arial"/>
          <w:color w:val="010000"/>
        </w:rPr>
        <w:t>of</w:t>
      </w:r>
      <w:r w:rsidRPr="008554C4">
        <w:rPr>
          <w:rFonts w:ascii="Arial" w:hAnsi="Arial" w:cs="Arial"/>
          <w:color w:val="010000"/>
          <w:spacing w:val="-4"/>
        </w:rPr>
        <w:t xml:space="preserve"> </w:t>
      </w:r>
      <w:r w:rsidRPr="008554C4">
        <w:rPr>
          <w:rFonts w:ascii="Arial" w:hAnsi="Arial" w:cs="Arial"/>
          <w:color w:val="010000"/>
        </w:rPr>
        <w:t>protection</w:t>
      </w:r>
      <w:r w:rsidRPr="008554C4">
        <w:rPr>
          <w:rFonts w:ascii="Arial" w:hAnsi="Arial" w:cs="Arial"/>
          <w:color w:val="010000"/>
          <w:spacing w:val="-2"/>
        </w:rPr>
        <w:t xml:space="preserve"> </w:t>
      </w:r>
      <w:r w:rsidRPr="008554C4">
        <w:rPr>
          <w:rFonts w:ascii="Arial" w:hAnsi="Arial" w:cs="Arial"/>
          <w:color w:val="010000"/>
        </w:rPr>
        <w:t>for</w:t>
      </w:r>
      <w:r w:rsidRPr="008554C4">
        <w:rPr>
          <w:rFonts w:ascii="Arial" w:hAnsi="Arial" w:cs="Arial"/>
          <w:color w:val="010000"/>
          <w:spacing w:val="-3"/>
        </w:rPr>
        <w:t xml:space="preserve"> </w:t>
      </w:r>
      <w:r w:rsidRPr="008554C4">
        <w:rPr>
          <w:rFonts w:ascii="Arial" w:hAnsi="Arial" w:cs="Arial"/>
          <w:color w:val="010000"/>
        </w:rPr>
        <w:t>43.7</w:t>
      </w:r>
      <w:r w:rsidRPr="008554C4">
        <w:rPr>
          <w:rFonts w:ascii="Arial" w:hAnsi="Arial" w:cs="Arial"/>
          <w:color w:val="010000"/>
          <w:spacing w:val="-2"/>
        </w:rPr>
        <w:t xml:space="preserve"> </w:t>
      </w:r>
      <w:r w:rsidRPr="008554C4">
        <w:rPr>
          <w:rFonts w:ascii="Arial" w:hAnsi="Arial" w:cs="Arial"/>
          <w:color w:val="010000"/>
        </w:rPr>
        <w:t>shoreline</w:t>
      </w:r>
      <w:r w:rsidRPr="008554C4">
        <w:rPr>
          <w:rFonts w:ascii="Arial" w:hAnsi="Arial" w:cs="Arial"/>
          <w:color w:val="010000"/>
          <w:spacing w:val="-4"/>
        </w:rPr>
        <w:t xml:space="preserve"> </w:t>
      </w:r>
      <w:r w:rsidRPr="008554C4">
        <w:rPr>
          <w:rFonts w:ascii="Arial" w:hAnsi="Arial" w:cs="Arial"/>
          <w:color w:val="010000"/>
        </w:rPr>
        <w:t>miles</w:t>
      </w:r>
      <w:r w:rsidRPr="008554C4">
        <w:rPr>
          <w:rFonts w:ascii="Arial" w:hAnsi="Arial" w:cs="Arial"/>
          <w:color w:val="010000"/>
          <w:spacing w:val="-1"/>
        </w:rPr>
        <w:t xml:space="preserve"> </w:t>
      </w:r>
      <w:r w:rsidRPr="008554C4">
        <w:rPr>
          <w:rFonts w:ascii="Arial" w:hAnsi="Arial" w:cs="Arial"/>
          <w:color w:val="010000"/>
        </w:rPr>
        <w:t>of</w:t>
      </w:r>
      <w:r w:rsidRPr="008554C4">
        <w:rPr>
          <w:rFonts w:ascii="Arial" w:hAnsi="Arial" w:cs="Arial"/>
          <w:color w:val="010000"/>
          <w:spacing w:val="-4"/>
        </w:rPr>
        <w:t xml:space="preserve"> </w:t>
      </w:r>
      <w:r w:rsidRPr="008554C4">
        <w:rPr>
          <w:rFonts w:ascii="Arial" w:hAnsi="Arial" w:cs="Arial"/>
          <w:color w:val="010000"/>
        </w:rPr>
        <w:t>the</w:t>
      </w:r>
      <w:r w:rsidRPr="008554C4">
        <w:rPr>
          <w:rFonts w:ascii="Arial" w:hAnsi="Arial" w:cs="Arial"/>
          <w:color w:val="010000"/>
          <w:spacing w:val="2"/>
        </w:rPr>
        <w:t xml:space="preserve"> </w:t>
      </w:r>
      <w:r w:rsidRPr="008554C4">
        <w:rPr>
          <w:rFonts w:ascii="Arial" w:hAnsi="Arial" w:cs="Arial"/>
          <w:color w:val="010000"/>
        </w:rPr>
        <w:t>Lower</w:t>
      </w:r>
      <w:r w:rsidRPr="008554C4">
        <w:rPr>
          <w:rFonts w:ascii="Arial" w:hAnsi="Arial" w:cs="Arial"/>
          <w:color w:val="010000"/>
          <w:spacing w:val="-4"/>
        </w:rPr>
        <w:t xml:space="preserve"> </w:t>
      </w:r>
      <w:r w:rsidRPr="008554C4">
        <w:rPr>
          <w:rFonts w:ascii="Arial" w:hAnsi="Arial" w:cs="Arial"/>
          <w:color w:val="010000"/>
        </w:rPr>
        <w:t>Green</w:t>
      </w:r>
      <w:r w:rsidRPr="008554C4">
        <w:rPr>
          <w:rFonts w:ascii="Arial" w:hAnsi="Arial" w:cs="Arial"/>
          <w:color w:val="010000"/>
          <w:spacing w:val="-1"/>
        </w:rPr>
        <w:t xml:space="preserve"> </w:t>
      </w:r>
      <w:r w:rsidRPr="008554C4">
        <w:rPr>
          <w:rFonts w:ascii="Arial" w:hAnsi="Arial" w:cs="Arial"/>
          <w:color w:val="010000"/>
        </w:rPr>
        <w:t>River</w:t>
      </w:r>
      <w:r w:rsidRPr="008554C4">
        <w:rPr>
          <w:rFonts w:ascii="Arial" w:hAnsi="Arial" w:cs="Arial"/>
          <w:color w:val="010000"/>
          <w:spacing w:val="-4"/>
        </w:rPr>
        <w:t>.</w:t>
      </w:r>
    </w:p>
    <w:p w14:paraId="7C31A1F7" w14:textId="77777777" w:rsidR="00D85038" w:rsidRPr="008554C4" w:rsidRDefault="00D85038" w:rsidP="00D85038">
      <w:pPr>
        <w:jc w:val="both"/>
        <w:rPr>
          <w:rFonts w:ascii="Arial" w:hAnsi="Arial" w:cs="Arial"/>
          <w:u w:val="single"/>
        </w:rPr>
      </w:pPr>
    </w:p>
    <w:p w14:paraId="171F728D" w14:textId="77777777" w:rsidR="00D85038" w:rsidRPr="008554C4" w:rsidRDefault="00D85038" w:rsidP="00D85038">
      <w:pPr>
        <w:jc w:val="both"/>
        <w:rPr>
          <w:rFonts w:ascii="Arial" w:hAnsi="Arial" w:cs="Arial"/>
          <w:u w:val="single"/>
        </w:rPr>
      </w:pPr>
      <w:r w:rsidRPr="008554C4">
        <w:rPr>
          <w:rFonts w:ascii="Arial" w:hAnsi="Arial" w:cs="Arial"/>
          <w:u w:val="single"/>
        </w:rPr>
        <w:t>PEIS Process To Date</w:t>
      </w:r>
    </w:p>
    <w:p w14:paraId="2C7A3B67" w14:textId="77777777" w:rsidR="00D85038" w:rsidRPr="008554C4" w:rsidRDefault="00D85038" w:rsidP="00D85038">
      <w:pPr>
        <w:ind w:right="-518"/>
        <w:rPr>
          <w:rFonts w:ascii="Arial" w:hAnsi="Arial" w:cs="Arial"/>
        </w:rPr>
      </w:pPr>
    </w:p>
    <w:p w14:paraId="6845B063" w14:textId="77777777" w:rsidR="00D85038" w:rsidRPr="008554C4" w:rsidRDefault="00D85038" w:rsidP="00D85038">
      <w:pPr>
        <w:ind w:right="-518"/>
        <w:rPr>
          <w:rFonts w:ascii="Arial" w:hAnsi="Arial" w:cs="Arial"/>
        </w:rPr>
      </w:pPr>
      <w:r w:rsidRPr="008554C4">
        <w:rPr>
          <w:rFonts w:ascii="Arial" w:hAnsi="Arial" w:cs="Arial"/>
        </w:rPr>
        <w:t>The District issued a legal notice of the Determination of Significance in the Daily Journal of Commerce on, November 28, 2018, which commenced scoping according to Washington Administrative Code (WAC) 197-11-410.  This included publishing a scoping notice for the PEIS in the SEPA register.</w:t>
      </w:r>
    </w:p>
    <w:p w14:paraId="548CBB3A" w14:textId="77777777" w:rsidR="00D85038" w:rsidRPr="008554C4" w:rsidRDefault="00D85038" w:rsidP="00D85038">
      <w:pPr>
        <w:ind w:right="-522"/>
        <w:rPr>
          <w:rFonts w:ascii="Arial" w:hAnsi="Arial" w:cs="Arial"/>
        </w:rPr>
      </w:pPr>
    </w:p>
    <w:p w14:paraId="35F7842D" w14:textId="77777777" w:rsidR="00D85038" w:rsidRPr="008554C4" w:rsidRDefault="00D85038" w:rsidP="00D85038">
      <w:pPr>
        <w:ind w:right="-522"/>
        <w:rPr>
          <w:rFonts w:ascii="Arial" w:hAnsi="Arial" w:cs="Arial"/>
        </w:rPr>
      </w:pPr>
      <w:r w:rsidRPr="008554C4">
        <w:rPr>
          <w:rFonts w:ascii="Arial" w:hAnsi="Arial" w:cs="Arial"/>
        </w:rPr>
        <w:t>The extended the scoping period until, May 1, 2019, to allow 154 days for public comments.</w:t>
      </w:r>
    </w:p>
    <w:p w14:paraId="73967F99" w14:textId="77777777" w:rsidR="00D85038" w:rsidRPr="008554C4" w:rsidRDefault="00D85038" w:rsidP="00D85038">
      <w:pPr>
        <w:ind w:right="-522"/>
        <w:rPr>
          <w:rFonts w:ascii="Arial" w:hAnsi="Arial" w:cs="Arial"/>
        </w:rPr>
      </w:pPr>
      <w:r w:rsidRPr="008554C4">
        <w:rPr>
          <w:rFonts w:ascii="Arial" w:hAnsi="Arial" w:cs="Arial"/>
        </w:rPr>
        <w:t>The District received a total of 192 individual comments during the initial SEPA scoping process, of which 65 comments were regarding alternatives.</w:t>
      </w:r>
    </w:p>
    <w:p w14:paraId="6FA9F4D5" w14:textId="77777777" w:rsidR="00D85038" w:rsidRPr="008554C4" w:rsidRDefault="00D85038" w:rsidP="00D85038">
      <w:pPr>
        <w:ind w:right="-522"/>
        <w:rPr>
          <w:rFonts w:ascii="Arial" w:hAnsi="Arial" w:cs="Arial"/>
        </w:rPr>
      </w:pPr>
    </w:p>
    <w:p w14:paraId="66229114" w14:textId="77777777" w:rsidR="00D85038" w:rsidRPr="008554C4" w:rsidRDefault="00D85038" w:rsidP="00D85038">
      <w:pPr>
        <w:ind w:right="-522"/>
        <w:rPr>
          <w:rFonts w:ascii="Arial" w:hAnsi="Arial" w:cs="Arial"/>
        </w:rPr>
      </w:pPr>
      <w:r w:rsidRPr="008554C4">
        <w:rPr>
          <w:rFonts w:ascii="Arial" w:hAnsi="Arial" w:cs="Arial"/>
        </w:rPr>
        <w:t>As noted in the legislative history part of this report, the three alternatives carried through the initial scoping process were developed before adoption of Motion FCD20-07.1 and hence did not consistently or uniformly consider the multi-benefits described in Motion FCD20-07.1.</w:t>
      </w:r>
    </w:p>
    <w:p w14:paraId="5724964A" w14:textId="77777777" w:rsidR="00D85038" w:rsidRPr="008554C4" w:rsidRDefault="00D85038" w:rsidP="00D85038">
      <w:pPr>
        <w:ind w:right="-522"/>
        <w:rPr>
          <w:rFonts w:ascii="Arial" w:hAnsi="Arial" w:cs="Arial"/>
        </w:rPr>
      </w:pPr>
    </w:p>
    <w:p w14:paraId="31A66F8C" w14:textId="77777777" w:rsidR="00D85038" w:rsidRPr="008554C4" w:rsidRDefault="00D85038" w:rsidP="00D85038">
      <w:pPr>
        <w:ind w:right="-522"/>
        <w:rPr>
          <w:rFonts w:ascii="Arial" w:hAnsi="Arial" w:cs="Arial"/>
        </w:rPr>
      </w:pPr>
      <w:r w:rsidRPr="008554C4">
        <w:rPr>
          <w:rFonts w:ascii="Arial" w:hAnsi="Arial" w:cs="Arial"/>
        </w:rPr>
        <w:t>Also, Motion FCD20-07.1 established a committee of governments and stakeholders to advise the District as it considers implementation of the multi-benefit policies in the Green River Valley and to assist the District with development of the PEIS.</w:t>
      </w:r>
    </w:p>
    <w:p w14:paraId="59121F75" w14:textId="77777777" w:rsidR="00D85038" w:rsidRPr="008554C4" w:rsidRDefault="00D85038" w:rsidP="00D85038">
      <w:pPr>
        <w:ind w:right="-522"/>
        <w:rPr>
          <w:rFonts w:ascii="Arial" w:hAnsi="Arial" w:cs="Arial"/>
        </w:rPr>
      </w:pPr>
    </w:p>
    <w:p w14:paraId="274D9DED" w14:textId="77777777" w:rsidR="00D85038" w:rsidRPr="008554C4" w:rsidRDefault="00D85038" w:rsidP="00D85038">
      <w:pPr>
        <w:ind w:right="-522"/>
        <w:rPr>
          <w:rFonts w:ascii="Arial" w:hAnsi="Arial" w:cs="Arial"/>
        </w:rPr>
      </w:pPr>
      <w:r w:rsidRPr="008554C4">
        <w:rPr>
          <w:rFonts w:ascii="Arial" w:hAnsi="Arial" w:cs="Arial"/>
        </w:rPr>
        <w:lastRenderedPageBreak/>
        <w:t>The PEIS study team, under my direction, considered the scoping comments received to date as well as the advice of the committee of governments and stakeholders.  The study team also reviewed the output of hydraulic modeling for the initial three alternatives.  This resulted in a recommendation to refine and reframe the initial PEIS alternatives.</w:t>
      </w:r>
    </w:p>
    <w:p w14:paraId="67B05F71" w14:textId="77777777" w:rsidR="00D85038" w:rsidRPr="008554C4" w:rsidRDefault="00D85038" w:rsidP="00D85038">
      <w:pPr>
        <w:ind w:right="-522"/>
        <w:rPr>
          <w:rFonts w:ascii="Arial" w:hAnsi="Arial" w:cs="Arial"/>
          <w:color w:val="010000"/>
          <w:u w:val="single"/>
        </w:rPr>
      </w:pPr>
    </w:p>
    <w:p w14:paraId="744A63CA" w14:textId="73C074C7" w:rsidR="00D85038" w:rsidRPr="008554C4" w:rsidRDefault="00D85038" w:rsidP="00D85038">
      <w:pPr>
        <w:ind w:right="-522"/>
        <w:rPr>
          <w:rFonts w:ascii="Arial" w:hAnsi="Arial" w:cs="Arial"/>
          <w:color w:val="010000"/>
          <w:u w:val="single"/>
        </w:rPr>
      </w:pPr>
      <w:r w:rsidRPr="008554C4">
        <w:rPr>
          <w:rFonts w:ascii="Arial" w:hAnsi="Arial" w:cs="Arial"/>
          <w:color w:val="010000"/>
          <w:u w:val="single"/>
        </w:rPr>
        <w:t xml:space="preserve">Key Elements of </w:t>
      </w:r>
      <w:r w:rsidRPr="008554C4">
        <w:rPr>
          <w:rFonts w:ascii="Arial" w:hAnsi="Arial" w:cs="Arial"/>
          <w:u w:val="single"/>
        </w:rPr>
        <w:t xml:space="preserve">Proposed Motion </w:t>
      </w:r>
      <w:r w:rsidR="008554C4" w:rsidRPr="008554C4">
        <w:rPr>
          <w:rFonts w:ascii="Arial" w:hAnsi="Arial" w:cs="Arial"/>
          <w:u w:val="single"/>
        </w:rPr>
        <w:t>FCD21-03</w:t>
      </w:r>
    </w:p>
    <w:p w14:paraId="64E3323E" w14:textId="77777777" w:rsidR="00D85038" w:rsidRPr="008554C4" w:rsidRDefault="00D85038" w:rsidP="00D85038">
      <w:pPr>
        <w:tabs>
          <w:tab w:val="left" w:pos="2200"/>
          <w:tab w:val="left" w:pos="2202"/>
        </w:tabs>
        <w:ind w:left="-23"/>
        <w:jc w:val="both"/>
        <w:rPr>
          <w:rFonts w:ascii="Arial" w:hAnsi="Arial" w:cs="Arial"/>
        </w:rPr>
      </w:pPr>
    </w:p>
    <w:p w14:paraId="7B0B6A15" w14:textId="2FBE6A23" w:rsidR="00D85038" w:rsidRPr="008554C4" w:rsidRDefault="00D85038" w:rsidP="00D85038">
      <w:pPr>
        <w:tabs>
          <w:tab w:val="left" w:pos="2200"/>
          <w:tab w:val="left" w:pos="2202"/>
        </w:tabs>
        <w:ind w:left="-23"/>
        <w:jc w:val="both"/>
        <w:rPr>
          <w:rFonts w:ascii="Arial" w:hAnsi="Arial" w:cs="Arial"/>
        </w:rPr>
      </w:pPr>
      <w:r w:rsidRPr="008554C4">
        <w:rPr>
          <w:rFonts w:ascii="Arial" w:hAnsi="Arial" w:cs="Arial"/>
        </w:rPr>
        <w:t>The</w:t>
      </w:r>
      <w:r w:rsidRPr="008554C4">
        <w:rPr>
          <w:rFonts w:ascii="Arial" w:hAnsi="Arial" w:cs="Arial"/>
          <w:spacing w:val="-2"/>
        </w:rPr>
        <w:t xml:space="preserve"> </w:t>
      </w:r>
      <w:r w:rsidRPr="008554C4">
        <w:rPr>
          <w:rFonts w:ascii="Arial" w:hAnsi="Arial" w:cs="Arial"/>
        </w:rPr>
        <w:t xml:space="preserve">LGRCP is now referred to as the Lower Green River </w:t>
      </w:r>
      <w:r w:rsidR="008554C4" w:rsidRPr="008554C4">
        <w:rPr>
          <w:rFonts w:ascii="Arial" w:hAnsi="Arial" w:cs="Arial"/>
        </w:rPr>
        <w:t xml:space="preserve">Corridor </w:t>
      </w:r>
      <w:r w:rsidRPr="008554C4">
        <w:rPr>
          <w:rFonts w:ascii="Arial" w:hAnsi="Arial" w:cs="Arial"/>
        </w:rPr>
        <w:t>Flood Hazard Management Plan (“LGR</w:t>
      </w:r>
      <w:r w:rsidR="008554C4" w:rsidRPr="008554C4">
        <w:rPr>
          <w:rFonts w:ascii="Arial" w:hAnsi="Arial" w:cs="Arial"/>
        </w:rPr>
        <w:t>C</w:t>
      </w:r>
      <w:r w:rsidRPr="008554C4">
        <w:rPr>
          <w:rFonts w:ascii="Arial" w:hAnsi="Arial" w:cs="Arial"/>
        </w:rPr>
        <w:t>FHMP”).</w:t>
      </w:r>
    </w:p>
    <w:p w14:paraId="7851CD2C" w14:textId="77777777" w:rsidR="008554C4" w:rsidRPr="008554C4" w:rsidRDefault="008554C4" w:rsidP="00D85038">
      <w:pPr>
        <w:jc w:val="both"/>
        <w:rPr>
          <w:rFonts w:ascii="Arial" w:hAnsi="Arial" w:cs="Arial"/>
        </w:rPr>
      </w:pPr>
    </w:p>
    <w:p w14:paraId="7FF1A79A" w14:textId="3D86D2CD" w:rsidR="00D85038" w:rsidRPr="008554C4" w:rsidRDefault="00D85038" w:rsidP="00D85038">
      <w:pPr>
        <w:jc w:val="both"/>
        <w:rPr>
          <w:rFonts w:ascii="Arial" w:hAnsi="Arial" w:cs="Arial"/>
        </w:rPr>
      </w:pPr>
      <w:r w:rsidRPr="008554C4">
        <w:rPr>
          <w:rFonts w:ascii="Arial" w:hAnsi="Arial" w:cs="Arial"/>
        </w:rPr>
        <w:t xml:space="preserve">Proposed Motion </w:t>
      </w:r>
      <w:r w:rsidR="008554C4" w:rsidRPr="008554C4">
        <w:rPr>
          <w:rFonts w:ascii="Arial" w:hAnsi="Arial" w:cs="Arial"/>
        </w:rPr>
        <w:t>FCD21-03</w:t>
      </w:r>
      <w:r w:rsidRPr="008554C4">
        <w:rPr>
          <w:rFonts w:ascii="Arial" w:hAnsi="Arial" w:cs="Arial"/>
        </w:rPr>
        <w:t xml:space="preserve"> confirms the goals</w:t>
      </w:r>
      <w:r w:rsidRPr="008554C4">
        <w:rPr>
          <w:rFonts w:ascii="Arial" w:hAnsi="Arial" w:cs="Arial"/>
          <w:spacing w:val="-2"/>
        </w:rPr>
        <w:t xml:space="preserve"> </w:t>
      </w:r>
      <w:r w:rsidRPr="008554C4">
        <w:rPr>
          <w:rFonts w:ascii="Arial" w:hAnsi="Arial" w:cs="Arial"/>
        </w:rPr>
        <w:t>and</w:t>
      </w:r>
      <w:r w:rsidRPr="008554C4">
        <w:rPr>
          <w:rFonts w:ascii="Arial" w:hAnsi="Arial" w:cs="Arial"/>
          <w:spacing w:val="-2"/>
        </w:rPr>
        <w:t xml:space="preserve"> </w:t>
      </w:r>
      <w:r w:rsidRPr="008554C4">
        <w:rPr>
          <w:rFonts w:ascii="Arial" w:hAnsi="Arial" w:cs="Arial"/>
        </w:rPr>
        <w:t>purposes</w:t>
      </w:r>
      <w:r w:rsidRPr="008554C4">
        <w:rPr>
          <w:rFonts w:ascii="Arial" w:hAnsi="Arial" w:cs="Arial"/>
          <w:spacing w:val="-2"/>
        </w:rPr>
        <w:t xml:space="preserve"> </w:t>
      </w:r>
      <w:r w:rsidRPr="008554C4">
        <w:rPr>
          <w:rFonts w:ascii="Arial" w:hAnsi="Arial" w:cs="Arial"/>
        </w:rPr>
        <w:t>of</w:t>
      </w:r>
      <w:r w:rsidRPr="008554C4">
        <w:rPr>
          <w:rFonts w:ascii="Arial" w:hAnsi="Arial" w:cs="Arial"/>
          <w:spacing w:val="-2"/>
        </w:rPr>
        <w:t xml:space="preserve"> </w:t>
      </w:r>
      <w:r w:rsidRPr="008554C4">
        <w:rPr>
          <w:rFonts w:ascii="Arial" w:hAnsi="Arial" w:cs="Arial"/>
        </w:rPr>
        <w:t>the Lower Green Flood Hazard Management Plan from FCD18-01 which are:</w:t>
      </w:r>
    </w:p>
    <w:p w14:paraId="74B7C870" w14:textId="77777777" w:rsidR="00D85038" w:rsidRPr="008554C4" w:rsidRDefault="00D85038" w:rsidP="00D85038">
      <w:pPr>
        <w:jc w:val="both"/>
        <w:rPr>
          <w:rFonts w:ascii="Arial" w:hAnsi="Arial" w:cs="Arial"/>
        </w:rPr>
      </w:pPr>
    </w:p>
    <w:p w14:paraId="49915684" w14:textId="6228C436" w:rsidR="00D85038" w:rsidRPr="008554C4" w:rsidRDefault="00D85038" w:rsidP="00D85038">
      <w:pPr>
        <w:ind w:left="720"/>
        <w:rPr>
          <w:rFonts w:ascii="Arial" w:hAnsi="Arial" w:cs="Arial"/>
        </w:rPr>
      </w:pPr>
      <w:r w:rsidRPr="008554C4">
        <w:rPr>
          <w:rFonts w:ascii="Arial" w:hAnsi="Arial" w:cs="Arial"/>
        </w:rPr>
        <w:t>To provide an integrated and reasonable long-term approach to reduce flood-risk within the Lower Green River Corridor while balancing multiple objectives within the study area, including but not limited to economic vitality and environmental protection. This integrated approach is intended to protect people, property and jobs, while reducing conflicts between flood facilities, equity and social justice, agricultural land use, economic development, habitat restoration, housing, recreation, salmon recovery, water quality and other issues that will be considered and analyzed through a SEPA PEIS scoping process.</w:t>
      </w:r>
    </w:p>
    <w:p w14:paraId="67B0DA18" w14:textId="77777777" w:rsidR="00D85038" w:rsidRPr="008554C4" w:rsidRDefault="00D85038" w:rsidP="00D85038">
      <w:pPr>
        <w:jc w:val="both"/>
        <w:rPr>
          <w:rFonts w:ascii="Arial" w:hAnsi="Arial" w:cs="Arial"/>
        </w:rPr>
      </w:pPr>
    </w:p>
    <w:p w14:paraId="06ABCA40" w14:textId="7463C91B" w:rsidR="00D85038" w:rsidRPr="008554C4" w:rsidRDefault="00D85038" w:rsidP="00D85038">
      <w:pPr>
        <w:jc w:val="both"/>
        <w:rPr>
          <w:rFonts w:ascii="Arial" w:hAnsi="Arial" w:cs="Arial"/>
        </w:rPr>
      </w:pPr>
      <w:r w:rsidRPr="008554C4">
        <w:rPr>
          <w:rFonts w:ascii="Arial" w:hAnsi="Arial" w:cs="Arial"/>
        </w:rPr>
        <w:t xml:space="preserve">Proposed Motion </w:t>
      </w:r>
      <w:r w:rsidR="008554C4" w:rsidRPr="008554C4">
        <w:rPr>
          <w:rFonts w:ascii="Arial" w:hAnsi="Arial" w:cs="Arial"/>
        </w:rPr>
        <w:t>FCD21-03</w:t>
      </w:r>
      <w:r w:rsidRPr="008554C4">
        <w:rPr>
          <w:rFonts w:ascii="Arial" w:hAnsi="Arial" w:cs="Arial"/>
        </w:rPr>
        <w:t xml:space="preserve"> sets forth revised alternatives for accomplishing the goals and purposes of the proposal. The alternatives are included in Exhibit A.  </w:t>
      </w:r>
    </w:p>
    <w:p w14:paraId="077AB293" w14:textId="77777777" w:rsidR="00D85038" w:rsidRPr="008554C4" w:rsidRDefault="00D85038" w:rsidP="00D85038">
      <w:pPr>
        <w:jc w:val="both"/>
        <w:rPr>
          <w:rFonts w:ascii="Arial" w:hAnsi="Arial" w:cs="Arial"/>
        </w:rPr>
      </w:pPr>
    </w:p>
    <w:p w14:paraId="09216329" w14:textId="77777777" w:rsidR="00D85038" w:rsidRPr="008554C4" w:rsidRDefault="00D85038" w:rsidP="00D85038">
      <w:pPr>
        <w:ind w:left="720"/>
        <w:jc w:val="both"/>
        <w:rPr>
          <w:rFonts w:ascii="Arial" w:hAnsi="Arial" w:cs="Arial"/>
        </w:rPr>
      </w:pPr>
      <w:r w:rsidRPr="008554C4">
        <w:rPr>
          <w:rFonts w:ascii="Arial" w:hAnsi="Arial" w:cs="Arial"/>
          <w:b/>
          <w:bCs/>
        </w:rPr>
        <w:t xml:space="preserve">No Build Scenario:  </w:t>
      </w:r>
      <w:r w:rsidRPr="008554C4">
        <w:rPr>
          <w:rFonts w:ascii="Arial" w:hAnsi="Arial" w:cs="Arial"/>
        </w:rPr>
        <w:t>This scenario is included to illustrate why flood hazard management is needed on the Lower Green River and the consequences of inaction. The description will include inundation maps and explanations of how the Lower Green River area would be affected by flooding. It will also explain the extent of riparian habitats, recreation, and open space along the river. Because the core mission of the Flood Control District (District) is managing flood hazards and this alternative does not provide flood hazard protection throughout the study area, this scenario will not be evaluated in detail in the PEIS and will not be compared to other scenarios as a potential alternative.</w:t>
      </w:r>
    </w:p>
    <w:p w14:paraId="60E5C062" w14:textId="77777777" w:rsidR="00D85038" w:rsidRPr="008554C4" w:rsidRDefault="00D85038" w:rsidP="00D85038">
      <w:pPr>
        <w:ind w:left="720"/>
        <w:jc w:val="both"/>
        <w:rPr>
          <w:rFonts w:ascii="Arial" w:hAnsi="Arial" w:cs="Arial"/>
        </w:rPr>
      </w:pPr>
    </w:p>
    <w:p w14:paraId="69125B0C" w14:textId="77777777" w:rsidR="00D85038" w:rsidRPr="008554C4" w:rsidRDefault="00D85038" w:rsidP="00D85038">
      <w:pPr>
        <w:pStyle w:val="Heading3"/>
        <w:spacing w:before="0"/>
        <w:ind w:left="720"/>
        <w:rPr>
          <w:rFonts w:ascii="Arial" w:hAnsi="Arial" w:cs="Arial"/>
          <w:color w:val="000000" w:themeColor="text1"/>
        </w:rPr>
      </w:pPr>
      <w:bookmarkStart w:id="0" w:name="_Hlk80695214"/>
      <w:r w:rsidRPr="008554C4">
        <w:rPr>
          <w:rFonts w:ascii="Arial" w:hAnsi="Arial" w:cs="Arial"/>
          <w:b/>
          <w:bCs/>
          <w:color w:val="000000" w:themeColor="text1"/>
        </w:rPr>
        <w:t xml:space="preserve">Alternative 1 - Project-by-Project Multi-Benefit Implementation: </w:t>
      </w:r>
      <w:r w:rsidRPr="008554C4">
        <w:rPr>
          <w:rFonts w:ascii="Arial" w:hAnsi="Arial" w:cs="Arial"/>
          <w:color w:val="000000" w:themeColor="text1"/>
        </w:rPr>
        <w:t>This alternative illustrates how the District would provide flood hazard management on the Lower Green River following established policies and practices without guidance of an area-specific Flood Hazard Management Plan. Adoption of a Flood Hazard Management Plan for the Lower Green River is the proposed action for the PEIS. This alternative will be the benchmark for comparing alternatives.</w:t>
      </w:r>
      <w:bookmarkEnd w:id="0"/>
      <w:r w:rsidRPr="008554C4">
        <w:rPr>
          <w:rFonts w:ascii="Arial" w:hAnsi="Arial" w:cs="Arial"/>
          <w:color w:val="000000" w:themeColor="text1"/>
        </w:rPr>
        <w:t xml:space="preserve"> </w:t>
      </w:r>
    </w:p>
    <w:p w14:paraId="003BC756" w14:textId="77777777" w:rsidR="00D85038" w:rsidRPr="008554C4" w:rsidRDefault="00D85038" w:rsidP="00D85038">
      <w:pPr>
        <w:pStyle w:val="Heading3"/>
        <w:spacing w:before="0"/>
        <w:ind w:left="720"/>
        <w:rPr>
          <w:rFonts w:ascii="Arial" w:hAnsi="Arial" w:cs="Arial"/>
          <w:b/>
          <w:bCs/>
          <w:color w:val="000000" w:themeColor="text1"/>
        </w:rPr>
      </w:pPr>
      <w:bookmarkStart w:id="1" w:name="_Hlk64634156"/>
      <w:bookmarkStart w:id="2" w:name="_Hlk80695262"/>
    </w:p>
    <w:p w14:paraId="105AD7E8" w14:textId="77777777" w:rsidR="00D85038" w:rsidRPr="008554C4" w:rsidRDefault="00D85038" w:rsidP="00D85038">
      <w:pPr>
        <w:pStyle w:val="Heading3"/>
        <w:spacing w:before="0"/>
        <w:ind w:left="720"/>
        <w:rPr>
          <w:rFonts w:ascii="Arial" w:hAnsi="Arial" w:cs="Arial"/>
          <w:b/>
          <w:bCs/>
          <w:color w:val="000000" w:themeColor="text1"/>
        </w:rPr>
      </w:pPr>
      <w:r w:rsidRPr="008554C4">
        <w:rPr>
          <w:rFonts w:ascii="Arial" w:hAnsi="Arial" w:cs="Arial"/>
          <w:b/>
          <w:bCs/>
          <w:color w:val="000000" w:themeColor="text1"/>
        </w:rPr>
        <w:t>Alternative 2 - Systematic Multi-Benefit Implementation</w:t>
      </w:r>
      <w:bookmarkEnd w:id="1"/>
      <w:r w:rsidRPr="008554C4">
        <w:rPr>
          <w:rFonts w:ascii="Arial" w:hAnsi="Arial" w:cs="Arial"/>
          <w:b/>
          <w:bCs/>
          <w:color w:val="000000" w:themeColor="text1"/>
        </w:rPr>
        <w:t xml:space="preserve">: </w:t>
      </w:r>
      <w:r w:rsidRPr="008554C4">
        <w:rPr>
          <w:rFonts w:ascii="Arial" w:hAnsi="Arial" w:cs="Arial"/>
          <w:color w:val="000000" w:themeColor="text1"/>
        </w:rPr>
        <w:t>This alternative systematically implements the multiple benefits described in Motion FCD 20-07.1, including habitat protection and fish restoration.</w:t>
      </w:r>
      <w:bookmarkEnd w:id="2"/>
    </w:p>
    <w:p w14:paraId="08199276" w14:textId="77777777" w:rsidR="00D85038" w:rsidRPr="008554C4" w:rsidRDefault="00D85038" w:rsidP="00D85038">
      <w:pPr>
        <w:ind w:left="720"/>
        <w:rPr>
          <w:rFonts w:ascii="Arial" w:eastAsiaTheme="majorEastAsia" w:hAnsi="Arial" w:cs="Arial"/>
          <w:b/>
          <w:bCs/>
          <w:color w:val="000000" w:themeColor="text1"/>
        </w:rPr>
      </w:pPr>
    </w:p>
    <w:p w14:paraId="58147D08" w14:textId="4C35919F" w:rsidR="00D85038" w:rsidRPr="008554C4" w:rsidRDefault="00D85038" w:rsidP="00D85038">
      <w:pPr>
        <w:ind w:left="720"/>
        <w:rPr>
          <w:rFonts w:ascii="Arial" w:eastAsiaTheme="majorEastAsia" w:hAnsi="Arial" w:cs="Arial"/>
          <w:b/>
          <w:bCs/>
          <w:color w:val="000000" w:themeColor="text1"/>
        </w:rPr>
      </w:pPr>
      <w:r w:rsidRPr="008554C4">
        <w:rPr>
          <w:rFonts w:ascii="Arial" w:eastAsiaTheme="majorEastAsia" w:hAnsi="Arial" w:cs="Arial"/>
          <w:b/>
          <w:bCs/>
          <w:color w:val="000000" w:themeColor="text1"/>
        </w:rPr>
        <w:t>Alternative 3 - Enhanced Systematic Multi-</w:t>
      </w:r>
      <w:r w:rsidR="008554C4" w:rsidRPr="008554C4">
        <w:rPr>
          <w:rFonts w:ascii="Arial" w:eastAsiaTheme="majorEastAsia" w:hAnsi="Arial" w:cs="Arial"/>
          <w:b/>
          <w:bCs/>
          <w:color w:val="000000" w:themeColor="text1"/>
        </w:rPr>
        <w:t>B</w:t>
      </w:r>
      <w:r w:rsidRPr="008554C4">
        <w:rPr>
          <w:rFonts w:ascii="Arial" w:eastAsiaTheme="majorEastAsia" w:hAnsi="Arial" w:cs="Arial"/>
          <w:b/>
          <w:bCs/>
          <w:color w:val="000000" w:themeColor="text1"/>
        </w:rPr>
        <w:t xml:space="preserve">enefit Implementation </w:t>
      </w:r>
    </w:p>
    <w:p w14:paraId="250D88D6" w14:textId="77777777" w:rsidR="00D85038" w:rsidRPr="008554C4" w:rsidRDefault="00D85038" w:rsidP="00D85038">
      <w:pPr>
        <w:ind w:left="720"/>
        <w:rPr>
          <w:rFonts w:ascii="Arial" w:hAnsi="Arial" w:cs="Arial"/>
        </w:rPr>
      </w:pPr>
      <w:r w:rsidRPr="008554C4">
        <w:rPr>
          <w:rFonts w:ascii="Arial" w:hAnsi="Arial" w:cs="Arial"/>
        </w:rPr>
        <w:lastRenderedPageBreak/>
        <w:t>This alternative is a substantial shift from the District’s current practices. Under this alternative, the District would continue to provide flood hazard reduction but would pursue habitat protection and restoration to a notably greater extent than with either of the other alternatives while achieving multiple benefits across the Lower Green River.</w:t>
      </w:r>
    </w:p>
    <w:p w14:paraId="13473922" w14:textId="77777777" w:rsidR="00D85038" w:rsidRPr="008554C4" w:rsidRDefault="00D85038" w:rsidP="00D85038">
      <w:pPr>
        <w:jc w:val="both"/>
        <w:rPr>
          <w:rFonts w:ascii="Arial" w:hAnsi="Arial" w:cs="Arial"/>
        </w:rPr>
      </w:pPr>
    </w:p>
    <w:p w14:paraId="2E679A74" w14:textId="4CF2F911" w:rsidR="00D85038" w:rsidRPr="008554C4" w:rsidRDefault="00D85038" w:rsidP="00D85038">
      <w:pPr>
        <w:rPr>
          <w:rFonts w:ascii="Arial" w:hAnsi="Arial" w:cs="Arial"/>
        </w:rPr>
      </w:pPr>
      <w:r w:rsidRPr="008554C4">
        <w:rPr>
          <w:rFonts w:ascii="Arial" w:hAnsi="Arial" w:cs="Arial"/>
        </w:rPr>
        <w:t xml:space="preserve">The alternatives described in Exhibit A to Proposed Motion </w:t>
      </w:r>
      <w:r w:rsidR="008554C4" w:rsidRPr="008554C4">
        <w:rPr>
          <w:rFonts w:ascii="Arial" w:hAnsi="Arial" w:cs="Arial"/>
        </w:rPr>
        <w:t>FCD21-03</w:t>
      </w:r>
      <w:r w:rsidRPr="008554C4">
        <w:rPr>
          <w:rFonts w:ascii="Arial" w:hAnsi="Arial" w:cs="Arial"/>
        </w:rPr>
        <w:t xml:space="preserve"> each describe an approach to implementing integrated floodplain management as part of District actions undertaken pursuant to the purposes and powers described in chapter 86.15 RCW. The alternatives use several types of facilities or actions to provide protection from or accommodation of flooding up to the provisional level of protection of 18,800 cfs., plus three feet of freeboard. These facilities and actions are used in different combinations to create each alternative.</w:t>
      </w:r>
    </w:p>
    <w:p w14:paraId="579D2A75" w14:textId="77777777" w:rsidR="00D85038" w:rsidRPr="008554C4" w:rsidRDefault="00D85038" w:rsidP="00D85038">
      <w:pPr>
        <w:rPr>
          <w:rFonts w:ascii="Arial" w:hAnsi="Arial" w:cs="Arial"/>
        </w:rPr>
      </w:pPr>
    </w:p>
    <w:p w14:paraId="4372ADEF" w14:textId="77777777" w:rsidR="00D85038" w:rsidRPr="008554C4" w:rsidRDefault="00D85038" w:rsidP="00D85038">
      <w:pPr>
        <w:rPr>
          <w:rFonts w:ascii="Arial" w:hAnsi="Arial" w:cs="Arial"/>
          <w:u w:val="single"/>
        </w:rPr>
      </w:pPr>
      <w:r w:rsidRPr="008554C4">
        <w:rPr>
          <w:rFonts w:ascii="Arial" w:hAnsi="Arial" w:cs="Arial"/>
          <w:u w:val="single"/>
        </w:rPr>
        <w:t>Next Steps</w:t>
      </w:r>
    </w:p>
    <w:p w14:paraId="21878517" w14:textId="77777777" w:rsidR="00D85038" w:rsidRPr="008554C4" w:rsidRDefault="00D85038" w:rsidP="00D85038">
      <w:pPr>
        <w:rPr>
          <w:rFonts w:ascii="Arial" w:hAnsi="Arial" w:cs="Arial"/>
        </w:rPr>
      </w:pPr>
    </w:p>
    <w:p w14:paraId="67097FF8" w14:textId="23476810" w:rsidR="00D85038" w:rsidRPr="008554C4" w:rsidRDefault="00D85038" w:rsidP="00D85038">
      <w:pPr>
        <w:rPr>
          <w:rFonts w:ascii="Arial" w:hAnsi="Arial" w:cs="Arial"/>
        </w:rPr>
      </w:pPr>
      <w:r w:rsidRPr="008554C4">
        <w:rPr>
          <w:rFonts w:ascii="Arial" w:hAnsi="Arial" w:cs="Arial"/>
        </w:rPr>
        <w:t xml:space="preserve">Following Board approval of Proposed Motion </w:t>
      </w:r>
      <w:r w:rsidR="008554C4" w:rsidRPr="008554C4">
        <w:rPr>
          <w:rFonts w:ascii="Arial" w:hAnsi="Arial" w:cs="Arial"/>
        </w:rPr>
        <w:t>FCD21-03</w:t>
      </w:r>
      <w:r w:rsidRPr="008554C4">
        <w:rPr>
          <w:rFonts w:ascii="Arial" w:hAnsi="Arial" w:cs="Arial"/>
        </w:rPr>
        <w:t xml:space="preserve"> the following steps will take place:</w:t>
      </w:r>
    </w:p>
    <w:p w14:paraId="727F4B45" w14:textId="77777777" w:rsidR="00D85038" w:rsidRPr="008554C4" w:rsidRDefault="00D85038" w:rsidP="00D85038">
      <w:pPr>
        <w:rPr>
          <w:rFonts w:ascii="Arial" w:hAnsi="Arial" w:cs="Arial"/>
        </w:rPr>
      </w:pPr>
    </w:p>
    <w:p w14:paraId="187791C7" w14:textId="595E811D" w:rsidR="00D85038" w:rsidRPr="008554C4" w:rsidRDefault="00D85038" w:rsidP="00D85038">
      <w:pPr>
        <w:ind w:left="720"/>
        <w:rPr>
          <w:rFonts w:ascii="Arial" w:hAnsi="Arial" w:cs="Arial"/>
        </w:rPr>
      </w:pPr>
      <w:r w:rsidRPr="008554C4">
        <w:rPr>
          <w:rFonts w:ascii="Arial" w:hAnsi="Arial" w:cs="Arial"/>
        </w:rPr>
        <w:t xml:space="preserve">The District SEPA </w:t>
      </w:r>
      <w:r w:rsidR="008554C4" w:rsidRPr="008554C4">
        <w:rPr>
          <w:rFonts w:ascii="Arial" w:hAnsi="Arial" w:cs="Arial"/>
        </w:rPr>
        <w:t>o</w:t>
      </w:r>
      <w:r w:rsidRPr="008554C4">
        <w:rPr>
          <w:rFonts w:ascii="Arial" w:hAnsi="Arial" w:cs="Arial"/>
        </w:rPr>
        <w:t>fficial will replace the three initial alternatives previously considered through scoping with three new alternatives, as described in Exhibit A to this Motion, that better reflect the goals and objectives of the District.</w:t>
      </w:r>
    </w:p>
    <w:p w14:paraId="3E202E93" w14:textId="77777777" w:rsidR="00D85038" w:rsidRPr="008554C4" w:rsidRDefault="00D85038" w:rsidP="00D85038">
      <w:pPr>
        <w:ind w:left="720"/>
        <w:rPr>
          <w:rFonts w:ascii="Arial" w:hAnsi="Arial" w:cs="Arial"/>
        </w:rPr>
      </w:pPr>
    </w:p>
    <w:p w14:paraId="73A7887A" w14:textId="198C2CD3" w:rsidR="00D85038" w:rsidRPr="008554C4" w:rsidRDefault="00D85038" w:rsidP="00D85038">
      <w:pPr>
        <w:ind w:left="720"/>
        <w:rPr>
          <w:rFonts w:ascii="Arial" w:hAnsi="Arial" w:cs="Arial"/>
        </w:rPr>
      </w:pPr>
      <w:r w:rsidRPr="008554C4">
        <w:rPr>
          <w:rFonts w:ascii="Arial" w:hAnsi="Arial" w:cs="Arial"/>
        </w:rPr>
        <w:t>The District SEPA official will re-initiate scoping for the PEIS as soon as possible to engage in a robust public process regarding the new alternatives described in Exhibit A to this Motion.</w:t>
      </w:r>
    </w:p>
    <w:p w14:paraId="7D2BB0AB" w14:textId="77777777" w:rsidR="00D85038" w:rsidRPr="008554C4" w:rsidRDefault="00D85038" w:rsidP="00D85038">
      <w:pPr>
        <w:ind w:left="720"/>
        <w:rPr>
          <w:rFonts w:ascii="Arial" w:hAnsi="Arial" w:cs="Arial"/>
        </w:rPr>
      </w:pPr>
    </w:p>
    <w:p w14:paraId="1025962C" w14:textId="31A054B9" w:rsidR="00D85038" w:rsidRPr="008554C4" w:rsidRDefault="00D85038" w:rsidP="00D85038">
      <w:pPr>
        <w:ind w:left="720"/>
        <w:rPr>
          <w:rFonts w:ascii="Arial" w:hAnsi="Arial" w:cs="Arial"/>
        </w:rPr>
      </w:pPr>
      <w:r w:rsidRPr="008554C4">
        <w:rPr>
          <w:rFonts w:ascii="Arial" w:hAnsi="Arial" w:cs="Arial"/>
        </w:rPr>
        <w:t>Following a scoping period, the District SEPA official will identify the alternatives to be studied in the PEIS.</w:t>
      </w:r>
    </w:p>
    <w:p w14:paraId="0CFEC7D1" w14:textId="77777777" w:rsidR="00D85038" w:rsidRPr="008554C4" w:rsidRDefault="00D85038" w:rsidP="00D85038">
      <w:pPr>
        <w:ind w:left="720"/>
        <w:rPr>
          <w:rFonts w:ascii="Arial" w:hAnsi="Arial" w:cs="Arial"/>
        </w:rPr>
      </w:pPr>
    </w:p>
    <w:p w14:paraId="25444863" w14:textId="77777777" w:rsidR="00D85038" w:rsidRPr="008554C4" w:rsidRDefault="00D85038" w:rsidP="00D85038">
      <w:pPr>
        <w:ind w:left="720"/>
        <w:rPr>
          <w:rFonts w:ascii="Arial" w:hAnsi="Arial" w:cs="Arial"/>
        </w:rPr>
      </w:pPr>
      <w:r w:rsidRPr="008554C4">
        <w:rPr>
          <w:rFonts w:ascii="Arial" w:hAnsi="Arial" w:cs="Arial"/>
        </w:rPr>
        <w:t>The study team will conduct the PEIS analysis and issue a draft PEIS.</w:t>
      </w:r>
    </w:p>
    <w:p w14:paraId="4799BEED" w14:textId="77777777" w:rsidR="00D85038" w:rsidRPr="008554C4" w:rsidRDefault="00D85038" w:rsidP="00D85038">
      <w:pPr>
        <w:ind w:left="720"/>
        <w:rPr>
          <w:rFonts w:ascii="Arial" w:hAnsi="Arial" w:cs="Arial"/>
        </w:rPr>
      </w:pPr>
    </w:p>
    <w:p w14:paraId="703E7671" w14:textId="77777777" w:rsidR="00D85038" w:rsidRPr="008554C4" w:rsidRDefault="00D85038" w:rsidP="00D85038">
      <w:pPr>
        <w:ind w:left="720"/>
        <w:rPr>
          <w:rFonts w:ascii="Arial" w:hAnsi="Arial" w:cs="Arial"/>
        </w:rPr>
      </w:pPr>
      <w:r w:rsidRPr="008554C4">
        <w:rPr>
          <w:rFonts w:ascii="Arial" w:hAnsi="Arial" w:cs="Arial"/>
        </w:rPr>
        <w:t>A public review process will take place on the draft PEIS.</w:t>
      </w:r>
    </w:p>
    <w:p w14:paraId="2752BFEB" w14:textId="77777777" w:rsidR="00D85038" w:rsidRPr="008554C4" w:rsidRDefault="00D85038" w:rsidP="00D85038">
      <w:pPr>
        <w:ind w:left="720"/>
        <w:rPr>
          <w:rFonts w:ascii="Arial" w:hAnsi="Arial" w:cs="Arial"/>
        </w:rPr>
      </w:pPr>
    </w:p>
    <w:p w14:paraId="2C995F62" w14:textId="77777777" w:rsidR="00D85038" w:rsidRPr="008554C4" w:rsidRDefault="00D85038" w:rsidP="00D85038">
      <w:pPr>
        <w:ind w:left="720"/>
        <w:rPr>
          <w:rFonts w:ascii="Arial" w:hAnsi="Arial" w:cs="Arial"/>
        </w:rPr>
      </w:pPr>
      <w:r w:rsidRPr="008554C4">
        <w:rPr>
          <w:rFonts w:ascii="Arial" w:hAnsi="Arial" w:cs="Arial"/>
        </w:rPr>
        <w:t>After consideration of the public comments on the draft PEIS, the District will select a preferred alternative and issue a Final PEIS.</w:t>
      </w:r>
    </w:p>
    <w:p w14:paraId="12ECF13F" w14:textId="77777777" w:rsidR="00D85038" w:rsidRPr="008554C4" w:rsidRDefault="00D85038" w:rsidP="00D85038">
      <w:pPr>
        <w:ind w:left="720"/>
        <w:rPr>
          <w:rFonts w:ascii="Arial" w:hAnsi="Arial" w:cs="Arial"/>
        </w:rPr>
      </w:pPr>
    </w:p>
    <w:p w14:paraId="26EFABAB" w14:textId="33CC1609" w:rsidR="00D85038" w:rsidRPr="008554C4" w:rsidRDefault="00D85038" w:rsidP="00D85038">
      <w:pPr>
        <w:ind w:left="720"/>
        <w:rPr>
          <w:rFonts w:ascii="Arial" w:hAnsi="Arial" w:cs="Arial"/>
        </w:rPr>
      </w:pPr>
      <w:r w:rsidRPr="008554C4">
        <w:rPr>
          <w:rFonts w:ascii="Arial" w:hAnsi="Arial" w:cs="Arial"/>
        </w:rPr>
        <w:t xml:space="preserve">The Final PEIS preferred alternative will be the </w:t>
      </w:r>
      <w:r w:rsidR="008554C4" w:rsidRPr="008554C4">
        <w:rPr>
          <w:rFonts w:ascii="Arial" w:hAnsi="Arial" w:cs="Arial"/>
        </w:rPr>
        <w:t xml:space="preserve">Lower Green River Corridor </w:t>
      </w:r>
      <w:r w:rsidRPr="008554C4">
        <w:rPr>
          <w:rFonts w:ascii="Arial" w:hAnsi="Arial" w:cs="Arial"/>
        </w:rPr>
        <w:t>Flood Hazard Management Plan and the District will determine implementation and funding actions.</w:t>
      </w:r>
    </w:p>
    <w:p w14:paraId="68A36B60" w14:textId="52EAAFAC" w:rsidR="005E14DE" w:rsidRPr="008554C4" w:rsidRDefault="005E14DE" w:rsidP="00D85038">
      <w:pPr>
        <w:numPr>
          <w:ilvl w:val="0"/>
          <w:numId w:val="10"/>
        </w:numPr>
        <w:autoSpaceDE w:val="0"/>
        <w:autoSpaceDN w:val="0"/>
        <w:adjustRightInd w:val="0"/>
        <w:rPr>
          <w:rFonts w:ascii="Arial" w:hAnsi="Arial" w:cs="Arial"/>
        </w:rPr>
      </w:pPr>
    </w:p>
    <w:sectPr w:rsidR="005E14DE" w:rsidRPr="008554C4" w:rsidSect="00022139">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D01B" w14:textId="77777777" w:rsidR="002B7329" w:rsidRDefault="002B7329" w:rsidP="00371BC4">
      <w:r>
        <w:separator/>
      </w:r>
    </w:p>
  </w:endnote>
  <w:endnote w:type="continuationSeparator" w:id="0">
    <w:p w14:paraId="2DF14388" w14:textId="77777777" w:rsidR="002B7329" w:rsidRDefault="002B7329" w:rsidP="0037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74D7" w14:textId="77777777" w:rsidR="00F15C9E" w:rsidRDefault="00F15C9E" w:rsidP="00657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574D8" w14:textId="77777777" w:rsidR="00F15C9E" w:rsidRDefault="00F15C9E" w:rsidP="00657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337089"/>
      <w:docPartObj>
        <w:docPartGallery w:val="Page Numbers (Bottom of Page)"/>
        <w:docPartUnique/>
      </w:docPartObj>
    </w:sdtPr>
    <w:sdtEndPr>
      <w:rPr>
        <w:noProof/>
      </w:rPr>
    </w:sdtEndPr>
    <w:sdtContent>
      <w:p w14:paraId="3863F416" w14:textId="7086204F" w:rsidR="006F597A" w:rsidRDefault="006F5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574DA" w14:textId="77777777" w:rsidR="00F15C9E" w:rsidRDefault="00F15C9E" w:rsidP="00D950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35460"/>
      <w:docPartObj>
        <w:docPartGallery w:val="Page Numbers (Bottom of Page)"/>
        <w:docPartUnique/>
      </w:docPartObj>
    </w:sdtPr>
    <w:sdtEndPr>
      <w:rPr>
        <w:noProof/>
      </w:rPr>
    </w:sdtEndPr>
    <w:sdtContent>
      <w:p w14:paraId="4E0F0D0D" w14:textId="3B711445" w:rsidR="006F597A" w:rsidRDefault="006F5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574DD" w14:textId="77777777" w:rsidR="0044075F" w:rsidRDefault="0044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8B72" w14:textId="77777777" w:rsidR="002B7329" w:rsidRDefault="002B7329" w:rsidP="00371BC4">
      <w:r>
        <w:separator/>
      </w:r>
    </w:p>
  </w:footnote>
  <w:footnote w:type="continuationSeparator" w:id="0">
    <w:p w14:paraId="159B165C" w14:textId="77777777" w:rsidR="002B7329" w:rsidRDefault="002B7329" w:rsidP="0037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2D32" w14:textId="77777777" w:rsidR="004D1396" w:rsidRDefault="004D1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3485" w14:textId="77777777" w:rsidR="004D1396" w:rsidRDefault="004D1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74DB" w14:textId="77777777" w:rsidR="00F15C9E" w:rsidRDefault="00F15C9E">
    <w:pPr>
      <w:pStyle w:val="Header"/>
    </w:pPr>
    <w:r w:rsidRPr="008E76F2">
      <w:rPr>
        <w:noProof/>
      </w:rPr>
      <w:drawing>
        <wp:anchor distT="0" distB="0" distL="114300" distR="114300" simplePos="0" relativeHeight="251657216" behindDoc="0" locked="0" layoutInCell="1" allowOverlap="1" wp14:anchorId="34D574DE" wp14:editId="433017D2">
          <wp:simplePos x="0" y="0"/>
          <wp:positionH relativeFrom="column">
            <wp:posOffset>1199312</wp:posOffset>
          </wp:positionH>
          <wp:positionV relativeFrom="paragraph">
            <wp:posOffset>-100508</wp:posOffset>
          </wp:positionV>
          <wp:extent cx="3292740" cy="904875"/>
          <wp:effectExtent l="0" t="0" r="3175" b="0"/>
          <wp:wrapNone/>
          <wp:docPr id="2" name="Picture 2" descr="Flood_stat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_stat_top"/>
                  <pic:cNvPicPr>
                    <a:picLocks noChangeAspect="1" noChangeArrowheads="1"/>
                  </pic:cNvPicPr>
                </pic:nvPicPr>
                <pic:blipFill rotWithShape="1">
                  <a:blip r:embed="rId1"/>
                  <a:srcRect r="57725" b="33661"/>
                  <a:stretch/>
                </pic:blipFill>
                <pic:spPr bwMode="auto">
                  <a:xfrm>
                    <a:off x="0" y="0"/>
                    <a:ext cx="329274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6F68BF"/>
    <w:multiLevelType w:val="hybridMultilevel"/>
    <w:tmpl w:val="F1A1504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89550B"/>
    <w:multiLevelType w:val="hybridMultilevel"/>
    <w:tmpl w:val="14CA5CD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142803"/>
    <w:multiLevelType w:val="hybridMultilevel"/>
    <w:tmpl w:val="FA3ECA72"/>
    <w:lvl w:ilvl="0" w:tplc="1412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840CD"/>
    <w:multiLevelType w:val="hybridMultilevel"/>
    <w:tmpl w:val="692AF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F2496"/>
    <w:multiLevelType w:val="hybridMultilevel"/>
    <w:tmpl w:val="74BCB146"/>
    <w:lvl w:ilvl="0" w:tplc="CD688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A26EB"/>
    <w:multiLevelType w:val="hybridMultilevel"/>
    <w:tmpl w:val="773C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4677"/>
    <w:multiLevelType w:val="hybridMultilevel"/>
    <w:tmpl w:val="E7AC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B24F6"/>
    <w:multiLevelType w:val="hybridMultilevel"/>
    <w:tmpl w:val="785E317C"/>
    <w:lvl w:ilvl="0" w:tplc="A0F68F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628C3"/>
    <w:multiLevelType w:val="hybridMultilevel"/>
    <w:tmpl w:val="E9C02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7688E"/>
    <w:multiLevelType w:val="hybridMultilevel"/>
    <w:tmpl w:val="20C46DF2"/>
    <w:lvl w:ilvl="0" w:tplc="097423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C1A71D"/>
    <w:multiLevelType w:val="hybridMultilevel"/>
    <w:tmpl w:val="BC3A092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F7205ED"/>
    <w:multiLevelType w:val="hybridMultilevel"/>
    <w:tmpl w:val="78A021EC"/>
    <w:lvl w:ilvl="0" w:tplc="68C48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7"/>
  </w:num>
  <w:num w:numId="5">
    <w:abstractNumId w:val="11"/>
  </w:num>
  <w:num w:numId="6">
    <w:abstractNumId w:val="5"/>
  </w:num>
  <w:num w:numId="7">
    <w:abstractNumId w:val="9"/>
  </w:num>
  <w:num w:numId="8">
    <w:abstractNumId w:val="3"/>
  </w:num>
  <w:num w:numId="9">
    <w:abstractNumId w:val="8"/>
  </w:num>
  <w:num w:numId="10">
    <w:abstractNumId w:val="1"/>
  </w:num>
  <w:num w:numId="11">
    <w:abstractNumId w:val="1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DEB"/>
    <w:rsid w:val="000104B5"/>
    <w:rsid w:val="00022139"/>
    <w:rsid w:val="00024997"/>
    <w:rsid w:val="000377EF"/>
    <w:rsid w:val="00051F5B"/>
    <w:rsid w:val="00052742"/>
    <w:rsid w:val="0005500C"/>
    <w:rsid w:val="000569B0"/>
    <w:rsid w:val="000732CA"/>
    <w:rsid w:val="000766C7"/>
    <w:rsid w:val="00077ACA"/>
    <w:rsid w:val="00095FD2"/>
    <w:rsid w:val="000A7678"/>
    <w:rsid w:val="000B4175"/>
    <w:rsid w:val="000C6CF8"/>
    <w:rsid w:val="000D3F0D"/>
    <w:rsid w:val="000E419A"/>
    <w:rsid w:val="000E6C5D"/>
    <w:rsid w:val="000F3D07"/>
    <w:rsid w:val="000F7870"/>
    <w:rsid w:val="001265CC"/>
    <w:rsid w:val="001552FE"/>
    <w:rsid w:val="00170603"/>
    <w:rsid w:val="00170A0D"/>
    <w:rsid w:val="001B30CB"/>
    <w:rsid w:val="001B4435"/>
    <w:rsid w:val="001B50A1"/>
    <w:rsid w:val="001D5EDB"/>
    <w:rsid w:val="001D72B3"/>
    <w:rsid w:val="00206957"/>
    <w:rsid w:val="00210F9E"/>
    <w:rsid w:val="002210CA"/>
    <w:rsid w:val="00262B6A"/>
    <w:rsid w:val="00277659"/>
    <w:rsid w:val="00280DE7"/>
    <w:rsid w:val="002904EC"/>
    <w:rsid w:val="002A54CA"/>
    <w:rsid w:val="002B7329"/>
    <w:rsid w:val="002C22B5"/>
    <w:rsid w:val="002F4657"/>
    <w:rsid w:val="002F4C3C"/>
    <w:rsid w:val="00323315"/>
    <w:rsid w:val="00324092"/>
    <w:rsid w:val="00325C17"/>
    <w:rsid w:val="00332B24"/>
    <w:rsid w:val="00333789"/>
    <w:rsid w:val="003348F9"/>
    <w:rsid w:val="003430FF"/>
    <w:rsid w:val="00344629"/>
    <w:rsid w:val="0036256C"/>
    <w:rsid w:val="00371BC4"/>
    <w:rsid w:val="00391EA6"/>
    <w:rsid w:val="003A0AF0"/>
    <w:rsid w:val="003C1DF4"/>
    <w:rsid w:val="003D51B1"/>
    <w:rsid w:val="00403845"/>
    <w:rsid w:val="00413B7F"/>
    <w:rsid w:val="00422682"/>
    <w:rsid w:val="004354A3"/>
    <w:rsid w:val="0044075F"/>
    <w:rsid w:val="00445F32"/>
    <w:rsid w:val="00453C4A"/>
    <w:rsid w:val="00456098"/>
    <w:rsid w:val="0046352E"/>
    <w:rsid w:val="00474855"/>
    <w:rsid w:val="004B2B95"/>
    <w:rsid w:val="004D1396"/>
    <w:rsid w:val="004E0A02"/>
    <w:rsid w:val="004F54AC"/>
    <w:rsid w:val="004F7092"/>
    <w:rsid w:val="00514DDA"/>
    <w:rsid w:val="0052115E"/>
    <w:rsid w:val="00523F06"/>
    <w:rsid w:val="00533A2F"/>
    <w:rsid w:val="005457DD"/>
    <w:rsid w:val="00555A89"/>
    <w:rsid w:val="005601FF"/>
    <w:rsid w:val="00573B69"/>
    <w:rsid w:val="00580E27"/>
    <w:rsid w:val="005B5503"/>
    <w:rsid w:val="005E14DE"/>
    <w:rsid w:val="005E1692"/>
    <w:rsid w:val="005F2BFD"/>
    <w:rsid w:val="00612696"/>
    <w:rsid w:val="00633143"/>
    <w:rsid w:val="00656792"/>
    <w:rsid w:val="00657EC6"/>
    <w:rsid w:val="00663ABB"/>
    <w:rsid w:val="00677775"/>
    <w:rsid w:val="00677F8A"/>
    <w:rsid w:val="0068164F"/>
    <w:rsid w:val="00697DEB"/>
    <w:rsid w:val="006C2521"/>
    <w:rsid w:val="006C4129"/>
    <w:rsid w:val="006E65CD"/>
    <w:rsid w:val="006F597A"/>
    <w:rsid w:val="00702B2D"/>
    <w:rsid w:val="00720B64"/>
    <w:rsid w:val="0073113A"/>
    <w:rsid w:val="00731253"/>
    <w:rsid w:val="007428CB"/>
    <w:rsid w:val="00747469"/>
    <w:rsid w:val="0075104E"/>
    <w:rsid w:val="007549DF"/>
    <w:rsid w:val="00754C94"/>
    <w:rsid w:val="00784224"/>
    <w:rsid w:val="007A3D92"/>
    <w:rsid w:val="007A6925"/>
    <w:rsid w:val="00806308"/>
    <w:rsid w:val="008124E2"/>
    <w:rsid w:val="00831266"/>
    <w:rsid w:val="00845A86"/>
    <w:rsid w:val="008554C4"/>
    <w:rsid w:val="008763A0"/>
    <w:rsid w:val="00883023"/>
    <w:rsid w:val="0088521F"/>
    <w:rsid w:val="008D28CD"/>
    <w:rsid w:val="00901A36"/>
    <w:rsid w:val="009159D1"/>
    <w:rsid w:val="00920830"/>
    <w:rsid w:val="00934751"/>
    <w:rsid w:val="00940222"/>
    <w:rsid w:val="00991879"/>
    <w:rsid w:val="009A7C35"/>
    <w:rsid w:val="009B539C"/>
    <w:rsid w:val="009B6558"/>
    <w:rsid w:val="009B6DAF"/>
    <w:rsid w:val="009C6E05"/>
    <w:rsid w:val="009D1D0C"/>
    <w:rsid w:val="009D2AFF"/>
    <w:rsid w:val="009F3C74"/>
    <w:rsid w:val="00A10F54"/>
    <w:rsid w:val="00A16A5D"/>
    <w:rsid w:val="00A1710A"/>
    <w:rsid w:val="00A24C38"/>
    <w:rsid w:val="00A37B91"/>
    <w:rsid w:val="00A509B7"/>
    <w:rsid w:val="00A74724"/>
    <w:rsid w:val="00A843B5"/>
    <w:rsid w:val="00AD3259"/>
    <w:rsid w:val="00AD75A4"/>
    <w:rsid w:val="00AE61C7"/>
    <w:rsid w:val="00AF1AA5"/>
    <w:rsid w:val="00B0041B"/>
    <w:rsid w:val="00B0742D"/>
    <w:rsid w:val="00B438DE"/>
    <w:rsid w:val="00B507B2"/>
    <w:rsid w:val="00B66AA5"/>
    <w:rsid w:val="00B86851"/>
    <w:rsid w:val="00B93BB1"/>
    <w:rsid w:val="00B9537D"/>
    <w:rsid w:val="00B95828"/>
    <w:rsid w:val="00BD1C67"/>
    <w:rsid w:val="00BE1666"/>
    <w:rsid w:val="00C353DC"/>
    <w:rsid w:val="00C6402F"/>
    <w:rsid w:val="00C70CD1"/>
    <w:rsid w:val="00C80E43"/>
    <w:rsid w:val="00C821E5"/>
    <w:rsid w:val="00C973DE"/>
    <w:rsid w:val="00CA2709"/>
    <w:rsid w:val="00CA5B9C"/>
    <w:rsid w:val="00CD4F1B"/>
    <w:rsid w:val="00CE307B"/>
    <w:rsid w:val="00CE79CD"/>
    <w:rsid w:val="00CF07D5"/>
    <w:rsid w:val="00CF11D1"/>
    <w:rsid w:val="00CF6491"/>
    <w:rsid w:val="00D00180"/>
    <w:rsid w:val="00D03399"/>
    <w:rsid w:val="00D11451"/>
    <w:rsid w:val="00D17491"/>
    <w:rsid w:val="00D22603"/>
    <w:rsid w:val="00D3035B"/>
    <w:rsid w:val="00D5591C"/>
    <w:rsid w:val="00D55946"/>
    <w:rsid w:val="00D714FA"/>
    <w:rsid w:val="00D73E5E"/>
    <w:rsid w:val="00D81B71"/>
    <w:rsid w:val="00D85038"/>
    <w:rsid w:val="00D92CEE"/>
    <w:rsid w:val="00D9500B"/>
    <w:rsid w:val="00DB051E"/>
    <w:rsid w:val="00DB184C"/>
    <w:rsid w:val="00DB30BA"/>
    <w:rsid w:val="00DB46E5"/>
    <w:rsid w:val="00DC49D2"/>
    <w:rsid w:val="00E30F65"/>
    <w:rsid w:val="00E32B1C"/>
    <w:rsid w:val="00E52975"/>
    <w:rsid w:val="00E53EA6"/>
    <w:rsid w:val="00E76B4C"/>
    <w:rsid w:val="00E84B2A"/>
    <w:rsid w:val="00E90018"/>
    <w:rsid w:val="00E96CD9"/>
    <w:rsid w:val="00EB74FC"/>
    <w:rsid w:val="00ED2F9A"/>
    <w:rsid w:val="00EE589F"/>
    <w:rsid w:val="00F00172"/>
    <w:rsid w:val="00F12BFD"/>
    <w:rsid w:val="00F15C9E"/>
    <w:rsid w:val="00F37971"/>
    <w:rsid w:val="00F43D1F"/>
    <w:rsid w:val="00F94399"/>
    <w:rsid w:val="00F9559E"/>
    <w:rsid w:val="00FA0FE8"/>
    <w:rsid w:val="00FE4A21"/>
    <w:rsid w:val="00FF47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D57488"/>
  <w15:docId w15:val="{5C91538D-D30B-444E-9B30-57A4DFA0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62B6A"/>
    <w:pPr>
      <w:widowControl w:val="0"/>
      <w:ind w:left="468" w:hanging="360"/>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ED2F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503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94"/>
    <w:pPr>
      <w:ind w:left="720"/>
      <w:contextualSpacing/>
    </w:pPr>
  </w:style>
  <w:style w:type="character" w:styleId="Hyperlink">
    <w:name w:val="Hyperlink"/>
    <w:basedOn w:val="DefaultParagraphFont"/>
    <w:uiPriority w:val="99"/>
    <w:unhideWhenUsed/>
    <w:rsid w:val="00754C94"/>
    <w:rPr>
      <w:color w:val="0000FF" w:themeColor="hyperlink"/>
      <w:u w:val="single"/>
    </w:rPr>
  </w:style>
  <w:style w:type="paragraph" w:styleId="Header">
    <w:name w:val="header"/>
    <w:basedOn w:val="Normal"/>
    <w:link w:val="HeaderChar"/>
    <w:uiPriority w:val="99"/>
    <w:unhideWhenUsed/>
    <w:rsid w:val="00371BC4"/>
    <w:pPr>
      <w:tabs>
        <w:tab w:val="center" w:pos="4320"/>
        <w:tab w:val="right" w:pos="8640"/>
      </w:tabs>
    </w:pPr>
  </w:style>
  <w:style w:type="character" w:customStyle="1" w:styleId="HeaderChar">
    <w:name w:val="Header Char"/>
    <w:basedOn w:val="DefaultParagraphFont"/>
    <w:link w:val="Header"/>
    <w:uiPriority w:val="99"/>
    <w:rsid w:val="00371BC4"/>
  </w:style>
  <w:style w:type="paragraph" w:styleId="Footer">
    <w:name w:val="footer"/>
    <w:basedOn w:val="Normal"/>
    <w:link w:val="FooterChar"/>
    <w:uiPriority w:val="99"/>
    <w:unhideWhenUsed/>
    <w:rsid w:val="00371BC4"/>
    <w:pPr>
      <w:tabs>
        <w:tab w:val="center" w:pos="4320"/>
        <w:tab w:val="right" w:pos="8640"/>
      </w:tabs>
    </w:pPr>
  </w:style>
  <w:style w:type="character" w:customStyle="1" w:styleId="FooterChar">
    <w:name w:val="Footer Char"/>
    <w:basedOn w:val="DefaultParagraphFont"/>
    <w:link w:val="Footer"/>
    <w:uiPriority w:val="99"/>
    <w:rsid w:val="00371BC4"/>
  </w:style>
  <w:style w:type="paragraph" w:styleId="BalloonText">
    <w:name w:val="Balloon Text"/>
    <w:basedOn w:val="Normal"/>
    <w:link w:val="BalloonTextChar"/>
    <w:uiPriority w:val="99"/>
    <w:semiHidden/>
    <w:unhideWhenUsed/>
    <w:rsid w:val="00371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BC4"/>
    <w:rPr>
      <w:rFonts w:ascii="Lucida Grande" w:hAnsi="Lucida Grande" w:cs="Lucida Grande"/>
      <w:sz w:val="18"/>
      <w:szCs w:val="18"/>
    </w:rPr>
  </w:style>
  <w:style w:type="character" w:customStyle="1" w:styleId="Heading1Char">
    <w:name w:val="Heading 1 Char"/>
    <w:basedOn w:val="DefaultParagraphFont"/>
    <w:link w:val="Heading1"/>
    <w:uiPriority w:val="1"/>
    <w:rsid w:val="00262B6A"/>
    <w:rPr>
      <w:rFonts w:ascii="Arial" w:eastAsia="Arial" w:hAnsi="Arial" w:cs="Arial"/>
      <w:b/>
      <w:bCs/>
      <w:sz w:val="22"/>
      <w:szCs w:val="22"/>
    </w:rPr>
  </w:style>
  <w:style w:type="paragraph" w:styleId="BodyText">
    <w:name w:val="Body Text"/>
    <w:basedOn w:val="Normal"/>
    <w:link w:val="BodyTextChar"/>
    <w:uiPriority w:val="1"/>
    <w:qFormat/>
    <w:rsid w:val="00262B6A"/>
    <w:pPr>
      <w:widowControl w:val="0"/>
    </w:pPr>
    <w:rPr>
      <w:rFonts w:ascii="Arial" w:eastAsia="Arial" w:hAnsi="Arial" w:cs="Arial"/>
      <w:sz w:val="18"/>
      <w:szCs w:val="18"/>
    </w:rPr>
  </w:style>
  <w:style w:type="character" w:customStyle="1" w:styleId="BodyTextChar">
    <w:name w:val="Body Text Char"/>
    <w:basedOn w:val="DefaultParagraphFont"/>
    <w:link w:val="BodyText"/>
    <w:uiPriority w:val="1"/>
    <w:rsid w:val="00262B6A"/>
    <w:rPr>
      <w:rFonts w:ascii="Arial" w:eastAsia="Arial" w:hAnsi="Arial" w:cs="Arial"/>
      <w:sz w:val="18"/>
      <w:szCs w:val="18"/>
    </w:rPr>
  </w:style>
  <w:style w:type="character" w:customStyle="1" w:styleId="Heading2Char">
    <w:name w:val="Heading 2 Char"/>
    <w:basedOn w:val="DefaultParagraphFont"/>
    <w:link w:val="Heading2"/>
    <w:uiPriority w:val="9"/>
    <w:semiHidden/>
    <w:rsid w:val="00ED2F9A"/>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ED2F9A"/>
    <w:pPr>
      <w:widowControl w:val="0"/>
      <w:ind w:left="100"/>
    </w:pPr>
    <w:rPr>
      <w:rFonts w:ascii="Calibri" w:eastAsia="Calibri" w:hAnsi="Calibri" w:cs="Calibri"/>
      <w:sz w:val="22"/>
      <w:szCs w:val="22"/>
    </w:rPr>
  </w:style>
  <w:style w:type="character" w:styleId="PageNumber">
    <w:name w:val="page number"/>
    <w:basedOn w:val="DefaultParagraphFont"/>
    <w:uiPriority w:val="99"/>
    <w:semiHidden/>
    <w:unhideWhenUsed/>
    <w:rsid w:val="00657EC6"/>
  </w:style>
  <w:style w:type="character" w:styleId="FollowedHyperlink">
    <w:name w:val="FollowedHyperlink"/>
    <w:basedOn w:val="DefaultParagraphFont"/>
    <w:uiPriority w:val="99"/>
    <w:semiHidden/>
    <w:unhideWhenUsed/>
    <w:rsid w:val="00656792"/>
    <w:rPr>
      <w:color w:val="800080" w:themeColor="followedHyperlink"/>
      <w:u w:val="single"/>
    </w:rPr>
  </w:style>
  <w:style w:type="table" w:styleId="TableGrid">
    <w:name w:val="Table Grid"/>
    <w:basedOn w:val="TableNormal"/>
    <w:uiPriority w:val="59"/>
    <w:rsid w:val="00E8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8503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0E0D787B36DA43AEE7748B9F9EB913" ma:contentTypeVersion="7" ma:contentTypeDescription="Create a new document." ma:contentTypeScope="" ma:versionID="b6ebb90ed9ab2374a1640f015679288e">
  <xsd:schema xmlns:xsd="http://www.w3.org/2001/XMLSchema" xmlns:xs="http://www.w3.org/2001/XMLSchema" xmlns:p="http://schemas.microsoft.com/office/2006/metadata/properties" xmlns:ns3="f6be2142-a74c-44e0-88c5-b1c42e9d0f4e" targetNamespace="http://schemas.microsoft.com/office/2006/metadata/properties" ma:root="true" ma:fieldsID="80b8d8910630c076cbdb5315e042e0c8" ns3:_="">
    <xsd:import namespace="f6be2142-a74c-44e0-88c5-b1c42e9d0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e2142-a74c-44e0-88c5-b1c42e9d0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85835-0054-40BE-99DE-D3ABD8600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331D30-F77F-4F30-BCE2-1F26A590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e2142-a74c-44e0-88c5-b1c42e9d0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4B21C-540D-4584-A355-E84554CB8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Lund Consulting, Inc.</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Clark</dc:creator>
  <cp:keywords/>
  <dc:description/>
  <cp:lastModifiedBy>Clark, Michelle</cp:lastModifiedBy>
  <cp:revision>4</cp:revision>
  <cp:lastPrinted>2020-10-07T18:23:00Z</cp:lastPrinted>
  <dcterms:created xsi:type="dcterms:W3CDTF">2021-10-05T07:25:00Z</dcterms:created>
  <dcterms:modified xsi:type="dcterms:W3CDTF">2021-10-06T18:41:00Z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0x010100C20E0D787B36DA43AEE7748B9F9EB913</vt:lpwstr>
  </property>
</Properties>
</file>