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F895" w14:textId="77777777" w:rsidR="004C3B44" w:rsidRPr="001C5B54" w:rsidRDefault="004C3B44" w:rsidP="004C3B44">
      <w:pPr>
        <w:pStyle w:val="Heading2"/>
        <w:rPr>
          <w:bCs/>
          <w:color w:val="1A1A1A"/>
          <w:w w:val="108"/>
          <w:position w:val="-1"/>
          <w:szCs w:val="24"/>
        </w:rPr>
      </w:pPr>
      <w:r w:rsidRPr="001C5B54">
        <w:rPr>
          <w:bCs/>
          <w:color w:val="1A1A1A"/>
          <w:w w:val="108"/>
          <w:position w:val="-1"/>
          <w:szCs w:val="24"/>
        </w:rPr>
        <w:t>Attachment B-1</w:t>
      </w:r>
    </w:p>
    <w:p w14:paraId="2D5E19D6" w14:textId="77777777" w:rsidR="004C3B44" w:rsidRPr="00D13F54" w:rsidRDefault="004C3B44" w:rsidP="004C3B44">
      <w:pPr>
        <w:pStyle w:val="Heading2"/>
        <w:rPr>
          <w:szCs w:val="24"/>
        </w:rPr>
      </w:pPr>
      <w:r w:rsidRPr="00D13F54">
        <w:rPr>
          <w:szCs w:val="24"/>
        </w:rPr>
        <w:t>Description of the 2021A Sewer Bonds</w:t>
      </w:r>
    </w:p>
    <w:p w14:paraId="0E11F8F1" w14:textId="77777777" w:rsidR="004C3B44" w:rsidRPr="00540173" w:rsidRDefault="004C3B44" w:rsidP="004C3B44">
      <w:pPr>
        <w:widowControl w:val="0"/>
        <w:spacing w:after="0" w:line="480" w:lineRule="auto"/>
        <w:rPr>
          <w:bCs/>
          <w:color w:val="1A1A1A"/>
          <w:w w:val="108"/>
          <w:position w:val="-1"/>
          <w:sz w:val="21"/>
          <w:szCs w:val="21"/>
        </w:rPr>
      </w:pPr>
      <w:r w:rsidRPr="00540173">
        <w:rPr>
          <w:bCs/>
          <w:color w:val="1A1A1A"/>
          <w:w w:val="108"/>
          <w:position w:val="-1"/>
          <w:sz w:val="21"/>
          <w:szCs w:val="21"/>
        </w:rPr>
        <w:t>(a)</w:t>
      </w:r>
      <w:r w:rsidRPr="00540173">
        <w:rPr>
          <w:bCs/>
          <w:color w:val="1A1A1A"/>
          <w:w w:val="108"/>
          <w:position w:val="-1"/>
          <w:sz w:val="21"/>
          <w:szCs w:val="21"/>
        </w:rPr>
        <w:tab/>
        <w:t>Principal Amount:</w:t>
      </w:r>
      <w:r w:rsidRPr="00540173">
        <w:rPr>
          <w:bCs/>
          <w:color w:val="1A1A1A"/>
          <w:w w:val="108"/>
          <w:position w:val="-1"/>
          <w:sz w:val="21"/>
          <w:szCs w:val="21"/>
        </w:rPr>
        <w:tab/>
      </w:r>
      <w:r w:rsidRPr="00540173">
        <w:rPr>
          <w:bCs/>
          <w:color w:val="1A1A1A"/>
          <w:w w:val="108"/>
          <w:position w:val="-1"/>
          <w:sz w:val="21"/>
          <w:szCs w:val="21"/>
        </w:rPr>
        <w:tab/>
        <w:t>$</w:t>
      </w:r>
      <w:r w:rsidRPr="00A42523">
        <w:rPr>
          <w:bCs/>
          <w:color w:val="1A1A1A"/>
          <w:w w:val="108"/>
          <w:position w:val="-1"/>
          <w:sz w:val="21"/>
          <w:szCs w:val="21"/>
        </w:rPr>
        <w:t>231,200,000.00</w:t>
      </w:r>
    </w:p>
    <w:p w14:paraId="6287F2FD" w14:textId="77777777" w:rsidR="004C3B44" w:rsidRPr="00540173" w:rsidRDefault="004C3B44" w:rsidP="004C3B44">
      <w:pPr>
        <w:pStyle w:val="BodyTextIndent3"/>
      </w:pPr>
      <w:r w:rsidRPr="00540173">
        <w:t>(b)</w:t>
      </w:r>
      <w:r w:rsidRPr="00540173">
        <w:tab/>
        <w:t>Purchase Price:</w:t>
      </w:r>
      <w:r w:rsidRPr="00540173">
        <w:tab/>
        <w:t>$</w:t>
      </w:r>
      <w:r w:rsidRPr="00CA426E">
        <w:t>230,694,016.85</w:t>
      </w:r>
      <w:r w:rsidRPr="00540173">
        <w:t xml:space="preserve">, representing the stated principal amount of the </w:t>
      </w:r>
      <w:r>
        <w:t>2021A Bonds, minus an underwriter’</w:t>
      </w:r>
      <w:r w:rsidRPr="00540173">
        <w:t>s discount of $</w:t>
      </w:r>
      <w:r w:rsidRPr="00CA426E">
        <w:t>505,983.15</w:t>
      </w:r>
      <w:r w:rsidRPr="00540173">
        <w:t>.</w:t>
      </w:r>
    </w:p>
    <w:p w14:paraId="1481D204" w14:textId="77777777" w:rsidR="004C3B44" w:rsidRPr="00540173" w:rsidRDefault="004C3B44" w:rsidP="004C3B44">
      <w:pPr>
        <w:widowControl w:val="0"/>
        <w:tabs>
          <w:tab w:val="left" w:pos="720"/>
        </w:tabs>
        <w:spacing w:after="0" w:line="240" w:lineRule="auto"/>
        <w:ind w:left="2880" w:hanging="2880"/>
        <w:rPr>
          <w:bCs/>
          <w:color w:val="1A1A1A"/>
          <w:w w:val="108"/>
          <w:position w:val="-1"/>
          <w:sz w:val="21"/>
          <w:szCs w:val="21"/>
        </w:rPr>
      </w:pPr>
    </w:p>
    <w:p w14:paraId="5362B1D4" w14:textId="77777777" w:rsidR="004C3B44" w:rsidRPr="00540173" w:rsidRDefault="004C3B44" w:rsidP="004C3B44">
      <w:pPr>
        <w:widowControl w:val="0"/>
        <w:tabs>
          <w:tab w:val="left" w:pos="720"/>
        </w:tabs>
        <w:spacing w:after="0" w:line="240" w:lineRule="auto"/>
        <w:ind w:left="3600" w:hanging="3600"/>
        <w:rPr>
          <w:bCs/>
          <w:color w:val="1A1A1A"/>
          <w:w w:val="108"/>
          <w:position w:val="-1"/>
          <w:sz w:val="21"/>
          <w:szCs w:val="21"/>
        </w:rPr>
      </w:pPr>
      <w:r w:rsidRPr="00540173">
        <w:rPr>
          <w:bCs/>
          <w:color w:val="1A1A1A"/>
          <w:w w:val="108"/>
          <w:position w:val="-1"/>
          <w:sz w:val="21"/>
          <w:szCs w:val="21"/>
        </w:rPr>
        <w:t>(c)</w:t>
      </w:r>
      <w:r w:rsidRPr="00540173">
        <w:rPr>
          <w:bCs/>
          <w:color w:val="1A1A1A"/>
          <w:w w:val="108"/>
          <w:position w:val="-1"/>
          <w:sz w:val="21"/>
          <w:szCs w:val="21"/>
        </w:rPr>
        <w:tab/>
        <w:t xml:space="preserve">Interest Payment Dates: </w:t>
      </w:r>
      <w:r w:rsidRPr="00540173">
        <w:rPr>
          <w:bCs/>
          <w:color w:val="1A1A1A"/>
          <w:w w:val="108"/>
          <w:position w:val="-1"/>
          <w:sz w:val="21"/>
          <w:szCs w:val="21"/>
        </w:rPr>
        <w:tab/>
      </w:r>
      <w:r>
        <w:rPr>
          <w:bCs/>
          <w:color w:val="1A1A1A"/>
          <w:w w:val="108"/>
          <w:position w:val="-1"/>
          <w:sz w:val="21"/>
          <w:szCs w:val="21"/>
        </w:rPr>
        <w:t>January</w:t>
      </w:r>
      <w:r w:rsidRPr="00540173">
        <w:rPr>
          <w:bCs/>
          <w:color w:val="1A1A1A"/>
          <w:w w:val="108"/>
          <w:position w:val="-1"/>
          <w:sz w:val="21"/>
          <w:szCs w:val="21"/>
        </w:rPr>
        <w:t xml:space="preserve"> 1 and </w:t>
      </w:r>
      <w:r>
        <w:rPr>
          <w:bCs/>
          <w:color w:val="1A1A1A"/>
          <w:w w:val="108"/>
          <w:position w:val="-1"/>
          <w:sz w:val="21"/>
          <w:szCs w:val="21"/>
        </w:rPr>
        <w:t>July</w:t>
      </w:r>
      <w:r w:rsidRPr="00540173">
        <w:rPr>
          <w:bCs/>
          <w:color w:val="1A1A1A"/>
          <w:w w:val="108"/>
          <w:position w:val="-1"/>
          <w:sz w:val="21"/>
          <w:szCs w:val="21"/>
        </w:rPr>
        <w:t xml:space="preserve"> 1, beginning </w:t>
      </w:r>
      <w:r>
        <w:rPr>
          <w:bCs/>
          <w:color w:val="1A1A1A"/>
          <w:w w:val="108"/>
          <w:position w:val="-1"/>
          <w:sz w:val="21"/>
          <w:szCs w:val="21"/>
        </w:rPr>
        <w:t>January</w:t>
      </w:r>
      <w:r w:rsidRPr="00540173">
        <w:rPr>
          <w:bCs/>
          <w:color w:val="1A1A1A"/>
          <w:w w:val="108"/>
          <w:position w:val="-1"/>
          <w:sz w:val="21"/>
          <w:szCs w:val="21"/>
        </w:rPr>
        <w:t xml:space="preserve"> 1, 202</w:t>
      </w:r>
      <w:r>
        <w:rPr>
          <w:bCs/>
          <w:color w:val="1A1A1A"/>
          <w:w w:val="108"/>
          <w:position w:val="-1"/>
          <w:sz w:val="21"/>
          <w:szCs w:val="21"/>
        </w:rPr>
        <w:t>2</w:t>
      </w:r>
      <w:r w:rsidRPr="00540173">
        <w:rPr>
          <w:bCs/>
          <w:color w:val="1A1A1A"/>
          <w:w w:val="108"/>
          <w:position w:val="-1"/>
          <w:sz w:val="21"/>
          <w:szCs w:val="21"/>
        </w:rPr>
        <w:t>.</w:t>
      </w:r>
    </w:p>
    <w:p w14:paraId="0C4CEBB5" w14:textId="77777777" w:rsidR="004C3B44" w:rsidRPr="00540173" w:rsidRDefault="004C3B44" w:rsidP="004C3B44">
      <w:pPr>
        <w:widowControl w:val="0"/>
        <w:spacing w:after="0" w:line="240" w:lineRule="auto"/>
        <w:rPr>
          <w:bCs/>
          <w:color w:val="1A1A1A"/>
          <w:w w:val="108"/>
          <w:position w:val="-1"/>
          <w:sz w:val="21"/>
          <w:szCs w:val="21"/>
        </w:rPr>
      </w:pPr>
    </w:p>
    <w:p w14:paraId="7DFB427C" w14:textId="77777777" w:rsidR="004C3B44" w:rsidRPr="00540173" w:rsidRDefault="004C3B44" w:rsidP="004C3B44">
      <w:pPr>
        <w:pStyle w:val="BlockText"/>
        <w:jc w:val="both"/>
      </w:pPr>
      <w:r>
        <w:t>(d)</w:t>
      </w:r>
      <w:r>
        <w:tab/>
        <w:t xml:space="preserve">Maturity </w:t>
      </w:r>
      <w:r w:rsidRPr="00540173">
        <w:t xml:space="preserve">and Interest  Rates:  </w:t>
      </w:r>
      <w:r w:rsidRPr="00540173">
        <w:tab/>
        <w:t xml:space="preserve">The 2021A </w:t>
      </w:r>
      <w:r>
        <w:t xml:space="preserve">Bonds </w:t>
      </w:r>
      <w:r w:rsidRPr="00540173">
        <w:t xml:space="preserve">shall mature on the dates and bear interest at the </w:t>
      </w:r>
      <w:r>
        <w:t xml:space="preserve">rates (computed </w:t>
      </w:r>
      <w:r w:rsidRPr="00540173">
        <w:t>on the basis of a 360-day year of t</w:t>
      </w:r>
      <w:r>
        <w:t xml:space="preserve">welve 30-day months), </w:t>
      </w:r>
      <w:r w:rsidRPr="00540173">
        <w:t>as follows:</w:t>
      </w:r>
    </w:p>
    <w:p w14:paraId="2B32970B" w14:textId="77777777" w:rsidR="004C3B44" w:rsidRDefault="004C3B44" w:rsidP="004C3B44">
      <w:pPr>
        <w:widowControl w:val="0"/>
        <w:spacing w:after="0" w:line="240" w:lineRule="auto"/>
        <w:rPr>
          <w:bCs/>
          <w:color w:val="1A1A1A"/>
          <w:w w:val="108"/>
          <w:position w:val="-1"/>
          <w:sz w:val="21"/>
          <w:szCs w:val="21"/>
        </w:rPr>
      </w:pPr>
      <w:r w:rsidRPr="00540173">
        <w:rPr>
          <w:bCs/>
          <w:color w:val="1A1A1A"/>
          <w:w w:val="108"/>
          <w:position w:val="-1"/>
          <w:sz w:val="21"/>
          <w:szCs w:val="21"/>
        </w:rPr>
        <w:tab/>
      </w:r>
    </w:p>
    <w:p w14:paraId="4ED94E8C" w14:textId="77777777" w:rsidR="004C3B44" w:rsidRPr="00540173" w:rsidRDefault="004C3B44" w:rsidP="004C3B44">
      <w:pPr>
        <w:widowControl w:val="0"/>
        <w:spacing w:after="0" w:line="240" w:lineRule="auto"/>
        <w:jc w:val="center"/>
        <w:rPr>
          <w:bCs/>
          <w:color w:val="1A1A1A"/>
          <w:w w:val="108"/>
          <w:position w:val="-1"/>
          <w:sz w:val="21"/>
          <w:szCs w:val="21"/>
        </w:rPr>
      </w:pPr>
      <w:r w:rsidRPr="00CA426E">
        <w:rPr>
          <w:bCs/>
          <w:noProof/>
          <w:color w:val="1A1A1A"/>
          <w:w w:val="108"/>
          <w:position w:val="-1"/>
          <w:sz w:val="21"/>
          <w:szCs w:val="21"/>
        </w:rPr>
        <w:drawing>
          <wp:inline distT="0" distB="0" distL="0" distR="0" wp14:anchorId="69B7419E" wp14:editId="365D4222">
            <wp:extent cx="5185691"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1093" cy="4778172"/>
                    </a:xfrm>
                    <a:prstGeom prst="rect">
                      <a:avLst/>
                    </a:prstGeom>
                  </pic:spPr>
                </pic:pic>
              </a:graphicData>
            </a:graphic>
          </wp:inline>
        </w:drawing>
      </w:r>
    </w:p>
    <w:p w14:paraId="01A72AA1" w14:textId="77777777" w:rsidR="004C3B44" w:rsidRPr="00540173" w:rsidRDefault="004C3B44" w:rsidP="004C3B44">
      <w:pPr>
        <w:widowControl w:val="0"/>
        <w:tabs>
          <w:tab w:val="left" w:pos="720"/>
        </w:tabs>
        <w:spacing w:after="0" w:line="240" w:lineRule="auto"/>
        <w:ind w:left="3600" w:hanging="3600"/>
        <w:rPr>
          <w:bCs/>
          <w:color w:val="1A1A1A"/>
          <w:w w:val="108"/>
          <w:position w:val="-1"/>
          <w:sz w:val="21"/>
          <w:szCs w:val="21"/>
        </w:rPr>
      </w:pPr>
    </w:p>
    <w:p w14:paraId="051B06D5" w14:textId="77777777" w:rsidR="004C3B44" w:rsidRDefault="004C3B44" w:rsidP="004C3B44">
      <w:pPr>
        <w:pStyle w:val="BodyTextIndent3"/>
      </w:pPr>
      <w:r w:rsidRPr="00540173">
        <w:t>(e)</w:t>
      </w:r>
      <w:r w:rsidRPr="00540173">
        <w:tab/>
        <w:t xml:space="preserve">Optional Redemption.  </w:t>
      </w:r>
      <w:r w:rsidRPr="00540173">
        <w:tab/>
        <w:t>The 202</w:t>
      </w:r>
      <w:r>
        <w:t>1</w:t>
      </w:r>
      <w:r w:rsidRPr="00540173">
        <w:t xml:space="preserve">A Bonds </w:t>
      </w:r>
      <w:r>
        <w:t xml:space="preserve">are subject to redemption prior to their stated maturities at the option of the County in whole or in part, at any time before July 1, 2031, at the “Make-Whole Redemption Price.”  The 2021A Bonds maturing on and after July 1, 2032, </w:t>
      </w:r>
      <w:r>
        <w:lastRenderedPageBreak/>
        <w:t>are subject to redemption prior to their stated maturities at the option of the County in whole or in part, at any time on or after July 1, 2031, at the price of par plus accrued interest, if any, to the date fixed for redemption.</w:t>
      </w:r>
    </w:p>
    <w:p w14:paraId="78E1D086" w14:textId="77777777" w:rsidR="004C3B44" w:rsidRDefault="004C3B44" w:rsidP="004C3B44">
      <w:pPr>
        <w:pStyle w:val="BodyTextIndent3"/>
      </w:pPr>
    </w:p>
    <w:p w14:paraId="0A09A465" w14:textId="77777777" w:rsidR="004C3B44" w:rsidRDefault="004C3B44" w:rsidP="004C3B44">
      <w:pPr>
        <w:pStyle w:val="BodyTextIndent3"/>
      </w:pPr>
      <w:r w:rsidRPr="00540173">
        <w:tab/>
      </w:r>
      <w:r w:rsidRPr="00540173">
        <w:tab/>
      </w:r>
      <w:r>
        <w:t>If the 2021A Bonds are registered in book-entry only form and so long as DTC or a successor securities depository is the sole registered owner of the 2021A Bonds, if fewer than all of a maturity of a series of 2021A Bonds are to be redeemed prior to maturity, the particular 2021A Bonds or portions thereof to be redeemed shall be selected on a “Pro Rata Pass-Through Distribution of Principal” basis in accordance with DTC procedures, provided that, so long as the 2021A Bonds are held in book-entry form, the selection for redemption of such 2021A Bonds shall be made in accordance with the operational arrangements of DTC then in effect that currently provide for adjustment of the principal by a factor provided by the Registrar pursuant to DTC operational arrangements.  If the Registrar does not provide the necessary information and identify the redemption as on a Pro Rata Pass-Through Distribution of Principal basis, the 2021A Bonds will be selected for redemption in accordance with DTC procedures by lot within a maturity.</w:t>
      </w:r>
    </w:p>
    <w:p w14:paraId="2EF466B9" w14:textId="77777777" w:rsidR="004C3B44" w:rsidRDefault="004C3B44" w:rsidP="004C3B44">
      <w:pPr>
        <w:pStyle w:val="BodyTextIndent3"/>
      </w:pPr>
    </w:p>
    <w:p w14:paraId="71158B3D" w14:textId="77777777" w:rsidR="004C3B44" w:rsidRDefault="004C3B44" w:rsidP="004C3B44">
      <w:pPr>
        <w:pStyle w:val="BodyTextIndent3"/>
      </w:pPr>
      <w:r>
        <w:tab/>
      </w:r>
      <w:r>
        <w:tab/>
        <w:t>If the 2021A Bonds are not registered in book-entry only form, the 2021A Bonds will be assigned certificate numbers.  Any redemptions of less than all of a maturity of a series of the 2021A Bonds shall be effected by the Fiscal Agent by designating such 2021A Bonds for optional redemption within a maturity in the order of the assigned certificate numbers.</w:t>
      </w:r>
    </w:p>
    <w:p w14:paraId="628BA0AA" w14:textId="77777777" w:rsidR="004C3B44" w:rsidRPr="00540173" w:rsidRDefault="004C3B44" w:rsidP="004C3B44">
      <w:pPr>
        <w:widowControl w:val="0"/>
        <w:tabs>
          <w:tab w:val="left" w:pos="720"/>
        </w:tabs>
        <w:spacing w:after="0" w:line="240" w:lineRule="auto"/>
        <w:ind w:left="3600" w:hanging="3600"/>
        <w:rPr>
          <w:bCs/>
          <w:color w:val="1A1A1A"/>
          <w:w w:val="108"/>
          <w:position w:val="-1"/>
          <w:sz w:val="21"/>
          <w:szCs w:val="21"/>
        </w:rPr>
      </w:pPr>
    </w:p>
    <w:p w14:paraId="219F7D31" w14:textId="77777777" w:rsidR="004C3B44" w:rsidRPr="00540173" w:rsidRDefault="004C3B44" w:rsidP="004C3B44">
      <w:pPr>
        <w:widowControl w:val="0"/>
        <w:tabs>
          <w:tab w:val="left" w:pos="720"/>
        </w:tabs>
        <w:spacing w:after="0" w:line="240" w:lineRule="auto"/>
        <w:ind w:left="3600" w:hanging="3600"/>
        <w:rPr>
          <w:bCs/>
          <w:color w:val="1A1A1A"/>
          <w:w w:val="108"/>
          <w:position w:val="-1"/>
          <w:sz w:val="21"/>
          <w:szCs w:val="21"/>
        </w:rPr>
      </w:pPr>
      <w:r w:rsidRPr="00540173">
        <w:rPr>
          <w:bCs/>
          <w:color w:val="1A1A1A"/>
          <w:w w:val="108"/>
          <w:position w:val="-1"/>
          <w:sz w:val="21"/>
          <w:szCs w:val="21"/>
        </w:rPr>
        <w:t>(f)</w:t>
      </w:r>
      <w:r w:rsidRPr="00540173">
        <w:rPr>
          <w:bCs/>
          <w:color w:val="1A1A1A"/>
          <w:w w:val="108"/>
          <w:position w:val="-1"/>
          <w:sz w:val="21"/>
          <w:szCs w:val="21"/>
        </w:rPr>
        <w:tab/>
        <w:t xml:space="preserve">Mandatory Sinking Fund Redemption of Term Bonds.  </w:t>
      </w:r>
    </w:p>
    <w:p w14:paraId="7E9275B2" w14:textId="77777777" w:rsidR="004C3B44" w:rsidRPr="00540173" w:rsidRDefault="004C3B44" w:rsidP="004C3B44">
      <w:pPr>
        <w:widowControl w:val="0"/>
        <w:tabs>
          <w:tab w:val="left" w:pos="720"/>
        </w:tabs>
        <w:spacing w:after="0" w:line="240" w:lineRule="auto"/>
        <w:ind w:left="3600" w:hanging="3600"/>
        <w:rPr>
          <w:bCs/>
          <w:color w:val="1A1A1A"/>
          <w:w w:val="108"/>
          <w:position w:val="-1"/>
          <w:sz w:val="21"/>
          <w:szCs w:val="21"/>
        </w:rPr>
      </w:pPr>
    </w:p>
    <w:p w14:paraId="53BA3702" w14:textId="77777777" w:rsidR="004C3B44" w:rsidRPr="00A42523" w:rsidRDefault="004C3B44" w:rsidP="004C3B44">
      <w:pPr>
        <w:pStyle w:val="BodyTextIndent3"/>
      </w:pPr>
      <w:r w:rsidRPr="00540173">
        <w:tab/>
      </w:r>
      <w:r w:rsidRPr="00540173">
        <w:tab/>
        <w:t xml:space="preserve">The County will redeem the </w:t>
      </w:r>
      <w:r>
        <w:t>2021A</w:t>
      </w:r>
      <w:r w:rsidRPr="00540173">
        <w:t xml:space="preserve"> Bonds maturing on </w:t>
      </w:r>
      <w:r>
        <w:t>July</w:t>
      </w:r>
      <w:r w:rsidRPr="00540173">
        <w:t xml:space="preserve"> 1, </w:t>
      </w:r>
      <w:r>
        <w:t>2047</w:t>
      </w:r>
      <w:r w:rsidRPr="00540173">
        <w:t xml:space="preserve"> (the “Term Bonds”), </w:t>
      </w:r>
      <w:r>
        <w:t xml:space="preserve">if not optionally redeemed as described above or purchased under the provisions described in the Ordinance, at par plus accrued interest on July 1 in the years and amounts as follows: </w:t>
      </w:r>
    </w:p>
    <w:p w14:paraId="29DD1F9E" w14:textId="77777777" w:rsidR="004C3B44" w:rsidRPr="00540173" w:rsidRDefault="004C3B44" w:rsidP="004C3B44">
      <w:pPr>
        <w:widowControl w:val="0"/>
        <w:tabs>
          <w:tab w:val="left" w:pos="720"/>
        </w:tabs>
        <w:spacing w:after="0" w:line="240" w:lineRule="auto"/>
        <w:ind w:left="3600" w:hanging="3600"/>
        <w:jc w:val="center"/>
        <w:rPr>
          <w:b/>
          <w:bCs/>
          <w:color w:val="1A1A1A"/>
          <w:w w:val="108"/>
          <w:position w:val="-1"/>
          <w:sz w:val="21"/>
          <w:szCs w:val="21"/>
        </w:rPr>
      </w:pPr>
    </w:p>
    <w:tbl>
      <w:tblPr>
        <w:tblStyle w:val="TableGrid1"/>
        <w:tblW w:w="0" w:type="auto"/>
        <w:tblInd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3027"/>
      </w:tblGrid>
      <w:tr w:rsidR="004C3B44" w:rsidRPr="00540173" w14:paraId="0A7B062A" w14:textId="77777777" w:rsidTr="00E2279C">
        <w:tc>
          <w:tcPr>
            <w:tcW w:w="4675" w:type="dxa"/>
          </w:tcPr>
          <w:p w14:paraId="2312CCB6" w14:textId="77777777" w:rsidR="004C3B44" w:rsidRPr="00540173" w:rsidRDefault="004C3B44" w:rsidP="00E2279C">
            <w:pPr>
              <w:widowControl w:val="0"/>
              <w:pBdr>
                <w:bottom w:val="single" w:sz="4" w:space="1" w:color="auto"/>
              </w:pBdr>
              <w:tabs>
                <w:tab w:val="left" w:pos="720"/>
              </w:tabs>
              <w:spacing w:after="0" w:line="240" w:lineRule="auto"/>
              <w:rPr>
                <w:b/>
                <w:bCs/>
                <w:color w:val="1A1A1A"/>
                <w:w w:val="108"/>
                <w:position w:val="-1"/>
                <w:sz w:val="21"/>
                <w:szCs w:val="21"/>
              </w:rPr>
            </w:pPr>
            <w:r w:rsidRPr="00540173">
              <w:rPr>
                <w:b/>
                <w:bCs/>
                <w:color w:val="1A1A1A"/>
                <w:w w:val="108"/>
                <w:position w:val="-1"/>
                <w:sz w:val="21"/>
                <w:szCs w:val="21"/>
              </w:rPr>
              <w:t>Year</w:t>
            </w:r>
            <w:r>
              <w:rPr>
                <w:b/>
                <w:bCs/>
                <w:color w:val="1A1A1A"/>
                <w:w w:val="108"/>
                <w:position w:val="-1"/>
                <w:sz w:val="21"/>
                <w:szCs w:val="21"/>
              </w:rPr>
              <w:t>s</w:t>
            </w:r>
          </w:p>
        </w:tc>
        <w:tc>
          <w:tcPr>
            <w:tcW w:w="4675" w:type="dxa"/>
          </w:tcPr>
          <w:p w14:paraId="23443391" w14:textId="77777777" w:rsidR="004C3B44" w:rsidRPr="00540173" w:rsidRDefault="004C3B44" w:rsidP="00E2279C">
            <w:pPr>
              <w:widowControl w:val="0"/>
              <w:pBdr>
                <w:bottom w:val="single" w:sz="4" w:space="1" w:color="auto"/>
              </w:pBdr>
              <w:tabs>
                <w:tab w:val="left" w:pos="720"/>
              </w:tabs>
              <w:spacing w:after="0" w:line="240" w:lineRule="auto"/>
              <w:rPr>
                <w:b/>
                <w:bCs/>
                <w:color w:val="1A1A1A"/>
                <w:w w:val="108"/>
                <w:position w:val="-1"/>
                <w:sz w:val="21"/>
                <w:szCs w:val="21"/>
              </w:rPr>
            </w:pPr>
            <w:r w:rsidRPr="00540173">
              <w:rPr>
                <w:b/>
                <w:bCs/>
                <w:color w:val="1A1A1A"/>
                <w:w w:val="108"/>
                <w:position w:val="-1"/>
                <w:sz w:val="21"/>
                <w:szCs w:val="21"/>
              </w:rPr>
              <w:t>Amount</w:t>
            </w:r>
            <w:r>
              <w:rPr>
                <w:b/>
                <w:bCs/>
                <w:color w:val="1A1A1A"/>
                <w:w w:val="108"/>
                <w:position w:val="-1"/>
                <w:sz w:val="21"/>
                <w:szCs w:val="21"/>
              </w:rPr>
              <w:t>s</w:t>
            </w:r>
          </w:p>
        </w:tc>
      </w:tr>
      <w:tr w:rsidR="004C3B44" w:rsidRPr="00540173" w14:paraId="69EA9B63" w14:textId="77777777" w:rsidTr="00E2279C">
        <w:tc>
          <w:tcPr>
            <w:tcW w:w="4675" w:type="dxa"/>
          </w:tcPr>
          <w:p w14:paraId="2CA82D7C" w14:textId="77777777" w:rsidR="004C3B44" w:rsidRPr="00540173" w:rsidRDefault="004C3B44" w:rsidP="00E2279C">
            <w:pPr>
              <w:widowControl w:val="0"/>
              <w:tabs>
                <w:tab w:val="decimal" w:pos="1425"/>
              </w:tabs>
              <w:spacing w:after="0" w:line="240" w:lineRule="auto"/>
              <w:jc w:val="both"/>
              <w:rPr>
                <w:bCs/>
                <w:color w:val="1A1A1A"/>
                <w:w w:val="108"/>
                <w:position w:val="-1"/>
                <w:sz w:val="21"/>
                <w:szCs w:val="21"/>
              </w:rPr>
            </w:pPr>
            <w:r w:rsidRPr="00540173">
              <w:rPr>
                <w:bCs/>
                <w:color w:val="1A1A1A"/>
                <w:w w:val="108"/>
                <w:position w:val="-1"/>
                <w:sz w:val="21"/>
                <w:szCs w:val="21"/>
              </w:rPr>
              <w:t>204</w:t>
            </w:r>
            <w:r>
              <w:rPr>
                <w:bCs/>
                <w:color w:val="1A1A1A"/>
                <w:w w:val="108"/>
                <w:position w:val="-1"/>
                <w:sz w:val="21"/>
                <w:szCs w:val="21"/>
              </w:rPr>
              <w:t>1</w:t>
            </w:r>
          </w:p>
        </w:tc>
        <w:tc>
          <w:tcPr>
            <w:tcW w:w="4675" w:type="dxa"/>
          </w:tcPr>
          <w:p w14:paraId="4AE5B8AD" w14:textId="77777777" w:rsidR="004C3B44" w:rsidRPr="00540173" w:rsidRDefault="004C3B44" w:rsidP="00E2279C">
            <w:pPr>
              <w:widowControl w:val="0"/>
              <w:tabs>
                <w:tab w:val="decimal" w:pos="525"/>
                <w:tab w:val="decimal" w:pos="1980"/>
              </w:tabs>
              <w:spacing w:after="0" w:line="240" w:lineRule="auto"/>
              <w:jc w:val="both"/>
              <w:rPr>
                <w:bCs/>
                <w:color w:val="1A1A1A"/>
                <w:w w:val="108"/>
                <w:position w:val="-1"/>
                <w:sz w:val="21"/>
                <w:szCs w:val="21"/>
              </w:rPr>
            </w:pPr>
            <w:r w:rsidRPr="00540173">
              <w:rPr>
                <w:bCs/>
                <w:color w:val="1A1A1A"/>
                <w:w w:val="108"/>
                <w:position w:val="-1"/>
                <w:sz w:val="21"/>
                <w:szCs w:val="21"/>
              </w:rPr>
              <w:tab/>
              <w:t>$</w:t>
            </w:r>
            <w:r w:rsidRPr="00540173">
              <w:rPr>
                <w:bCs/>
                <w:color w:val="1A1A1A"/>
                <w:w w:val="108"/>
                <w:position w:val="-1"/>
                <w:sz w:val="21"/>
                <w:szCs w:val="21"/>
              </w:rPr>
              <w:tab/>
            </w:r>
            <w:r>
              <w:rPr>
                <w:bCs/>
                <w:color w:val="1A1A1A"/>
                <w:w w:val="108"/>
                <w:position w:val="-1"/>
                <w:sz w:val="21"/>
                <w:szCs w:val="21"/>
              </w:rPr>
              <w:t>955,000</w:t>
            </w:r>
          </w:p>
        </w:tc>
      </w:tr>
      <w:tr w:rsidR="004C3B44" w:rsidRPr="00540173" w14:paraId="2DAE0C1E" w14:textId="77777777" w:rsidTr="00E2279C">
        <w:tc>
          <w:tcPr>
            <w:tcW w:w="4675" w:type="dxa"/>
          </w:tcPr>
          <w:p w14:paraId="68581D4C" w14:textId="77777777" w:rsidR="004C3B44" w:rsidRPr="00540173" w:rsidRDefault="004C3B44" w:rsidP="00E2279C">
            <w:pPr>
              <w:widowControl w:val="0"/>
              <w:tabs>
                <w:tab w:val="decimal" w:pos="1425"/>
              </w:tabs>
              <w:spacing w:after="0" w:line="240" w:lineRule="auto"/>
              <w:jc w:val="both"/>
              <w:rPr>
                <w:bCs/>
                <w:color w:val="1A1A1A"/>
                <w:w w:val="108"/>
                <w:position w:val="-1"/>
                <w:sz w:val="21"/>
                <w:szCs w:val="21"/>
              </w:rPr>
            </w:pPr>
            <w:r>
              <w:rPr>
                <w:bCs/>
                <w:color w:val="1A1A1A"/>
                <w:w w:val="108"/>
                <w:position w:val="-1"/>
                <w:sz w:val="21"/>
                <w:szCs w:val="21"/>
              </w:rPr>
              <w:t>2042</w:t>
            </w:r>
          </w:p>
        </w:tc>
        <w:tc>
          <w:tcPr>
            <w:tcW w:w="4675" w:type="dxa"/>
          </w:tcPr>
          <w:p w14:paraId="1768E1E0" w14:textId="77777777" w:rsidR="004C3B44" w:rsidRPr="00540173" w:rsidRDefault="004C3B44" w:rsidP="00E2279C">
            <w:pPr>
              <w:widowControl w:val="0"/>
              <w:tabs>
                <w:tab w:val="decimal" w:pos="1980"/>
              </w:tabs>
              <w:spacing w:after="0" w:line="240" w:lineRule="auto"/>
              <w:jc w:val="both"/>
              <w:rPr>
                <w:bCs/>
                <w:color w:val="1A1A1A"/>
                <w:w w:val="108"/>
                <w:position w:val="-1"/>
                <w:sz w:val="21"/>
                <w:szCs w:val="21"/>
              </w:rPr>
            </w:pPr>
            <w:r>
              <w:rPr>
                <w:bCs/>
                <w:color w:val="1A1A1A"/>
                <w:w w:val="108"/>
                <w:position w:val="-1"/>
                <w:sz w:val="21"/>
                <w:szCs w:val="21"/>
              </w:rPr>
              <w:t>985,000</w:t>
            </w:r>
          </w:p>
        </w:tc>
      </w:tr>
      <w:tr w:rsidR="004C3B44" w:rsidRPr="00540173" w14:paraId="2E8A80A3" w14:textId="77777777" w:rsidTr="00E2279C">
        <w:tc>
          <w:tcPr>
            <w:tcW w:w="4675" w:type="dxa"/>
          </w:tcPr>
          <w:p w14:paraId="0913A827" w14:textId="77777777" w:rsidR="004C3B44" w:rsidRPr="00540173" w:rsidRDefault="004C3B44" w:rsidP="00E2279C">
            <w:pPr>
              <w:widowControl w:val="0"/>
              <w:tabs>
                <w:tab w:val="decimal" w:pos="1425"/>
              </w:tabs>
              <w:spacing w:after="0" w:line="240" w:lineRule="auto"/>
              <w:jc w:val="both"/>
              <w:rPr>
                <w:bCs/>
                <w:color w:val="1A1A1A"/>
                <w:w w:val="108"/>
                <w:position w:val="-1"/>
                <w:sz w:val="21"/>
                <w:szCs w:val="21"/>
              </w:rPr>
            </w:pPr>
            <w:r>
              <w:rPr>
                <w:bCs/>
                <w:color w:val="1A1A1A"/>
                <w:w w:val="108"/>
                <w:position w:val="-1"/>
                <w:sz w:val="21"/>
                <w:szCs w:val="21"/>
              </w:rPr>
              <w:t>2043</w:t>
            </w:r>
          </w:p>
        </w:tc>
        <w:tc>
          <w:tcPr>
            <w:tcW w:w="4675" w:type="dxa"/>
          </w:tcPr>
          <w:p w14:paraId="52269E0F" w14:textId="77777777" w:rsidR="004C3B44" w:rsidRPr="00540173" w:rsidRDefault="004C3B44" w:rsidP="00E2279C">
            <w:pPr>
              <w:widowControl w:val="0"/>
              <w:tabs>
                <w:tab w:val="decimal" w:pos="1980"/>
              </w:tabs>
              <w:spacing w:after="0" w:line="240" w:lineRule="auto"/>
              <w:jc w:val="both"/>
              <w:rPr>
                <w:bCs/>
                <w:color w:val="1A1A1A"/>
                <w:w w:val="108"/>
                <w:position w:val="-1"/>
                <w:sz w:val="21"/>
                <w:szCs w:val="21"/>
              </w:rPr>
            </w:pPr>
            <w:r>
              <w:rPr>
                <w:bCs/>
                <w:color w:val="1A1A1A"/>
                <w:w w:val="108"/>
                <w:position w:val="-1"/>
                <w:sz w:val="21"/>
                <w:szCs w:val="21"/>
              </w:rPr>
              <w:t>1,010,000</w:t>
            </w:r>
          </w:p>
        </w:tc>
      </w:tr>
      <w:tr w:rsidR="004C3B44" w:rsidRPr="00540173" w14:paraId="0FAF2BB3" w14:textId="77777777" w:rsidTr="00E2279C">
        <w:tc>
          <w:tcPr>
            <w:tcW w:w="4675" w:type="dxa"/>
          </w:tcPr>
          <w:p w14:paraId="1275C93B" w14:textId="77777777" w:rsidR="004C3B44" w:rsidRPr="00540173" w:rsidRDefault="004C3B44" w:rsidP="00E2279C">
            <w:pPr>
              <w:widowControl w:val="0"/>
              <w:tabs>
                <w:tab w:val="decimal" w:pos="1425"/>
              </w:tabs>
              <w:spacing w:after="0" w:line="240" w:lineRule="auto"/>
              <w:jc w:val="both"/>
              <w:rPr>
                <w:bCs/>
                <w:color w:val="1A1A1A"/>
                <w:w w:val="108"/>
                <w:position w:val="-1"/>
                <w:sz w:val="21"/>
                <w:szCs w:val="21"/>
              </w:rPr>
            </w:pPr>
            <w:r>
              <w:rPr>
                <w:bCs/>
                <w:color w:val="1A1A1A"/>
                <w:w w:val="108"/>
                <w:position w:val="-1"/>
                <w:sz w:val="21"/>
                <w:szCs w:val="21"/>
              </w:rPr>
              <w:t>2044</w:t>
            </w:r>
          </w:p>
        </w:tc>
        <w:tc>
          <w:tcPr>
            <w:tcW w:w="4675" w:type="dxa"/>
          </w:tcPr>
          <w:p w14:paraId="4BB59202" w14:textId="77777777" w:rsidR="004C3B44" w:rsidRPr="00540173" w:rsidRDefault="004C3B44" w:rsidP="00E2279C">
            <w:pPr>
              <w:widowControl w:val="0"/>
              <w:tabs>
                <w:tab w:val="decimal" w:pos="1980"/>
              </w:tabs>
              <w:spacing w:after="0" w:line="240" w:lineRule="auto"/>
              <w:jc w:val="both"/>
              <w:rPr>
                <w:bCs/>
                <w:color w:val="1A1A1A"/>
                <w:w w:val="108"/>
                <w:position w:val="-1"/>
                <w:sz w:val="21"/>
                <w:szCs w:val="21"/>
              </w:rPr>
            </w:pPr>
            <w:r>
              <w:rPr>
                <w:bCs/>
                <w:color w:val="1A1A1A"/>
                <w:w w:val="108"/>
                <w:position w:val="-1"/>
                <w:sz w:val="21"/>
                <w:szCs w:val="21"/>
              </w:rPr>
              <w:t>1,040,000</w:t>
            </w:r>
          </w:p>
        </w:tc>
      </w:tr>
      <w:tr w:rsidR="004C3B44" w:rsidRPr="00540173" w14:paraId="7FAD1940" w14:textId="77777777" w:rsidTr="00E2279C">
        <w:tc>
          <w:tcPr>
            <w:tcW w:w="4675" w:type="dxa"/>
          </w:tcPr>
          <w:p w14:paraId="4E2C24C1" w14:textId="77777777" w:rsidR="004C3B44" w:rsidRPr="00540173" w:rsidRDefault="004C3B44" w:rsidP="00E2279C">
            <w:pPr>
              <w:widowControl w:val="0"/>
              <w:tabs>
                <w:tab w:val="decimal" w:pos="1425"/>
              </w:tabs>
              <w:spacing w:after="0" w:line="240" w:lineRule="auto"/>
              <w:jc w:val="both"/>
              <w:rPr>
                <w:bCs/>
                <w:color w:val="1A1A1A"/>
                <w:w w:val="108"/>
                <w:position w:val="-1"/>
                <w:sz w:val="21"/>
                <w:szCs w:val="21"/>
              </w:rPr>
            </w:pPr>
            <w:r>
              <w:rPr>
                <w:bCs/>
                <w:color w:val="1A1A1A"/>
                <w:w w:val="108"/>
                <w:position w:val="-1"/>
                <w:sz w:val="21"/>
                <w:szCs w:val="21"/>
              </w:rPr>
              <w:t>2045</w:t>
            </w:r>
          </w:p>
        </w:tc>
        <w:tc>
          <w:tcPr>
            <w:tcW w:w="4675" w:type="dxa"/>
          </w:tcPr>
          <w:p w14:paraId="0E8AD8D5" w14:textId="77777777" w:rsidR="004C3B44" w:rsidRPr="00540173" w:rsidRDefault="004C3B44" w:rsidP="00E2279C">
            <w:pPr>
              <w:widowControl w:val="0"/>
              <w:tabs>
                <w:tab w:val="decimal" w:pos="1980"/>
              </w:tabs>
              <w:spacing w:after="0" w:line="240" w:lineRule="auto"/>
              <w:jc w:val="both"/>
              <w:rPr>
                <w:bCs/>
                <w:color w:val="1A1A1A"/>
                <w:w w:val="108"/>
                <w:position w:val="-1"/>
                <w:sz w:val="21"/>
                <w:szCs w:val="21"/>
              </w:rPr>
            </w:pPr>
            <w:r>
              <w:rPr>
                <w:bCs/>
                <w:color w:val="1A1A1A"/>
                <w:w w:val="108"/>
                <w:position w:val="-1"/>
                <w:sz w:val="21"/>
                <w:szCs w:val="21"/>
              </w:rPr>
              <w:t>1,070,000</w:t>
            </w:r>
          </w:p>
        </w:tc>
      </w:tr>
      <w:tr w:rsidR="004C3B44" w:rsidRPr="00540173" w14:paraId="127A8C1C" w14:textId="77777777" w:rsidTr="00E2279C">
        <w:tc>
          <w:tcPr>
            <w:tcW w:w="4675" w:type="dxa"/>
          </w:tcPr>
          <w:p w14:paraId="2EAE9D18" w14:textId="77777777" w:rsidR="004C3B44" w:rsidRPr="00540173" w:rsidRDefault="004C3B44" w:rsidP="00E2279C">
            <w:pPr>
              <w:widowControl w:val="0"/>
              <w:tabs>
                <w:tab w:val="decimal" w:pos="1425"/>
              </w:tabs>
              <w:spacing w:after="0" w:line="240" w:lineRule="auto"/>
              <w:jc w:val="both"/>
              <w:rPr>
                <w:bCs/>
                <w:color w:val="1A1A1A"/>
                <w:w w:val="108"/>
                <w:position w:val="-1"/>
                <w:sz w:val="21"/>
                <w:szCs w:val="21"/>
              </w:rPr>
            </w:pPr>
            <w:r>
              <w:rPr>
                <w:bCs/>
                <w:color w:val="1A1A1A"/>
                <w:w w:val="108"/>
                <w:position w:val="-1"/>
                <w:sz w:val="21"/>
                <w:szCs w:val="21"/>
              </w:rPr>
              <w:t>2046</w:t>
            </w:r>
          </w:p>
        </w:tc>
        <w:tc>
          <w:tcPr>
            <w:tcW w:w="4675" w:type="dxa"/>
          </w:tcPr>
          <w:p w14:paraId="7BCD6A79" w14:textId="77777777" w:rsidR="004C3B44" w:rsidRPr="00540173" w:rsidRDefault="004C3B44" w:rsidP="00E2279C">
            <w:pPr>
              <w:widowControl w:val="0"/>
              <w:tabs>
                <w:tab w:val="decimal" w:pos="1980"/>
              </w:tabs>
              <w:spacing w:after="0" w:line="240" w:lineRule="auto"/>
              <w:jc w:val="both"/>
              <w:rPr>
                <w:bCs/>
                <w:color w:val="1A1A1A"/>
                <w:w w:val="108"/>
                <w:position w:val="-1"/>
                <w:sz w:val="21"/>
                <w:szCs w:val="21"/>
              </w:rPr>
            </w:pPr>
            <w:r>
              <w:rPr>
                <w:bCs/>
                <w:color w:val="1A1A1A"/>
                <w:w w:val="108"/>
                <w:position w:val="-1"/>
                <w:sz w:val="21"/>
                <w:szCs w:val="21"/>
              </w:rPr>
              <w:t>28,525,000</w:t>
            </w:r>
          </w:p>
        </w:tc>
      </w:tr>
      <w:tr w:rsidR="004C3B44" w:rsidRPr="00540173" w14:paraId="7679BB18" w14:textId="77777777" w:rsidTr="00E2279C">
        <w:tc>
          <w:tcPr>
            <w:tcW w:w="4675" w:type="dxa"/>
          </w:tcPr>
          <w:p w14:paraId="025DD43C" w14:textId="77777777" w:rsidR="004C3B44" w:rsidRPr="00540173" w:rsidRDefault="004C3B44" w:rsidP="00E2279C">
            <w:pPr>
              <w:widowControl w:val="0"/>
              <w:tabs>
                <w:tab w:val="decimal" w:pos="1425"/>
              </w:tabs>
              <w:spacing w:after="0" w:line="240" w:lineRule="auto"/>
              <w:jc w:val="both"/>
              <w:rPr>
                <w:bCs/>
                <w:color w:val="1A1A1A"/>
                <w:w w:val="108"/>
                <w:position w:val="-1"/>
                <w:sz w:val="21"/>
                <w:szCs w:val="21"/>
              </w:rPr>
            </w:pPr>
            <w:r>
              <w:rPr>
                <w:bCs/>
                <w:color w:val="1A1A1A"/>
                <w:w w:val="108"/>
                <w:position w:val="-1"/>
                <w:sz w:val="21"/>
                <w:szCs w:val="21"/>
              </w:rPr>
              <w:t>2047</w:t>
            </w:r>
            <w:r w:rsidRPr="00540173">
              <w:rPr>
                <w:bCs/>
                <w:color w:val="1A1A1A"/>
                <w:w w:val="108"/>
                <w:position w:val="-1"/>
                <w:sz w:val="21"/>
                <w:szCs w:val="21"/>
              </w:rPr>
              <w:t>*</w:t>
            </w:r>
          </w:p>
        </w:tc>
        <w:tc>
          <w:tcPr>
            <w:tcW w:w="4675" w:type="dxa"/>
          </w:tcPr>
          <w:p w14:paraId="64A3AEE7" w14:textId="77777777" w:rsidR="004C3B44" w:rsidRPr="00CA426E" w:rsidRDefault="004C3B44" w:rsidP="00E2279C">
            <w:pPr>
              <w:widowControl w:val="0"/>
              <w:tabs>
                <w:tab w:val="decimal" w:pos="1980"/>
              </w:tabs>
              <w:spacing w:after="0" w:line="240" w:lineRule="auto"/>
              <w:jc w:val="both"/>
              <w:rPr>
                <w:bCs/>
                <w:color w:val="1A1A1A"/>
                <w:w w:val="108"/>
                <w:position w:val="-1"/>
                <w:sz w:val="21"/>
                <w:szCs w:val="21"/>
              </w:rPr>
            </w:pPr>
            <w:r w:rsidRPr="00CA426E">
              <w:rPr>
                <w:bCs/>
                <w:color w:val="1A1A1A"/>
                <w:w w:val="108"/>
                <w:position w:val="-1"/>
                <w:sz w:val="21"/>
                <w:szCs w:val="21"/>
              </w:rPr>
              <w:t>24,240,000</w:t>
            </w:r>
          </w:p>
        </w:tc>
      </w:tr>
      <w:tr w:rsidR="004C3B44" w:rsidRPr="00540173" w14:paraId="0EB6D0CA" w14:textId="77777777" w:rsidTr="00E2279C">
        <w:tc>
          <w:tcPr>
            <w:tcW w:w="4675" w:type="dxa"/>
          </w:tcPr>
          <w:p w14:paraId="370B7D22" w14:textId="77777777" w:rsidR="004C3B44" w:rsidRPr="00540173" w:rsidRDefault="004C3B44" w:rsidP="00E2279C">
            <w:pPr>
              <w:widowControl w:val="0"/>
              <w:tabs>
                <w:tab w:val="left" w:pos="720"/>
              </w:tabs>
              <w:spacing w:after="0" w:line="240" w:lineRule="auto"/>
              <w:rPr>
                <w:bCs/>
                <w:color w:val="1A1A1A"/>
                <w:w w:val="108"/>
                <w:position w:val="-1"/>
                <w:sz w:val="21"/>
                <w:szCs w:val="21"/>
              </w:rPr>
            </w:pPr>
            <w:r w:rsidRPr="00540173">
              <w:rPr>
                <w:bCs/>
                <w:color w:val="1A1A1A"/>
                <w:w w:val="108"/>
                <w:position w:val="-1"/>
                <w:sz w:val="21"/>
                <w:szCs w:val="21"/>
              </w:rPr>
              <w:t>* Maturity</w:t>
            </w:r>
          </w:p>
        </w:tc>
        <w:tc>
          <w:tcPr>
            <w:tcW w:w="4675" w:type="dxa"/>
          </w:tcPr>
          <w:p w14:paraId="4ECC4D1A" w14:textId="77777777" w:rsidR="004C3B44" w:rsidRPr="00540173" w:rsidRDefault="004C3B44" w:rsidP="00E2279C">
            <w:pPr>
              <w:widowControl w:val="0"/>
              <w:tabs>
                <w:tab w:val="decimal" w:pos="1980"/>
              </w:tabs>
              <w:spacing w:after="0" w:line="240" w:lineRule="auto"/>
              <w:jc w:val="both"/>
              <w:rPr>
                <w:bCs/>
                <w:color w:val="1A1A1A"/>
                <w:w w:val="108"/>
                <w:position w:val="-1"/>
                <w:sz w:val="21"/>
                <w:szCs w:val="21"/>
              </w:rPr>
            </w:pPr>
          </w:p>
        </w:tc>
      </w:tr>
    </w:tbl>
    <w:p w14:paraId="16748FE8" w14:textId="77777777" w:rsidR="004C3B44" w:rsidRDefault="004C3B44" w:rsidP="004C3B44">
      <w:pPr>
        <w:widowControl w:val="0"/>
        <w:tabs>
          <w:tab w:val="left" w:pos="720"/>
        </w:tabs>
        <w:spacing w:after="0" w:line="240" w:lineRule="auto"/>
        <w:ind w:left="3600" w:hanging="3600"/>
        <w:rPr>
          <w:bCs/>
          <w:color w:val="1A1A1A"/>
          <w:w w:val="108"/>
          <w:position w:val="-1"/>
          <w:sz w:val="21"/>
          <w:szCs w:val="21"/>
        </w:rPr>
      </w:pPr>
      <w:r w:rsidRPr="00540173">
        <w:rPr>
          <w:bCs/>
          <w:color w:val="1A1A1A"/>
          <w:w w:val="108"/>
          <w:position w:val="-1"/>
          <w:sz w:val="21"/>
          <w:szCs w:val="21"/>
        </w:rPr>
        <w:tab/>
      </w:r>
      <w:r w:rsidRPr="00540173">
        <w:rPr>
          <w:bCs/>
          <w:color w:val="1A1A1A"/>
          <w:w w:val="108"/>
          <w:position w:val="-1"/>
          <w:sz w:val="21"/>
          <w:szCs w:val="21"/>
        </w:rPr>
        <w:tab/>
      </w:r>
    </w:p>
    <w:p w14:paraId="10C16571" w14:textId="77777777" w:rsidR="004C3B44" w:rsidRDefault="004C3B44" w:rsidP="004C3B44">
      <w:pPr>
        <w:pStyle w:val="BodyTextIndent3"/>
      </w:pPr>
      <w:r>
        <w:tab/>
      </w:r>
      <w:r>
        <w:tab/>
      </w:r>
      <w:r w:rsidRPr="00023A5F">
        <w:t>If the County redeems Term Bonds under the optional redemption provisions described above or</w:t>
      </w:r>
      <w:r>
        <w:t xml:space="preserve"> </w:t>
      </w:r>
      <w:r w:rsidRPr="00023A5F">
        <w:t>purchases for cancellation or defeases Term Bonds, the Term Bonds so redeemed, purchased, or</w:t>
      </w:r>
      <w:r>
        <w:t xml:space="preserve"> </w:t>
      </w:r>
      <w:r w:rsidRPr="00023A5F">
        <w:t xml:space="preserve">defeased (irrespective of their </w:t>
      </w:r>
      <w:r w:rsidRPr="00023A5F">
        <w:lastRenderedPageBreak/>
        <w:t>redemption or purchase prices) will be credited against one or more</w:t>
      </w:r>
      <w:r>
        <w:t xml:space="preserve"> </w:t>
      </w:r>
      <w:r w:rsidRPr="00023A5F">
        <w:t>scheduled mandatory redemption amounts for those Term Bonds.</w:t>
      </w:r>
      <w:r>
        <w:t xml:space="preserve"> </w:t>
      </w:r>
      <w:r w:rsidRPr="00023A5F">
        <w:t xml:space="preserve"> The County will determine the</w:t>
      </w:r>
      <w:r>
        <w:t xml:space="preserve"> </w:t>
      </w:r>
      <w:r w:rsidRPr="00023A5F">
        <w:t>manner in which the credit is to be allocated.</w:t>
      </w:r>
    </w:p>
    <w:p w14:paraId="665D4F54" w14:textId="77777777" w:rsidR="004C3B44" w:rsidRDefault="004C3B44" w:rsidP="004C3B44"/>
    <w:p w14:paraId="24B93AF6" w14:textId="77777777" w:rsidR="004C3B44" w:rsidRDefault="004C3B44" w:rsidP="004C3B44"/>
    <w:p w14:paraId="7117A2FD" w14:textId="77777777" w:rsidR="004C3B44" w:rsidRPr="008E6A3D" w:rsidRDefault="004C3B44" w:rsidP="004C3B44">
      <w:pPr>
        <w:sectPr w:rsidR="004C3B44" w:rsidRPr="008E6A3D" w:rsidSect="006235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noEndnote/>
          <w:titlePg/>
          <w:docGrid w:linePitch="326"/>
        </w:sectPr>
      </w:pPr>
    </w:p>
    <w:p w14:paraId="32D4C9E2" w14:textId="77777777" w:rsidR="004C3B44" w:rsidRPr="001C5B54" w:rsidRDefault="004C3B44" w:rsidP="004C3B44">
      <w:pPr>
        <w:pStyle w:val="Heading2"/>
        <w:rPr>
          <w:bCs/>
          <w:color w:val="1A1A1A"/>
          <w:w w:val="108"/>
          <w:position w:val="-1"/>
          <w:szCs w:val="24"/>
        </w:rPr>
      </w:pPr>
      <w:r w:rsidRPr="001C5B54">
        <w:rPr>
          <w:bCs/>
          <w:color w:val="1A1A1A"/>
          <w:w w:val="108"/>
          <w:position w:val="-1"/>
          <w:szCs w:val="24"/>
        </w:rPr>
        <w:lastRenderedPageBreak/>
        <w:t>Attachment B-2</w:t>
      </w:r>
    </w:p>
    <w:p w14:paraId="2851B440" w14:textId="77777777" w:rsidR="004C3B44" w:rsidRDefault="004C3B44" w:rsidP="004C3B44">
      <w:pPr>
        <w:pStyle w:val="Heading2"/>
        <w:rPr>
          <w:bCs/>
          <w:color w:val="1A1A1A"/>
          <w:w w:val="108"/>
          <w:position w:val="-1"/>
          <w:szCs w:val="24"/>
        </w:rPr>
      </w:pPr>
      <w:r w:rsidRPr="001C5B54">
        <w:rPr>
          <w:bCs/>
          <w:color w:val="1A1A1A"/>
          <w:w w:val="108"/>
          <w:position w:val="-1"/>
          <w:szCs w:val="24"/>
        </w:rPr>
        <w:t>Description of the 2021A LTGO (Sewer) Bonds</w:t>
      </w:r>
    </w:p>
    <w:p w14:paraId="617CCA39" w14:textId="77777777" w:rsidR="004C3B44" w:rsidRPr="00540173" w:rsidRDefault="004C3B44" w:rsidP="004C3B44">
      <w:pPr>
        <w:widowControl w:val="0"/>
        <w:spacing w:after="0" w:line="480" w:lineRule="auto"/>
        <w:rPr>
          <w:bCs/>
          <w:color w:val="1A1A1A"/>
          <w:w w:val="108"/>
          <w:position w:val="-1"/>
          <w:sz w:val="21"/>
          <w:szCs w:val="21"/>
        </w:rPr>
      </w:pPr>
      <w:r w:rsidRPr="00540173">
        <w:rPr>
          <w:bCs/>
          <w:color w:val="1A1A1A"/>
          <w:w w:val="108"/>
          <w:position w:val="-1"/>
          <w:sz w:val="21"/>
          <w:szCs w:val="21"/>
        </w:rPr>
        <w:t>(a)</w:t>
      </w:r>
      <w:r w:rsidRPr="00540173">
        <w:rPr>
          <w:bCs/>
          <w:color w:val="1A1A1A"/>
          <w:w w:val="108"/>
          <w:position w:val="-1"/>
          <w:sz w:val="21"/>
          <w:szCs w:val="21"/>
        </w:rPr>
        <w:tab/>
        <w:t>Principal Amount:</w:t>
      </w:r>
      <w:r w:rsidRPr="00540173">
        <w:rPr>
          <w:bCs/>
          <w:color w:val="1A1A1A"/>
          <w:w w:val="108"/>
          <w:position w:val="-1"/>
          <w:sz w:val="21"/>
          <w:szCs w:val="21"/>
        </w:rPr>
        <w:tab/>
      </w:r>
      <w:r w:rsidRPr="00540173">
        <w:rPr>
          <w:bCs/>
          <w:color w:val="1A1A1A"/>
          <w:w w:val="108"/>
          <w:position w:val="-1"/>
          <w:sz w:val="21"/>
          <w:szCs w:val="21"/>
        </w:rPr>
        <w:tab/>
        <w:t>$</w:t>
      </w:r>
      <w:r w:rsidRPr="00CA426E">
        <w:rPr>
          <w:bCs/>
          <w:color w:val="1A1A1A"/>
          <w:w w:val="108"/>
          <w:position w:val="-1"/>
          <w:sz w:val="21"/>
          <w:szCs w:val="21"/>
        </w:rPr>
        <w:t>239,585,000.00</w:t>
      </w:r>
    </w:p>
    <w:p w14:paraId="0B66D7C8" w14:textId="77777777" w:rsidR="004C3B44" w:rsidRPr="00540173" w:rsidRDefault="004C3B44" w:rsidP="004C3B44">
      <w:pPr>
        <w:pStyle w:val="BodyTextIndent3"/>
      </w:pPr>
      <w:r w:rsidRPr="00540173">
        <w:t>(b)</w:t>
      </w:r>
      <w:r w:rsidRPr="00540173">
        <w:tab/>
        <w:t>Purchase Price:</w:t>
      </w:r>
      <w:r w:rsidRPr="00540173">
        <w:tab/>
        <w:t>$</w:t>
      </w:r>
      <w:r w:rsidRPr="00BE0A4C">
        <w:t>292,350,592.38</w:t>
      </w:r>
      <w:r w:rsidRPr="00540173">
        <w:t xml:space="preserve">, representing the stated principal amount of the </w:t>
      </w:r>
      <w:r>
        <w:t xml:space="preserve">2021A LTGO (Sewer) Bonds, </w:t>
      </w:r>
      <w:r w:rsidRPr="00BE0A4C">
        <w:t xml:space="preserve">plus a premium of </w:t>
      </w:r>
      <w:r>
        <w:t>$</w:t>
      </w:r>
      <w:r w:rsidRPr="00BE0A4C">
        <w:t>53,289,926.20</w:t>
      </w:r>
      <w:r>
        <w:t>,</w:t>
      </w:r>
      <w:r w:rsidRPr="00BE0A4C">
        <w:t xml:space="preserve"> </w:t>
      </w:r>
      <w:r>
        <w:t>minus an underwriter’</w:t>
      </w:r>
      <w:r w:rsidRPr="00540173">
        <w:t>s discount of $</w:t>
      </w:r>
      <w:r w:rsidRPr="00BE0A4C">
        <w:t>524,333.82</w:t>
      </w:r>
      <w:r w:rsidRPr="00540173">
        <w:t>.</w:t>
      </w:r>
    </w:p>
    <w:p w14:paraId="0370DCCA" w14:textId="77777777" w:rsidR="004C3B44" w:rsidRPr="00540173" w:rsidRDefault="004C3B44" w:rsidP="004C3B44">
      <w:pPr>
        <w:widowControl w:val="0"/>
        <w:tabs>
          <w:tab w:val="left" w:pos="720"/>
        </w:tabs>
        <w:spacing w:after="0" w:line="240" w:lineRule="auto"/>
        <w:ind w:left="2880" w:hanging="2880"/>
        <w:rPr>
          <w:bCs/>
          <w:color w:val="1A1A1A"/>
          <w:w w:val="108"/>
          <w:position w:val="-1"/>
          <w:sz w:val="21"/>
          <w:szCs w:val="21"/>
        </w:rPr>
      </w:pPr>
    </w:p>
    <w:p w14:paraId="1BD2EFA7" w14:textId="77777777" w:rsidR="004C3B44" w:rsidRPr="00540173" w:rsidRDefault="004C3B44" w:rsidP="004C3B44">
      <w:pPr>
        <w:widowControl w:val="0"/>
        <w:tabs>
          <w:tab w:val="left" w:pos="720"/>
        </w:tabs>
        <w:spacing w:after="0" w:line="240" w:lineRule="auto"/>
        <w:ind w:left="3600" w:hanging="3600"/>
        <w:rPr>
          <w:bCs/>
          <w:color w:val="1A1A1A"/>
          <w:w w:val="108"/>
          <w:position w:val="-1"/>
          <w:sz w:val="21"/>
          <w:szCs w:val="21"/>
        </w:rPr>
      </w:pPr>
      <w:r w:rsidRPr="00540173">
        <w:rPr>
          <w:bCs/>
          <w:color w:val="1A1A1A"/>
          <w:w w:val="108"/>
          <w:position w:val="-1"/>
          <w:sz w:val="21"/>
          <w:szCs w:val="21"/>
        </w:rPr>
        <w:t>(c)</w:t>
      </w:r>
      <w:r w:rsidRPr="00540173">
        <w:rPr>
          <w:bCs/>
          <w:color w:val="1A1A1A"/>
          <w:w w:val="108"/>
          <w:position w:val="-1"/>
          <w:sz w:val="21"/>
          <w:szCs w:val="21"/>
        </w:rPr>
        <w:tab/>
        <w:t xml:space="preserve">Interest Payment Dates: </w:t>
      </w:r>
      <w:r w:rsidRPr="00540173">
        <w:rPr>
          <w:bCs/>
          <w:color w:val="1A1A1A"/>
          <w:w w:val="108"/>
          <w:position w:val="-1"/>
          <w:sz w:val="21"/>
          <w:szCs w:val="21"/>
        </w:rPr>
        <w:tab/>
      </w:r>
      <w:r>
        <w:rPr>
          <w:bCs/>
          <w:color w:val="1A1A1A"/>
          <w:w w:val="108"/>
          <w:position w:val="-1"/>
          <w:sz w:val="21"/>
          <w:szCs w:val="21"/>
        </w:rPr>
        <w:t>January</w:t>
      </w:r>
      <w:r w:rsidRPr="00540173">
        <w:rPr>
          <w:bCs/>
          <w:color w:val="1A1A1A"/>
          <w:w w:val="108"/>
          <w:position w:val="-1"/>
          <w:sz w:val="21"/>
          <w:szCs w:val="21"/>
        </w:rPr>
        <w:t xml:space="preserve"> 1 and </w:t>
      </w:r>
      <w:r>
        <w:rPr>
          <w:bCs/>
          <w:color w:val="1A1A1A"/>
          <w:w w:val="108"/>
          <w:position w:val="-1"/>
          <w:sz w:val="21"/>
          <w:szCs w:val="21"/>
        </w:rPr>
        <w:t>July</w:t>
      </w:r>
      <w:r w:rsidRPr="00540173">
        <w:rPr>
          <w:bCs/>
          <w:color w:val="1A1A1A"/>
          <w:w w:val="108"/>
          <w:position w:val="-1"/>
          <w:sz w:val="21"/>
          <w:szCs w:val="21"/>
        </w:rPr>
        <w:t xml:space="preserve"> 1, beginning </w:t>
      </w:r>
      <w:r>
        <w:rPr>
          <w:bCs/>
          <w:color w:val="1A1A1A"/>
          <w:w w:val="108"/>
          <w:position w:val="-1"/>
          <w:sz w:val="21"/>
          <w:szCs w:val="21"/>
        </w:rPr>
        <w:t>January</w:t>
      </w:r>
      <w:r w:rsidRPr="00540173">
        <w:rPr>
          <w:bCs/>
          <w:color w:val="1A1A1A"/>
          <w:w w:val="108"/>
          <w:position w:val="-1"/>
          <w:sz w:val="21"/>
          <w:szCs w:val="21"/>
        </w:rPr>
        <w:t xml:space="preserve"> 1, 202</w:t>
      </w:r>
      <w:r>
        <w:rPr>
          <w:bCs/>
          <w:color w:val="1A1A1A"/>
          <w:w w:val="108"/>
          <w:position w:val="-1"/>
          <w:sz w:val="21"/>
          <w:szCs w:val="21"/>
        </w:rPr>
        <w:t>2</w:t>
      </w:r>
      <w:r w:rsidRPr="00540173">
        <w:rPr>
          <w:bCs/>
          <w:color w:val="1A1A1A"/>
          <w:w w:val="108"/>
          <w:position w:val="-1"/>
          <w:sz w:val="21"/>
          <w:szCs w:val="21"/>
        </w:rPr>
        <w:t>.</w:t>
      </w:r>
    </w:p>
    <w:p w14:paraId="06408AFA" w14:textId="77777777" w:rsidR="004C3B44" w:rsidRPr="00540173" w:rsidRDefault="004C3B44" w:rsidP="004C3B44">
      <w:pPr>
        <w:widowControl w:val="0"/>
        <w:spacing w:after="0" w:line="240" w:lineRule="auto"/>
        <w:rPr>
          <w:bCs/>
          <w:color w:val="1A1A1A"/>
          <w:w w:val="108"/>
          <w:position w:val="-1"/>
          <w:sz w:val="21"/>
          <w:szCs w:val="21"/>
        </w:rPr>
      </w:pPr>
    </w:p>
    <w:p w14:paraId="752039DC" w14:textId="77777777" w:rsidR="004C3B44" w:rsidRDefault="004C3B44" w:rsidP="004C3B44">
      <w:pPr>
        <w:pStyle w:val="BlockText"/>
        <w:jc w:val="both"/>
      </w:pPr>
      <w:r>
        <w:t>(d)</w:t>
      </w:r>
      <w:r>
        <w:tab/>
        <w:t xml:space="preserve">Maturity and Interest </w:t>
      </w:r>
      <w:r w:rsidRPr="00540173">
        <w:t>Rates</w:t>
      </w:r>
      <w:r>
        <w:t>*</w:t>
      </w:r>
      <w:r w:rsidRPr="00540173">
        <w:t xml:space="preserve">:  </w:t>
      </w:r>
      <w:r w:rsidRPr="00540173">
        <w:tab/>
        <w:t xml:space="preserve">The </w:t>
      </w:r>
      <w:r>
        <w:t xml:space="preserve">2021A LTGO (Sewer) Bonds </w:t>
      </w:r>
      <w:r w:rsidRPr="00540173">
        <w:t xml:space="preserve">shall mature on the dates and bear interest at the </w:t>
      </w:r>
      <w:r>
        <w:t xml:space="preserve">rates (computed </w:t>
      </w:r>
      <w:r w:rsidRPr="00540173">
        <w:t>on the basis of a 360-day year of t</w:t>
      </w:r>
      <w:r>
        <w:t xml:space="preserve">welve 30-day months), </w:t>
      </w:r>
      <w:r w:rsidRPr="00540173">
        <w:t>as follows:</w:t>
      </w:r>
    </w:p>
    <w:p w14:paraId="7058B118" w14:textId="77777777" w:rsidR="004C3B44" w:rsidRDefault="004C3B44" w:rsidP="004C3B44">
      <w:pPr>
        <w:pStyle w:val="BlockText"/>
        <w:jc w:val="both"/>
      </w:pPr>
    </w:p>
    <w:p w14:paraId="158ECF72" w14:textId="77777777" w:rsidR="004C3B44" w:rsidRDefault="004C3B44" w:rsidP="004C3B44">
      <w:pPr>
        <w:pStyle w:val="BlockText"/>
        <w:jc w:val="center"/>
      </w:pPr>
      <w:r w:rsidRPr="00D20285">
        <w:rPr>
          <w:noProof/>
        </w:rPr>
        <w:drawing>
          <wp:inline distT="0" distB="0" distL="0" distR="0" wp14:anchorId="32BEF63B" wp14:editId="62F91424">
            <wp:extent cx="5317873" cy="325208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5764" cy="3269140"/>
                    </a:xfrm>
                    <a:prstGeom prst="rect">
                      <a:avLst/>
                    </a:prstGeom>
                  </pic:spPr>
                </pic:pic>
              </a:graphicData>
            </a:graphic>
          </wp:inline>
        </w:drawing>
      </w:r>
    </w:p>
    <w:p w14:paraId="22B90748" w14:textId="77777777" w:rsidR="004C3B44" w:rsidRPr="00540173" w:rsidRDefault="004C3B44" w:rsidP="004C3B44">
      <w:pPr>
        <w:widowControl w:val="0"/>
        <w:pBdr>
          <w:bottom w:val="single" w:sz="12" w:space="1" w:color="auto"/>
        </w:pBdr>
        <w:spacing w:after="0" w:line="240" w:lineRule="auto"/>
        <w:jc w:val="both"/>
        <w:rPr>
          <w:bCs/>
          <w:color w:val="1A1A1A"/>
          <w:w w:val="108"/>
          <w:position w:val="-1"/>
          <w:sz w:val="21"/>
          <w:szCs w:val="21"/>
        </w:rPr>
      </w:pPr>
    </w:p>
    <w:p w14:paraId="2F5917D8" w14:textId="77777777" w:rsidR="004C3B44" w:rsidRPr="00D20285" w:rsidRDefault="004C3B44" w:rsidP="004C3B44">
      <w:pPr>
        <w:jc w:val="both"/>
        <w:rPr>
          <w:bCs/>
          <w:sz w:val="21"/>
          <w:szCs w:val="21"/>
        </w:rPr>
      </w:pPr>
      <w:r w:rsidRPr="00D20285">
        <w:rPr>
          <w:bCs/>
          <w:color w:val="1A1A1A"/>
          <w:w w:val="108"/>
          <w:position w:val="-1"/>
          <w:sz w:val="21"/>
          <w:szCs w:val="21"/>
        </w:rPr>
        <w:t xml:space="preserve">* </w:t>
      </w:r>
      <w:r w:rsidRPr="00D20285">
        <w:rPr>
          <w:bCs/>
          <w:sz w:val="21"/>
          <w:szCs w:val="21"/>
        </w:rPr>
        <w:t xml:space="preserve">For </w:t>
      </w:r>
      <w:r w:rsidRPr="00ED2D5C">
        <w:rPr>
          <w:bCs/>
          <w:sz w:val="21"/>
          <w:szCs w:val="21"/>
        </w:rPr>
        <w:t xml:space="preserve">2021A LTGO (Sewer) Bonds </w:t>
      </w:r>
      <w:r w:rsidRPr="00D20285">
        <w:rPr>
          <w:bCs/>
          <w:sz w:val="21"/>
          <w:szCs w:val="21"/>
        </w:rPr>
        <w:t>maturing on and after January 1, 2032, price is calculated to the first par call date of July 1, 20</w:t>
      </w:r>
      <w:r>
        <w:rPr>
          <w:bCs/>
          <w:sz w:val="21"/>
          <w:szCs w:val="21"/>
        </w:rPr>
        <w:t>31</w:t>
      </w:r>
      <w:r w:rsidRPr="00D20285">
        <w:rPr>
          <w:bCs/>
          <w:sz w:val="21"/>
          <w:szCs w:val="21"/>
        </w:rPr>
        <w:t>.</w:t>
      </w:r>
    </w:p>
    <w:p w14:paraId="07F48646" w14:textId="77777777" w:rsidR="004C3B44" w:rsidRDefault="004C3B44" w:rsidP="004C3B44">
      <w:pPr>
        <w:pStyle w:val="BodyTextIndent3"/>
        <w:rPr>
          <w:rFonts w:ascii="TimesNewRomanPSMT" w:eastAsia="Calibri" w:hAnsi="TimesNewRomanPSMT" w:cs="TimesNewRomanPSMT"/>
        </w:rPr>
      </w:pPr>
      <w:r w:rsidRPr="00540173">
        <w:t>(e</w:t>
      </w:r>
      <w:r>
        <w:t>)</w:t>
      </w:r>
      <w:r>
        <w:tab/>
        <w:t xml:space="preserve">Optional Redemption.  </w:t>
      </w:r>
      <w:r>
        <w:tab/>
      </w:r>
      <w:r w:rsidRPr="00155159">
        <w:rPr>
          <w:rFonts w:ascii="TimesNewRomanPSMT" w:eastAsia="Calibri" w:hAnsi="TimesNewRomanPSMT" w:cs="TimesNewRomanPSMT"/>
        </w:rPr>
        <w:t>The 2021A LTGO (Sewer) Bonds</w:t>
      </w:r>
      <w:r>
        <w:rPr>
          <w:rFonts w:ascii="TimesNewRomanPSMT" w:eastAsia="Calibri" w:hAnsi="TimesNewRomanPSMT" w:cs="TimesNewRomanPSMT"/>
        </w:rPr>
        <w:t xml:space="preserve"> </w:t>
      </w:r>
      <w:r w:rsidRPr="00155159">
        <w:rPr>
          <w:rFonts w:ascii="TimesNewRomanPSMT" w:eastAsia="Calibri" w:hAnsi="TimesNewRomanPSMT" w:cs="TimesNewRomanPSMT"/>
        </w:rPr>
        <w:t>maturing prior to July 1, 2031, are not subject to optional redemption prior to maturity. The 2021A</w:t>
      </w:r>
      <w:r>
        <w:rPr>
          <w:rFonts w:ascii="TimesNewRomanPSMT" w:eastAsia="Calibri" w:hAnsi="TimesNewRomanPSMT" w:cs="TimesNewRomanPSMT"/>
        </w:rPr>
        <w:t xml:space="preserve"> </w:t>
      </w:r>
      <w:r w:rsidRPr="00155159">
        <w:rPr>
          <w:rFonts w:ascii="TimesNewRomanPSMT" w:eastAsia="Calibri" w:hAnsi="TimesNewRomanPSMT" w:cs="TimesNewRomanPSMT"/>
        </w:rPr>
        <w:t>LTGO (Sewer) Bonds maturing on and after January 1, 2032, are subject to redemption prior to</w:t>
      </w:r>
      <w:r>
        <w:rPr>
          <w:rFonts w:ascii="TimesNewRomanPSMT" w:eastAsia="Calibri" w:hAnsi="TimesNewRomanPSMT" w:cs="TimesNewRomanPSMT"/>
        </w:rPr>
        <w:t xml:space="preserve"> </w:t>
      </w:r>
      <w:r w:rsidRPr="00155159">
        <w:rPr>
          <w:rFonts w:ascii="TimesNewRomanPSMT" w:eastAsia="Calibri" w:hAnsi="TimesNewRomanPSMT" w:cs="TimesNewRomanPSMT"/>
        </w:rPr>
        <w:t>their stated maturities at the option of the County in whole or in part, at any time on or after July 1,</w:t>
      </w:r>
      <w:r>
        <w:rPr>
          <w:rFonts w:ascii="TimesNewRomanPSMT" w:eastAsia="Calibri" w:hAnsi="TimesNewRomanPSMT" w:cs="TimesNewRomanPSMT"/>
        </w:rPr>
        <w:t xml:space="preserve"> </w:t>
      </w:r>
      <w:r w:rsidRPr="00155159">
        <w:rPr>
          <w:rFonts w:ascii="TimesNewRomanPSMT" w:eastAsia="Calibri" w:hAnsi="TimesNewRomanPSMT" w:cs="TimesNewRomanPSMT"/>
        </w:rPr>
        <w:t>2031, at the price of par plus accrued interest, if any, to the date fixed for redemption.</w:t>
      </w:r>
    </w:p>
    <w:p w14:paraId="4ACFE5E0" w14:textId="77777777" w:rsidR="004C3B44" w:rsidRDefault="004C3B44" w:rsidP="004C3B44">
      <w:pPr>
        <w:pStyle w:val="BodyTextIndent3"/>
        <w:rPr>
          <w:rFonts w:ascii="TimesNewRomanPSMT" w:eastAsia="Calibri" w:hAnsi="TimesNewRomanPSMT" w:cs="TimesNewRomanPSMT"/>
        </w:rPr>
      </w:pPr>
      <w:r>
        <w:rPr>
          <w:rFonts w:ascii="TimesNewRomanPSMT" w:eastAsia="Calibri" w:hAnsi="TimesNewRomanPSMT" w:cs="TimesNewRomanPSMT"/>
        </w:rPr>
        <w:t xml:space="preserve">  </w:t>
      </w:r>
    </w:p>
    <w:p w14:paraId="24B28FEE" w14:textId="77777777" w:rsidR="004C3B44" w:rsidRPr="00155159" w:rsidRDefault="004C3B44" w:rsidP="004C3B44">
      <w:pPr>
        <w:pStyle w:val="BodyTextIndent3"/>
      </w:pPr>
      <w:r>
        <w:rPr>
          <w:rFonts w:ascii="TimesNewRomanPSMT" w:eastAsia="Calibri" w:hAnsi="TimesNewRomanPSMT" w:cs="TimesNewRomanPSMT"/>
        </w:rPr>
        <w:tab/>
      </w:r>
      <w:r>
        <w:rPr>
          <w:rFonts w:ascii="TimesNewRomanPSMT" w:eastAsia="Calibri" w:hAnsi="TimesNewRomanPSMT" w:cs="TimesNewRomanPSMT"/>
        </w:rPr>
        <w:tab/>
      </w:r>
      <w:r w:rsidRPr="00155159">
        <w:t>Whenever less than all of the 2021A LTGO (Sewer) Bonds of a single maturity of a Series are to be</w:t>
      </w:r>
      <w:r>
        <w:t xml:space="preserve"> </w:t>
      </w:r>
      <w:r w:rsidRPr="00155159">
        <w:t xml:space="preserve">redeemed, the Securities </w:t>
      </w:r>
      <w:r w:rsidRPr="00155159">
        <w:lastRenderedPageBreak/>
        <w:t>Depository will select the 2021A LTGO (Sewer) Bonds registered in the name of the Securities</w:t>
      </w:r>
      <w:r>
        <w:t xml:space="preserve"> </w:t>
      </w:r>
      <w:r w:rsidRPr="00155159">
        <w:t>Depository to be redeemed in accordance with the Letter of Representations, and the Registrar will select all other 2021A LTGO (Sewer) Bonds to be redeemed randomly, or in such other</w:t>
      </w:r>
      <w:r>
        <w:t xml:space="preserve"> </w:t>
      </w:r>
      <w:r w:rsidRPr="00155159">
        <w:t>manner as the Registrar determines.</w:t>
      </w:r>
    </w:p>
    <w:p w14:paraId="714850DC" w14:textId="77777777" w:rsidR="004C3B44" w:rsidRPr="00155159" w:rsidRDefault="004C3B44" w:rsidP="004C3B44"/>
    <w:p w14:paraId="7E52F8FC" w14:textId="77777777" w:rsidR="004C3B44" w:rsidRPr="00E27720" w:rsidRDefault="004C3B44" w:rsidP="004C3B44">
      <w:pPr>
        <w:pStyle w:val="Heading2"/>
        <w:rPr>
          <w:bCs/>
          <w:color w:val="1A1A1A"/>
          <w:w w:val="108"/>
          <w:position w:val="-1"/>
          <w:sz w:val="21"/>
          <w:szCs w:val="21"/>
        </w:rPr>
        <w:sectPr w:rsidR="004C3B44" w:rsidRPr="00E27720" w:rsidSect="000B4455">
          <w:footerReference w:type="default" r:id="rId14"/>
          <w:pgSz w:w="12240" w:h="15840" w:code="1"/>
          <w:pgMar w:top="1440" w:right="1440" w:bottom="1440" w:left="1440" w:header="720" w:footer="432" w:gutter="0"/>
          <w:cols w:space="720"/>
          <w:noEndnote/>
          <w:docGrid w:linePitch="326"/>
        </w:sectPr>
      </w:pPr>
    </w:p>
    <w:p w14:paraId="5026DF7F" w14:textId="77777777" w:rsidR="004C3B44" w:rsidRPr="001C5B54" w:rsidRDefault="004C3B44" w:rsidP="004C3B44">
      <w:pPr>
        <w:pStyle w:val="Heading2"/>
        <w:rPr>
          <w:bCs/>
          <w:color w:val="1A1A1A"/>
          <w:w w:val="108"/>
          <w:position w:val="-1"/>
          <w:szCs w:val="24"/>
        </w:rPr>
      </w:pPr>
      <w:r w:rsidRPr="001C5B54">
        <w:rPr>
          <w:bCs/>
          <w:color w:val="1A1A1A"/>
          <w:w w:val="108"/>
          <w:position w:val="-1"/>
          <w:szCs w:val="24"/>
        </w:rPr>
        <w:lastRenderedPageBreak/>
        <w:t>Attachment B-3</w:t>
      </w:r>
    </w:p>
    <w:p w14:paraId="7E58E007" w14:textId="77777777" w:rsidR="004C3B44" w:rsidRDefault="004C3B44" w:rsidP="004C3B44">
      <w:pPr>
        <w:pStyle w:val="Heading2"/>
        <w:rPr>
          <w:bCs/>
          <w:color w:val="1A1A1A"/>
          <w:w w:val="108"/>
          <w:position w:val="-1"/>
          <w:szCs w:val="24"/>
        </w:rPr>
      </w:pPr>
      <w:r w:rsidRPr="001C5B54">
        <w:rPr>
          <w:bCs/>
          <w:color w:val="1A1A1A"/>
          <w:w w:val="108"/>
          <w:position w:val="-1"/>
          <w:szCs w:val="24"/>
        </w:rPr>
        <w:t>Description of the 2021B LTGO (Sewer) Bonds</w:t>
      </w:r>
    </w:p>
    <w:p w14:paraId="32976507" w14:textId="77777777" w:rsidR="004C3B44" w:rsidRPr="00540173" w:rsidRDefault="004C3B44" w:rsidP="004C3B44">
      <w:pPr>
        <w:widowControl w:val="0"/>
        <w:spacing w:after="0" w:line="480" w:lineRule="auto"/>
        <w:rPr>
          <w:bCs/>
          <w:color w:val="1A1A1A"/>
          <w:w w:val="108"/>
          <w:position w:val="-1"/>
          <w:sz w:val="21"/>
          <w:szCs w:val="21"/>
        </w:rPr>
      </w:pPr>
      <w:r w:rsidRPr="00540173">
        <w:rPr>
          <w:bCs/>
          <w:color w:val="1A1A1A"/>
          <w:w w:val="108"/>
          <w:position w:val="-1"/>
          <w:sz w:val="21"/>
          <w:szCs w:val="21"/>
        </w:rPr>
        <w:t xml:space="preserve"> (a)</w:t>
      </w:r>
      <w:r w:rsidRPr="00540173">
        <w:rPr>
          <w:bCs/>
          <w:color w:val="1A1A1A"/>
          <w:w w:val="108"/>
          <w:position w:val="-1"/>
          <w:sz w:val="21"/>
          <w:szCs w:val="21"/>
        </w:rPr>
        <w:tab/>
        <w:t>Principal Amount:</w:t>
      </w:r>
      <w:r w:rsidRPr="00540173">
        <w:rPr>
          <w:bCs/>
          <w:color w:val="1A1A1A"/>
          <w:w w:val="108"/>
          <w:position w:val="-1"/>
          <w:sz w:val="21"/>
          <w:szCs w:val="21"/>
        </w:rPr>
        <w:tab/>
      </w:r>
      <w:r w:rsidRPr="00540173">
        <w:rPr>
          <w:bCs/>
          <w:color w:val="1A1A1A"/>
          <w:w w:val="108"/>
          <w:position w:val="-1"/>
          <w:sz w:val="21"/>
          <w:szCs w:val="21"/>
        </w:rPr>
        <w:tab/>
        <w:t>$</w:t>
      </w:r>
      <w:r w:rsidRPr="00ED2D5C">
        <w:rPr>
          <w:bCs/>
          <w:color w:val="1A1A1A"/>
          <w:w w:val="108"/>
          <w:position w:val="-1"/>
          <w:sz w:val="21"/>
          <w:szCs w:val="21"/>
        </w:rPr>
        <w:t>94,510,000.00</w:t>
      </w:r>
    </w:p>
    <w:p w14:paraId="750B9A60" w14:textId="77777777" w:rsidR="004C3B44" w:rsidRPr="00540173" w:rsidRDefault="004C3B44" w:rsidP="004C3B44">
      <w:pPr>
        <w:pStyle w:val="BodyTextIndent3"/>
      </w:pPr>
      <w:r w:rsidRPr="00540173">
        <w:t>(b)</w:t>
      </w:r>
      <w:r w:rsidRPr="00540173">
        <w:tab/>
        <w:t>Purchase Price:</w:t>
      </w:r>
      <w:r w:rsidRPr="00540173">
        <w:tab/>
        <w:t>$</w:t>
      </w:r>
      <w:r w:rsidRPr="00ED2D5C">
        <w:t>94,303,164.08</w:t>
      </w:r>
      <w:r w:rsidRPr="00540173">
        <w:t xml:space="preserve">, representing the stated principal amount of the </w:t>
      </w:r>
      <w:r w:rsidRPr="00155159">
        <w:t xml:space="preserve">2021B LTGO (Sewer) Bonds </w:t>
      </w:r>
      <w:r>
        <w:t>minus an underwriter’</w:t>
      </w:r>
      <w:r w:rsidRPr="00540173">
        <w:t>s discount of $</w:t>
      </w:r>
      <w:r w:rsidRPr="00ED2D5C">
        <w:t>206,835.92</w:t>
      </w:r>
      <w:r w:rsidRPr="00540173">
        <w:t>.</w:t>
      </w:r>
    </w:p>
    <w:p w14:paraId="592E5719" w14:textId="77777777" w:rsidR="004C3B44" w:rsidRPr="00540173" w:rsidRDefault="004C3B44" w:rsidP="004C3B44">
      <w:pPr>
        <w:widowControl w:val="0"/>
        <w:tabs>
          <w:tab w:val="left" w:pos="720"/>
        </w:tabs>
        <w:spacing w:after="0" w:line="240" w:lineRule="auto"/>
        <w:ind w:left="2880" w:hanging="2880"/>
        <w:rPr>
          <w:bCs/>
          <w:color w:val="1A1A1A"/>
          <w:w w:val="108"/>
          <w:position w:val="-1"/>
          <w:sz w:val="21"/>
          <w:szCs w:val="21"/>
        </w:rPr>
      </w:pPr>
    </w:p>
    <w:p w14:paraId="61D04E98" w14:textId="77777777" w:rsidR="004C3B44" w:rsidRPr="00540173" w:rsidRDefault="004C3B44" w:rsidP="004C3B44">
      <w:pPr>
        <w:widowControl w:val="0"/>
        <w:tabs>
          <w:tab w:val="left" w:pos="720"/>
        </w:tabs>
        <w:spacing w:after="0" w:line="240" w:lineRule="auto"/>
        <w:ind w:left="3600" w:hanging="3600"/>
        <w:rPr>
          <w:bCs/>
          <w:color w:val="1A1A1A"/>
          <w:w w:val="108"/>
          <w:position w:val="-1"/>
          <w:sz w:val="21"/>
          <w:szCs w:val="21"/>
        </w:rPr>
      </w:pPr>
      <w:r w:rsidRPr="00540173">
        <w:rPr>
          <w:bCs/>
          <w:color w:val="1A1A1A"/>
          <w:w w:val="108"/>
          <w:position w:val="-1"/>
          <w:sz w:val="21"/>
          <w:szCs w:val="21"/>
        </w:rPr>
        <w:t>(c)</w:t>
      </w:r>
      <w:r w:rsidRPr="00540173">
        <w:rPr>
          <w:bCs/>
          <w:color w:val="1A1A1A"/>
          <w:w w:val="108"/>
          <w:position w:val="-1"/>
          <w:sz w:val="21"/>
          <w:szCs w:val="21"/>
        </w:rPr>
        <w:tab/>
        <w:t xml:space="preserve">Interest Payment Dates: </w:t>
      </w:r>
      <w:r w:rsidRPr="00540173">
        <w:rPr>
          <w:bCs/>
          <w:color w:val="1A1A1A"/>
          <w:w w:val="108"/>
          <w:position w:val="-1"/>
          <w:sz w:val="21"/>
          <w:szCs w:val="21"/>
        </w:rPr>
        <w:tab/>
      </w:r>
      <w:r>
        <w:rPr>
          <w:bCs/>
          <w:color w:val="1A1A1A"/>
          <w:w w:val="108"/>
          <w:position w:val="-1"/>
          <w:sz w:val="21"/>
          <w:szCs w:val="21"/>
        </w:rPr>
        <w:t>January</w:t>
      </w:r>
      <w:r w:rsidRPr="00540173">
        <w:rPr>
          <w:bCs/>
          <w:color w:val="1A1A1A"/>
          <w:w w:val="108"/>
          <w:position w:val="-1"/>
          <w:sz w:val="21"/>
          <w:szCs w:val="21"/>
        </w:rPr>
        <w:t xml:space="preserve"> 1 and </w:t>
      </w:r>
      <w:r>
        <w:rPr>
          <w:bCs/>
          <w:color w:val="1A1A1A"/>
          <w:w w:val="108"/>
          <w:position w:val="-1"/>
          <w:sz w:val="21"/>
          <w:szCs w:val="21"/>
        </w:rPr>
        <w:t>July</w:t>
      </w:r>
      <w:r w:rsidRPr="00540173">
        <w:rPr>
          <w:bCs/>
          <w:color w:val="1A1A1A"/>
          <w:w w:val="108"/>
          <w:position w:val="-1"/>
          <w:sz w:val="21"/>
          <w:szCs w:val="21"/>
        </w:rPr>
        <w:t xml:space="preserve"> 1, beginning </w:t>
      </w:r>
      <w:r>
        <w:rPr>
          <w:bCs/>
          <w:color w:val="1A1A1A"/>
          <w:w w:val="108"/>
          <w:position w:val="-1"/>
          <w:sz w:val="21"/>
          <w:szCs w:val="21"/>
        </w:rPr>
        <w:t>January</w:t>
      </w:r>
      <w:r w:rsidRPr="00540173">
        <w:rPr>
          <w:bCs/>
          <w:color w:val="1A1A1A"/>
          <w:w w:val="108"/>
          <w:position w:val="-1"/>
          <w:sz w:val="21"/>
          <w:szCs w:val="21"/>
        </w:rPr>
        <w:t xml:space="preserve"> 1, 202</w:t>
      </w:r>
      <w:r>
        <w:rPr>
          <w:bCs/>
          <w:color w:val="1A1A1A"/>
          <w:w w:val="108"/>
          <w:position w:val="-1"/>
          <w:sz w:val="21"/>
          <w:szCs w:val="21"/>
        </w:rPr>
        <w:t>2</w:t>
      </w:r>
      <w:r w:rsidRPr="00540173">
        <w:rPr>
          <w:bCs/>
          <w:color w:val="1A1A1A"/>
          <w:w w:val="108"/>
          <w:position w:val="-1"/>
          <w:sz w:val="21"/>
          <w:szCs w:val="21"/>
        </w:rPr>
        <w:t>.</w:t>
      </w:r>
    </w:p>
    <w:p w14:paraId="0F64085F" w14:textId="77777777" w:rsidR="004C3B44" w:rsidRPr="00540173" w:rsidRDefault="004C3B44" w:rsidP="004C3B44">
      <w:pPr>
        <w:widowControl w:val="0"/>
        <w:spacing w:after="0" w:line="240" w:lineRule="auto"/>
        <w:rPr>
          <w:bCs/>
          <w:color w:val="1A1A1A"/>
          <w:w w:val="108"/>
          <w:position w:val="-1"/>
          <w:sz w:val="21"/>
          <w:szCs w:val="21"/>
        </w:rPr>
      </w:pPr>
    </w:p>
    <w:p w14:paraId="0BA1CE40" w14:textId="77777777" w:rsidR="004C3B44" w:rsidRPr="00540173" w:rsidRDefault="004C3B44" w:rsidP="004C3B44">
      <w:pPr>
        <w:pStyle w:val="BlockText"/>
        <w:jc w:val="both"/>
      </w:pPr>
      <w:r w:rsidRPr="00540173">
        <w:t>(d)</w:t>
      </w:r>
      <w:r w:rsidRPr="00540173">
        <w:tab/>
        <w:t xml:space="preserve">Maturity  and Interest  Rates:  </w:t>
      </w:r>
      <w:r w:rsidRPr="00540173">
        <w:tab/>
        <w:t xml:space="preserve">The </w:t>
      </w:r>
      <w:r w:rsidRPr="00155159">
        <w:t xml:space="preserve">2021B LTGO (Sewer) Bonds </w:t>
      </w:r>
      <w:r w:rsidRPr="00540173">
        <w:t xml:space="preserve">shall mature on the dates and bear interest at the </w:t>
      </w:r>
      <w:r>
        <w:t xml:space="preserve">rates (computed </w:t>
      </w:r>
      <w:r w:rsidRPr="00540173">
        <w:t>on the basis of a 360-day year of t</w:t>
      </w:r>
      <w:r>
        <w:t xml:space="preserve">welve 30-day months), </w:t>
      </w:r>
      <w:r w:rsidRPr="00540173">
        <w:t>as follows:</w:t>
      </w:r>
    </w:p>
    <w:p w14:paraId="59722765" w14:textId="77777777" w:rsidR="004C3B44" w:rsidRDefault="004C3B44" w:rsidP="004C3B44">
      <w:pPr>
        <w:widowControl w:val="0"/>
        <w:spacing w:after="0" w:line="240" w:lineRule="auto"/>
        <w:rPr>
          <w:bCs/>
          <w:color w:val="1A1A1A"/>
          <w:w w:val="108"/>
          <w:position w:val="-1"/>
          <w:sz w:val="21"/>
          <w:szCs w:val="21"/>
        </w:rPr>
      </w:pPr>
    </w:p>
    <w:p w14:paraId="0B5E25BC" w14:textId="77777777" w:rsidR="004C3B44" w:rsidRPr="00540173" w:rsidRDefault="004C3B44" w:rsidP="004C3B44">
      <w:pPr>
        <w:widowControl w:val="0"/>
        <w:spacing w:after="0" w:line="240" w:lineRule="auto"/>
        <w:jc w:val="center"/>
        <w:rPr>
          <w:bCs/>
          <w:color w:val="1A1A1A"/>
          <w:w w:val="108"/>
          <w:position w:val="-1"/>
          <w:sz w:val="21"/>
          <w:szCs w:val="21"/>
        </w:rPr>
      </w:pPr>
      <w:r w:rsidRPr="00ED2D5C">
        <w:rPr>
          <w:bCs/>
          <w:noProof/>
          <w:color w:val="1A1A1A"/>
          <w:w w:val="108"/>
          <w:position w:val="-1"/>
          <w:sz w:val="21"/>
          <w:szCs w:val="21"/>
        </w:rPr>
        <w:drawing>
          <wp:inline distT="0" distB="0" distL="0" distR="0" wp14:anchorId="088699B3" wp14:editId="2EC31BBB">
            <wp:extent cx="5475229" cy="301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7201" cy="3029629"/>
                    </a:xfrm>
                    <a:prstGeom prst="rect">
                      <a:avLst/>
                    </a:prstGeom>
                  </pic:spPr>
                </pic:pic>
              </a:graphicData>
            </a:graphic>
          </wp:inline>
        </w:drawing>
      </w:r>
    </w:p>
    <w:p w14:paraId="35DA612F" w14:textId="77777777" w:rsidR="004C3B44" w:rsidRPr="00540173" w:rsidRDefault="004C3B44" w:rsidP="004C3B44">
      <w:pPr>
        <w:widowControl w:val="0"/>
        <w:tabs>
          <w:tab w:val="left" w:pos="720"/>
        </w:tabs>
        <w:spacing w:after="0" w:line="240" w:lineRule="auto"/>
        <w:ind w:left="3600" w:hanging="3600"/>
        <w:rPr>
          <w:bCs/>
          <w:color w:val="1A1A1A"/>
          <w:w w:val="108"/>
          <w:position w:val="-1"/>
          <w:sz w:val="21"/>
          <w:szCs w:val="21"/>
        </w:rPr>
      </w:pPr>
    </w:p>
    <w:p w14:paraId="15CF1148" w14:textId="77777777" w:rsidR="004C3B44" w:rsidRDefault="004C3B44" w:rsidP="004C3B44">
      <w:pPr>
        <w:pStyle w:val="BodyTextIndent3"/>
      </w:pPr>
      <w:r w:rsidRPr="00540173">
        <w:t>(e)</w:t>
      </w:r>
      <w:r w:rsidRPr="00540173">
        <w:tab/>
        <w:t xml:space="preserve">Optional Redemption.  </w:t>
      </w:r>
      <w:r w:rsidRPr="00540173">
        <w:tab/>
        <w:t xml:space="preserve">The </w:t>
      </w:r>
      <w:r w:rsidRPr="00155159">
        <w:t xml:space="preserve">2021B LTGO (Sewer) Bonds </w:t>
      </w:r>
      <w:r>
        <w:t xml:space="preserve">are subject to redemption prior to their stated maturities at the option of the County in whole or in part, at any time before July 1, 2031, at the “Make-Whole Redemption Price.”  The </w:t>
      </w:r>
      <w:r w:rsidRPr="00155159">
        <w:t xml:space="preserve">2021B LTGO (Sewer) Bonds </w:t>
      </w:r>
      <w:r>
        <w:t>maturing on and after July 1, 2032, are subject to redemption prior to their stated maturities at the option of the County in whole or in part, at any time on or after July 1, 2031, at the price of par plus accrued interest, if any, to the date fixed for redemption.</w:t>
      </w:r>
    </w:p>
    <w:p w14:paraId="43D6BC64" w14:textId="77777777" w:rsidR="004C3B44" w:rsidRDefault="004C3B44" w:rsidP="004C3B44">
      <w:pPr>
        <w:pStyle w:val="BodyTextIndent3"/>
      </w:pPr>
    </w:p>
    <w:p w14:paraId="20061BE0" w14:textId="77777777" w:rsidR="004C3B44" w:rsidRDefault="004C3B44" w:rsidP="004C3B44">
      <w:pPr>
        <w:pStyle w:val="BodyTextIndent3"/>
      </w:pPr>
      <w:r w:rsidRPr="00540173">
        <w:tab/>
      </w:r>
      <w:r w:rsidRPr="00540173">
        <w:tab/>
      </w:r>
      <w:r>
        <w:t xml:space="preserve">If the </w:t>
      </w:r>
      <w:r w:rsidRPr="00155159">
        <w:t xml:space="preserve">2021B LTGO (Sewer) Bonds </w:t>
      </w:r>
      <w:r>
        <w:t xml:space="preserve">are registered in book-entry only form and so long as DTC or a successor securities depository is the sole registered owner of the </w:t>
      </w:r>
      <w:r w:rsidRPr="00155159">
        <w:t>2021B LTGO (Sewer) Bonds</w:t>
      </w:r>
      <w:r>
        <w:t xml:space="preserve">, if fewer than all of a maturity of a series of 2021B LTGO (Sewer) Bonds are to be redeemed prior to maturity, the particular 2021B LTGO (Sewer) Bonds or portions </w:t>
      </w:r>
      <w:r>
        <w:lastRenderedPageBreak/>
        <w:t>thereof to be redeemed shall be selected on a “Pro Rata Pass-Through Distribution of Principal” basis in accordance with DTC procedures, provided that, so long as the 2021B LTGO (Sewer) Bonds are held in book-entry form, the selection for redemption of such 2021B LTGO (Sewer) Bonds shall be made in accordance with the operational arrangements of DTC then in effect that currently provide for adjustment of the principal by a factor provided by the Registrar pursuant to DTC operational arrangements.  If the Registrar does not provide the necessary information and identify the redemption as on a Pro Rata Pass-Through Distribution of Principal basis, the 2021B LTGO (Sewer) Bonds will be selected for redemption in accordance with DTC procedures by lot within a maturity.</w:t>
      </w:r>
    </w:p>
    <w:p w14:paraId="25682829" w14:textId="77777777" w:rsidR="004C3B44" w:rsidRDefault="004C3B44" w:rsidP="004C3B44">
      <w:pPr>
        <w:pStyle w:val="BodyTextIndent3"/>
      </w:pPr>
    </w:p>
    <w:p w14:paraId="27D960D2" w14:textId="77777777" w:rsidR="004C3B44" w:rsidRDefault="004C3B44" w:rsidP="004C3B44">
      <w:pPr>
        <w:pStyle w:val="BodyTextIndent3"/>
      </w:pPr>
      <w:r>
        <w:tab/>
      </w:r>
      <w:r>
        <w:tab/>
        <w:t>If the 2021B LTGO (Sewer) Bonds are not registered in book-entry only form, the 2021B LTGO (Sewer) Bonds will be assigned certificate numbers.  Any redemptions of less than all of a maturity of a series of the 2021B LTGO (Sewer) Bonds shall be effected by the Fiscal Agent by designating such 2021B LTGO (Sewer) Bonds for optional redemption within a maturity in the order of the assigned certificate numbers.</w:t>
      </w:r>
    </w:p>
    <w:p w14:paraId="59642D68" w14:textId="77777777" w:rsidR="004C3B44" w:rsidRDefault="004C3B44" w:rsidP="004C3B44"/>
    <w:p w14:paraId="732ED5CE" w14:textId="77777777" w:rsidR="004C3B44" w:rsidRPr="00155159" w:rsidRDefault="004C3B44" w:rsidP="004C3B44"/>
    <w:p w14:paraId="66CD36AC" w14:textId="77777777" w:rsidR="00EC1613" w:rsidRDefault="00EC1613" w:rsidP="00D61CCA">
      <w:pPr>
        <w:pStyle w:val="Heading2"/>
        <w:jc w:val="left"/>
      </w:pPr>
    </w:p>
    <w:sectPr w:rsidR="00EC1613" w:rsidSect="000B4455">
      <w:footerReference w:type="default" r:id="rId16"/>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D019" w14:textId="77777777" w:rsidR="00000000" w:rsidRDefault="004458B5">
      <w:pPr>
        <w:spacing w:after="0" w:line="240" w:lineRule="auto"/>
      </w:pPr>
      <w:r>
        <w:separator/>
      </w:r>
    </w:p>
  </w:endnote>
  <w:endnote w:type="continuationSeparator" w:id="0">
    <w:p w14:paraId="21AFFEDA" w14:textId="77777777" w:rsidR="00000000" w:rsidRDefault="0044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ABC4" w14:textId="77777777" w:rsidR="004458B5" w:rsidRDefault="0044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700276"/>
      <w:docPartObj>
        <w:docPartGallery w:val="Page Numbers (Bottom of Page)"/>
        <w:docPartUnique/>
      </w:docPartObj>
    </w:sdtPr>
    <w:sdtEndPr>
      <w:rPr>
        <w:noProof/>
      </w:rPr>
    </w:sdtEndPr>
    <w:sdtContent>
      <w:p w14:paraId="1E9CDA5E" w14:textId="77777777" w:rsidR="003E7EF4" w:rsidRDefault="00D61CC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7213E8" w14:textId="77777777" w:rsidR="00023A5F" w:rsidRDefault="00445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4213" w14:textId="77777777" w:rsidR="00623523" w:rsidRDefault="004458B5" w:rsidP="00623523">
    <w:pPr>
      <w:pStyle w:val="Footer"/>
    </w:pPr>
  </w:p>
  <w:p w14:paraId="0071BE6E" w14:textId="77777777" w:rsidR="00623523" w:rsidRDefault="004458B5">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1240" w14:textId="77777777" w:rsidR="00023A5F" w:rsidRDefault="004458B5">
    <w:pPr>
      <w:pStyle w:val="Footer"/>
      <w:jc w:val="center"/>
    </w:pPr>
  </w:p>
  <w:p w14:paraId="7A4E06AA" w14:textId="77777777" w:rsidR="00023A5F" w:rsidRDefault="004458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2541" w14:textId="77777777" w:rsidR="00023A5F" w:rsidRDefault="004458B5">
    <w:pPr>
      <w:pStyle w:val="Footer"/>
      <w:jc w:val="center"/>
    </w:pPr>
  </w:p>
  <w:p w14:paraId="34430D2C" w14:textId="77777777" w:rsidR="00023A5F" w:rsidRDefault="0044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9527" w14:textId="77777777" w:rsidR="00000000" w:rsidRDefault="004458B5">
      <w:pPr>
        <w:spacing w:after="0" w:line="240" w:lineRule="auto"/>
      </w:pPr>
      <w:r>
        <w:separator/>
      </w:r>
    </w:p>
  </w:footnote>
  <w:footnote w:type="continuationSeparator" w:id="0">
    <w:p w14:paraId="6EB17DBA" w14:textId="77777777" w:rsidR="00000000" w:rsidRDefault="0044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250B" w14:textId="77777777" w:rsidR="004458B5" w:rsidRDefault="0044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E2C9" w14:textId="77777777" w:rsidR="004458B5" w:rsidRDefault="00445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F85A" w14:textId="77777777" w:rsidR="004458B5" w:rsidRDefault="00445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44"/>
    <w:rsid w:val="004458B5"/>
    <w:rsid w:val="004C3B44"/>
    <w:rsid w:val="00D61CCA"/>
    <w:rsid w:val="00EC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E1A7"/>
  <w15:chartTrackingRefBased/>
  <w15:docId w15:val="{9759EA97-DDB1-439B-B4C3-9D74F7B7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B44"/>
    <w:pPr>
      <w:spacing w:after="200" w:line="276" w:lineRule="auto"/>
    </w:pPr>
    <w:rPr>
      <w:rFonts w:ascii="Times New Roman" w:eastAsia="Times New Roman" w:hAnsi="Times New Roman" w:cs="Times New Roman"/>
      <w:sz w:val="24"/>
    </w:rPr>
  </w:style>
  <w:style w:type="paragraph" w:styleId="Heading2">
    <w:name w:val="heading 2"/>
    <w:basedOn w:val="Normal"/>
    <w:next w:val="Normal"/>
    <w:link w:val="Heading2Char"/>
    <w:unhideWhenUsed/>
    <w:qFormat/>
    <w:rsid w:val="004C3B44"/>
    <w:pPr>
      <w:keepNext/>
      <w:spacing w:after="0" w:line="480" w:lineRule="auto"/>
      <w:jc w:val="center"/>
      <w:outlineLvl w:val="1"/>
    </w:pPr>
    <w:rPr>
      <w:b/>
    </w:rPr>
  </w:style>
  <w:style w:type="paragraph" w:styleId="Heading3">
    <w:name w:val="heading 3"/>
    <w:basedOn w:val="Normal"/>
    <w:next w:val="Normal"/>
    <w:link w:val="Heading3Char"/>
    <w:unhideWhenUsed/>
    <w:qFormat/>
    <w:rsid w:val="004C3B44"/>
    <w:pPr>
      <w:keepNext/>
      <w:widowControl w:val="0"/>
      <w:tabs>
        <w:tab w:val="left" w:pos="720"/>
      </w:tabs>
      <w:spacing w:after="0" w:line="240" w:lineRule="auto"/>
      <w:jc w:val="center"/>
      <w:outlineLvl w:val="2"/>
    </w:pPr>
    <w:rPr>
      <w:b/>
      <w:bCs/>
      <w:color w:val="1A1A1A"/>
      <w:w w:val="108"/>
      <w:position w:val="-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B44"/>
    <w:rPr>
      <w:rFonts w:ascii="Times New Roman" w:eastAsia="Times New Roman" w:hAnsi="Times New Roman" w:cs="Times New Roman"/>
      <w:b/>
      <w:sz w:val="24"/>
    </w:rPr>
  </w:style>
  <w:style w:type="character" w:customStyle="1" w:styleId="Heading3Char">
    <w:name w:val="Heading 3 Char"/>
    <w:basedOn w:val="DefaultParagraphFont"/>
    <w:link w:val="Heading3"/>
    <w:rsid w:val="004C3B44"/>
    <w:rPr>
      <w:rFonts w:ascii="Times New Roman" w:eastAsia="Times New Roman" w:hAnsi="Times New Roman" w:cs="Times New Roman"/>
      <w:b/>
      <w:bCs/>
      <w:color w:val="1A1A1A"/>
      <w:w w:val="108"/>
      <w:position w:val="-1"/>
      <w:sz w:val="21"/>
      <w:szCs w:val="21"/>
    </w:rPr>
  </w:style>
  <w:style w:type="paragraph" w:styleId="Header">
    <w:name w:val="header"/>
    <w:basedOn w:val="Normal"/>
    <w:link w:val="HeaderChar"/>
    <w:rsid w:val="004C3B44"/>
    <w:pPr>
      <w:tabs>
        <w:tab w:val="center" w:pos="4680"/>
        <w:tab w:val="right" w:pos="9360"/>
      </w:tabs>
    </w:pPr>
  </w:style>
  <w:style w:type="character" w:customStyle="1" w:styleId="HeaderChar">
    <w:name w:val="Header Char"/>
    <w:basedOn w:val="DefaultParagraphFont"/>
    <w:link w:val="Header"/>
    <w:rsid w:val="004C3B44"/>
    <w:rPr>
      <w:rFonts w:ascii="Times New Roman" w:eastAsia="Times New Roman" w:hAnsi="Times New Roman" w:cs="Times New Roman"/>
      <w:sz w:val="24"/>
    </w:rPr>
  </w:style>
  <w:style w:type="paragraph" w:styleId="Footer">
    <w:name w:val="footer"/>
    <w:basedOn w:val="Normal"/>
    <w:link w:val="FooterChar"/>
    <w:uiPriority w:val="99"/>
    <w:rsid w:val="004C3B44"/>
    <w:pPr>
      <w:tabs>
        <w:tab w:val="center" w:pos="4680"/>
        <w:tab w:val="right" w:pos="9360"/>
      </w:tabs>
    </w:pPr>
  </w:style>
  <w:style w:type="character" w:customStyle="1" w:styleId="FooterChar">
    <w:name w:val="Footer Char"/>
    <w:basedOn w:val="DefaultParagraphFont"/>
    <w:link w:val="Footer"/>
    <w:uiPriority w:val="99"/>
    <w:rsid w:val="004C3B44"/>
    <w:rPr>
      <w:rFonts w:ascii="Times New Roman" w:eastAsia="Times New Roman" w:hAnsi="Times New Roman" w:cs="Times New Roman"/>
      <w:sz w:val="24"/>
    </w:rPr>
  </w:style>
  <w:style w:type="paragraph" w:styleId="BodyText2">
    <w:name w:val="Body Text 2"/>
    <w:basedOn w:val="Normal"/>
    <w:link w:val="BodyText2Char"/>
    <w:unhideWhenUsed/>
    <w:rsid w:val="004C3B44"/>
    <w:pPr>
      <w:widowControl w:val="0"/>
      <w:suppressAutoHyphens/>
      <w:spacing w:after="0" w:line="240" w:lineRule="auto"/>
      <w:jc w:val="center"/>
    </w:pPr>
    <w:rPr>
      <w:szCs w:val="24"/>
    </w:rPr>
  </w:style>
  <w:style w:type="character" w:customStyle="1" w:styleId="BodyText2Char">
    <w:name w:val="Body Text 2 Char"/>
    <w:basedOn w:val="DefaultParagraphFont"/>
    <w:link w:val="BodyText2"/>
    <w:rsid w:val="004C3B44"/>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C3B44"/>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4C3B44"/>
    <w:pPr>
      <w:widowControl w:val="0"/>
      <w:tabs>
        <w:tab w:val="left" w:pos="720"/>
      </w:tabs>
      <w:spacing w:after="0" w:line="240" w:lineRule="auto"/>
      <w:ind w:left="3600" w:right="227" w:hanging="3600"/>
    </w:pPr>
    <w:rPr>
      <w:bCs/>
      <w:color w:val="1A1A1A"/>
      <w:w w:val="108"/>
      <w:position w:val="-1"/>
      <w:sz w:val="21"/>
      <w:szCs w:val="21"/>
    </w:rPr>
  </w:style>
  <w:style w:type="paragraph" w:styleId="BodyTextIndent3">
    <w:name w:val="Body Text Indent 3"/>
    <w:basedOn w:val="Normal"/>
    <w:link w:val="BodyTextIndent3Char"/>
    <w:unhideWhenUsed/>
    <w:rsid w:val="004C3B44"/>
    <w:pPr>
      <w:widowControl w:val="0"/>
      <w:tabs>
        <w:tab w:val="left" w:pos="720"/>
      </w:tabs>
      <w:spacing w:after="0" w:line="240" w:lineRule="auto"/>
      <w:ind w:left="3600" w:hanging="3600"/>
      <w:jc w:val="both"/>
    </w:pPr>
    <w:rPr>
      <w:bCs/>
      <w:color w:val="1A1A1A"/>
      <w:w w:val="108"/>
      <w:position w:val="-1"/>
      <w:sz w:val="21"/>
      <w:szCs w:val="21"/>
    </w:rPr>
  </w:style>
  <w:style w:type="character" w:customStyle="1" w:styleId="BodyTextIndent3Char">
    <w:name w:val="Body Text Indent 3 Char"/>
    <w:basedOn w:val="DefaultParagraphFont"/>
    <w:link w:val="BodyTextIndent3"/>
    <w:rsid w:val="004C3B44"/>
    <w:rPr>
      <w:rFonts w:ascii="Times New Roman" w:eastAsia="Times New Roman" w:hAnsi="Times New Roman" w:cs="Times New Roman"/>
      <w:bCs/>
      <w:color w:val="1A1A1A"/>
      <w:w w:val="108"/>
      <w:position w:val="-1"/>
      <w:sz w:val="21"/>
      <w:szCs w:val="21"/>
    </w:rPr>
  </w:style>
  <w:style w:type="table" w:styleId="TableGrid">
    <w:name w:val="Table Grid"/>
    <w:basedOn w:val="TableNormal"/>
    <w:uiPriority w:val="39"/>
    <w:rsid w:val="004C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stacey@pacifica.internal</dc:creator>
  <cp:keywords/>
  <dc:description/>
  <cp:lastModifiedBy>Masuo, Janet</cp:lastModifiedBy>
  <cp:revision>2</cp:revision>
  <dcterms:created xsi:type="dcterms:W3CDTF">2021-07-27T22:37:00Z</dcterms:created>
  <dcterms:modified xsi:type="dcterms:W3CDTF">2021-07-27T22:37:00Z</dcterms:modified>
</cp:coreProperties>
</file>