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895A" w14:textId="0A1D3F7B" w:rsidR="00EB5A13" w:rsidRDefault="00EB5A13" w:rsidP="00492BF9">
      <w:pPr>
        <w:pStyle w:val="Heading2"/>
        <w:rPr>
          <w:rFonts w:ascii="Arial" w:hAnsi="Arial" w:cs="Arial"/>
          <w:sz w:val="24"/>
        </w:rPr>
      </w:pPr>
      <w:r w:rsidRPr="00F71F8C">
        <w:rPr>
          <w:rFonts w:ascii="Arial" w:hAnsi="Arial" w:cs="Arial"/>
          <w:sz w:val="24"/>
        </w:rPr>
        <w:t>STAFF REPORT</w:t>
      </w:r>
    </w:p>
    <w:p w14:paraId="0CD58D37" w14:textId="77777777" w:rsidR="00A722C5" w:rsidRDefault="00A722C5" w:rsidP="00A722C5">
      <w:pPr>
        <w:jc w:val="center"/>
        <w:rPr>
          <w:b/>
          <w:bCs/>
          <w:color w:val="FF0000"/>
          <w:sz w:val="22"/>
          <w:szCs w:val="22"/>
        </w:rPr>
      </w:pPr>
    </w:p>
    <w:p w14:paraId="1F18F4DD" w14:textId="2278DC30" w:rsidR="00A722C5" w:rsidRPr="001D1A7E" w:rsidRDefault="00A722C5" w:rsidP="00A722C5">
      <w:pPr>
        <w:jc w:val="center"/>
        <w:rPr>
          <w:b/>
          <w:bCs/>
          <w:color w:val="C0504D" w:themeColor="accent2"/>
          <w:sz w:val="22"/>
          <w:szCs w:val="22"/>
        </w:rPr>
      </w:pPr>
      <w:r w:rsidRPr="001D1A7E">
        <w:rPr>
          <w:b/>
          <w:bCs/>
          <w:color w:val="C0504D" w:themeColor="accent2"/>
          <w:szCs w:val="24"/>
        </w:rPr>
        <w:t xml:space="preserve">NOTE: Updates </w:t>
      </w:r>
      <w:r w:rsidR="000D4CFA" w:rsidRPr="001D1A7E">
        <w:rPr>
          <w:b/>
          <w:bCs/>
          <w:color w:val="C0504D" w:themeColor="accent2"/>
          <w:szCs w:val="24"/>
        </w:rPr>
        <w:t>to</w:t>
      </w:r>
      <w:r w:rsidRPr="001D1A7E">
        <w:rPr>
          <w:b/>
          <w:bCs/>
          <w:color w:val="C0504D" w:themeColor="accent2"/>
          <w:szCs w:val="24"/>
        </w:rPr>
        <w:t xml:space="preserve"> the July 5, 2021 BFM meeting </w:t>
      </w:r>
      <w:r w:rsidR="000D4CFA" w:rsidRPr="001D1A7E">
        <w:rPr>
          <w:b/>
          <w:bCs/>
          <w:color w:val="C0504D" w:themeColor="accent2"/>
          <w:szCs w:val="24"/>
        </w:rPr>
        <w:t xml:space="preserve">staff report </w:t>
      </w:r>
      <w:r w:rsidRPr="001D1A7E">
        <w:rPr>
          <w:b/>
          <w:bCs/>
          <w:color w:val="C0504D" w:themeColor="accent2"/>
          <w:szCs w:val="24"/>
        </w:rPr>
        <w:t>has been marked in RED.</w:t>
      </w:r>
    </w:p>
    <w:p w14:paraId="07A833D1"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900FDD" w:rsidRPr="009349D6" w14:paraId="68421E87" w14:textId="77777777" w:rsidTr="005817C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774C6CE" w14:textId="77777777" w:rsidR="00900FDD" w:rsidRPr="009349D6" w:rsidRDefault="00900FDD" w:rsidP="005817C5">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5FB9871" w14:textId="6F85AFBB" w:rsidR="00900FDD" w:rsidRPr="009349D6" w:rsidRDefault="00985126" w:rsidP="005817C5">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7013E517" w14:textId="77777777" w:rsidR="00900FDD" w:rsidRPr="009349D6" w:rsidRDefault="00900FDD" w:rsidP="005817C5">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D5D57C3" w14:textId="77777777" w:rsidR="00900FDD" w:rsidRDefault="00D02D3C" w:rsidP="006206E6">
            <w:pPr>
              <w:spacing w:before="40" w:after="40"/>
              <w:rPr>
                <w:rFonts w:ascii="Arial" w:hAnsi="Arial" w:cs="Arial"/>
              </w:rPr>
            </w:pPr>
            <w:r>
              <w:rPr>
                <w:rFonts w:ascii="Arial" w:hAnsi="Arial" w:cs="Arial"/>
              </w:rPr>
              <w:t>Andrew Kim</w:t>
            </w:r>
          </w:p>
          <w:p w14:paraId="46488C7B" w14:textId="2D74CB1D" w:rsidR="00CE0D80" w:rsidRPr="009349D6" w:rsidRDefault="00CE0D80" w:rsidP="006206E6">
            <w:pPr>
              <w:spacing w:before="40" w:after="40"/>
              <w:rPr>
                <w:rFonts w:ascii="Arial" w:hAnsi="Arial" w:cs="Arial"/>
              </w:rPr>
            </w:pPr>
            <w:r>
              <w:rPr>
                <w:rFonts w:ascii="Arial" w:hAnsi="Arial" w:cs="Arial"/>
              </w:rPr>
              <w:t>Jenny Giambattista</w:t>
            </w:r>
          </w:p>
        </w:tc>
      </w:tr>
      <w:tr w:rsidR="00900FDD" w:rsidRPr="009349D6" w14:paraId="2E89448C" w14:textId="77777777" w:rsidTr="005817C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B9A04B2" w14:textId="77777777" w:rsidR="00900FDD" w:rsidRPr="009349D6" w:rsidRDefault="00900FDD" w:rsidP="005817C5">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EB310D4" w14:textId="4A62819E" w:rsidR="00900FDD" w:rsidRPr="009349D6" w:rsidRDefault="00EF562C" w:rsidP="00900FDD">
            <w:pPr>
              <w:spacing w:before="40" w:after="40"/>
              <w:rPr>
                <w:rFonts w:ascii="Arial" w:hAnsi="Arial" w:cs="Arial"/>
              </w:rPr>
            </w:pPr>
            <w:r>
              <w:rPr>
                <w:rFonts w:ascii="Arial" w:hAnsi="Arial" w:cs="Arial"/>
              </w:rPr>
              <w:t>202</w:t>
            </w:r>
            <w:r w:rsidR="00AF6DD6">
              <w:rPr>
                <w:rFonts w:ascii="Arial" w:hAnsi="Arial" w:cs="Arial"/>
              </w:rPr>
              <w:t>1-0</w:t>
            </w:r>
            <w:r w:rsidR="00CE0D80">
              <w:rPr>
                <w:rFonts w:ascii="Arial" w:hAnsi="Arial" w:cs="Arial"/>
              </w:rPr>
              <w:t>238</w:t>
            </w:r>
          </w:p>
        </w:tc>
        <w:tc>
          <w:tcPr>
            <w:tcW w:w="1170" w:type="dxa"/>
            <w:tcBorders>
              <w:top w:val="single" w:sz="4" w:space="0" w:color="auto"/>
              <w:left w:val="single" w:sz="4" w:space="0" w:color="auto"/>
              <w:bottom w:val="single" w:sz="4" w:space="0" w:color="auto"/>
              <w:right w:val="single" w:sz="4" w:space="0" w:color="auto"/>
            </w:tcBorders>
            <w:vAlign w:val="center"/>
          </w:tcPr>
          <w:p w14:paraId="669991FE" w14:textId="77777777" w:rsidR="00900FDD" w:rsidRPr="009349D6" w:rsidRDefault="00900FDD" w:rsidP="005817C5">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C82BC94" w14:textId="7A1D1D0D" w:rsidR="00900FDD" w:rsidRPr="009349D6" w:rsidRDefault="00CE0D80" w:rsidP="005817C5">
            <w:pPr>
              <w:spacing w:before="40" w:after="40"/>
              <w:rPr>
                <w:rFonts w:ascii="Arial" w:hAnsi="Arial" w:cs="Arial"/>
              </w:rPr>
            </w:pPr>
            <w:r>
              <w:rPr>
                <w:rFonts w:ascii="Arial" w:hAnsi="Arial" w:cs="Arial"/>
              </w:rPr>
              <w:t xml:space="preserve">July </w:t>
            </w:r>
            <w:r w:rsidR="00A47167">
              <w:rPr>
                <w:rFonts w:ascii="Arial" w:hAnsi="Arial" w:cs="Arial"/>
              </w:rPr>
              <w:t>20</w:t>
            </w:r>
            <w:r w:rsidR="00787119">
              <w:rPr>
                <w:rFonts w:ascii="Arial" w:hAnsi="Arial" w:cs="Arial"/>
              </w:rPr>
              <w:t>, 2021</w:t>
            </w:r>
          </w:p>
        </w:tc>
      </w:tr>
    </w:tbl>
    <w:p w14:paraId="73ABD412" w14:textId="77777777" w:rsidR="00900FDD" w:rsidRDefault="00900FDD" w:rsidP="00A53C80">
      <w:pPr>
        <w:spacing w:line="259" w:lineRule="auto"/>
        <w:jc w:val="both"/>
        <w:rPr>
          <w:rFonts w:ascii="Arial" w:hAnsi="Arial" w:cs="Arial"/>
          <w:b/>
          <w:u w:val="single"/>
        </w:rPr>
      </w:pPr>
    </w:p>
    <w:p w14:paraId="0BA831C2" w14:textId="034B4078" w:rsidR="00785660" w:rsidRPr="009349D6" w:rsidRDefault="00785660" w:rsidP="004C70EF">
      <w:pPr>
        <w:spacing w:line="264" w:lineRule="auto"/>
        <w:jc w:val="both"/>
        <w:rPr>
          <w:rFonts w:ascii="Arial" w:hAnsi="Arial" w:cs="Arial"/>
          <w:b/>
          <w:u w:val="single"/>
        </w:rPr>
      </w:pPr>
      <w:r w:rsidRPr="009349D6">
        <w:rPr>
          <w:rFonts w:ascii="Arial" w:hAnsi="Arial" w:cs="Arial"/>
          <w:b/>
          <w:u w:val="single"/>
        </w:rPr>
        <w:t>SUBJECT</w:t>
      </w:r>
    </w:p>
    <w:p w14:paraId="6DD2562C" w14:textId="77777777" w:rsidR="00D003FB" w:rsidRDefault="00D003FB" w:rsidP="004C70EF">
      <w:pPr>
        <w:spacing w:line="264" w:lineRule="auto"/>
        <w:jc w:val="both"/>
        <w:rPr>
          <w:rFonts w:ascii="Arial" w:hAnsi="Arial" w:cs="Arial"/>
        </w:rPr>
      </w:pPr>
    </w:p>
    <w:p w14:paraId="363A3412" w14:textId="5B8DBEC3" w:rsidR="00600C71" w:rsidRDefault="001325F3" w:rsidP="004C70EF">
      <w:pPr>
        <w:spacing w:line="264" w:lineRule="auto"/>
        <w:jc w:val="both"/>
        <w:rPr>
          <w:rFonts w:ascii="Arial" w:hAnsi="Arial" w:cs="Arial"/>
        </w:rPr>
      </w:pPr>
      <w:r>
        <w:rPr>
          <w:rFonts w:ascii="Arial" w:hAnsi="Arial" w:cs="Arial"/>
        </w:rPr>
        <w:t xml:space="preserve">The </w:t>
      </w:r>
      <w:r w:rsidR="00CE0D80">
        <w:rPr>
          <w:rFonts w:ascii="Arial" w:hAnsi="Arial" w:cs="Arial"/>
        </w:rPr>
        <w:t>eighth</w:t>
      </w:r>
      <w:r w:rsidR="00C369AB">
        <w:rPr>
          <w:rFonts w:ascii="Arial" w:hAnsi="Arial" w:cs="Arial"/>
        </w:rPr>
        <w:t xml:space="preserve"> </w:t>
      </w:r>
      <w:r w:rsidR="00600C71" w:rsidRPr="00600C71">
        <w:rPr>
          <w:rFonts w:ascii="Arial" w:hAnsi="Arial" w:cs="Arial"/>
        </w:rPr>
        <w:t xml:space="preserve">emergency supplemental appropriation </w:t>
      </w:r>
      <w:r w:rsidR="00C369AB">
        <w:rPr>
          <w:rFonts w:ascii="Arial" w:hAnsi="Arial" w:cs="Arial"/>
        </w:rPr>
        <w:t xml:space="preserve">ordinance </w:t>
      </w:r>
      <w:r w:rsidR="00600C71" w:rsidRPr="00600C71">
        <w:rPr>
          <w:rFonts w:ascii="Arial" w:hAnsi="Arial" w:cs="Arial"/>
        </w:rPr>
        <w:t>to support activities</w:t>
      </w:r>
      <w:r w:rsidR="00477C97">
        <w:rPr>
          <w:rFonts w:ascii="Arial" w:hAnsi="Arial" w:cs="Arial"/>
        </w:rPr>
        <w:t xml:space="preserve"> and necessary expenditures</w:t>
      </w:r>
      <w:r w:rsidR="00600C71" w:rsidRPr="00600C71">
        <w:rPr>
          <w:rFonts w:ascii="Arial" w:hAnsi="Arial" w:cs="Arial"/>
        </w:rPr>
        <w:t xml:space="preserve"> </w:t>
      </w:r>
      <w:r w:rsidR="006E1906">
        <w:rPr>
          <w:rFonts w:ascii="Arial" w:hAnsi="Arial" w:cs="Arial"/>
        </w:rPr>
        <w:t>in</w:t>
      </w:r>
      <w:r w:rsidR="00477C97">
        <w:rPr>
          <w:rFonts w:ascii="Arial" w:hAnsi="Arial" w:cs="Arial"/>
        </w:rPr>
        <w:t xml:space="preserve"> respo</w:t>
      </w:r>
      <w:r w:rsidR="00EF562C">
        <w:rPr>
          <w:rFonts w:ascii="Arial" w:hAnsi="Arial" w:cs="Arial"/>
        </w:rPr>
        <w:t>n</w:t>
      </w:r>
      <w:r w:rsidR="006E1906">
        <w:rPr>
          <w:rFonts w:ascii="Arial" w:hAnsi="Arial" w:cs="Arial"/>
        </w:rPr>
        <w:t>se</w:t>
      </w:r>
      <w:r w:rsidR="006D2E8A">
        <w:rPr>
          <w:rFonts w:ascii="Arial" w:hAnsi="Arial" w:cs="Arial"/>
        </w:rPr>
        <w:t xml:space="preserve"> to</w:t>
      </w:r>
      <w:r w:rsidR="00600C71" w:rsidRPr="00600C71">
        <w:rPr>
          <w:rFonts w:ascii="Arial" w:hAnsi="Arial" w:cs="Arial"/>
        </w:rPr>
        <w:t xml:space="preserve"> the COVID-19 public health emergency</w:t>
      </w:r>
      <w:r w:rsidR="00600C71">
        <w:rPr>
          <w:rFonts w:ascii="Arial" w:hAnsi="Arial" w:cs="Arial"/>
        </w:rPr>
        <w:t xml:space="preserve">. </w:t>
      </w:r>
    </w:p>
    <w:p w14:paraId="4C7E9E1C" w14:textId="77777777" w:rsidR="00600C71" w:rsidRDefault="00600C71" w:rsidP="004C70EF">
      <w:pPr>
        <w:spacing w:line="264" w:lineRule="auto"/>
        <w:jc w:val="both"/>
        <w:rPr>
          <w:rFonts w:ascii="Arial" w:hAnsi="Arial" w:cs="Arial"/>
        </w:rPr>
      </w:pPr>
    </w:p>
    <w:p w14:paraId="4660EFDC" w14:textId="516A3E57" w:rsidR="00785660" w:rsidRPr="00600C71" w:rsidRDefault="00600C71" w:rsidP="004C70EF">
      <w:pPr>
        <w:spacing w:line="264" w:lineRule="auto"/>
        <w:jc w:val="both"/>
        <w:rPr>
          <w:rFonts w:ascii="Arial" w:hAnsi="Arial" w:cs="Arial"/>
          <w:b/>
          <w:u w:val="single"/>
        </w:rPr>
      </w:pPr>
      <w:r w:rsidRPr="00600C71">
        <w:rPr>
          <w:rFonts w:ascii="Arial" w:hAnsi="Arial" w:cs="Arial"/>
          <w:b/>
          <w:u w:val="single"/>
        </w:rPr>
        <w:t>SUMMARY</w:t>
      </w:r>
    </w:p>
    <w:p w14:paraId="0FDEA105" w14:textId="77777777" w:rsidR="00785660" w:rsidRDefault="00785660" w:rsidP="004C70EF">
      <w:pPr>
        <w:spacing w:line="264" w:lineRule="auto"/>
        <w:rPr>
          <w:rFonts w:ascii="Arial" w:hAnsi="Arial" w:cs="Arial"/>
        </w:rPr>
      </w:pPr>
    </w:p>
    <w:p w14:paraId="1B1BE765" w14:textId="4FBEA56A" w:rsidR="008C539D" w:rsidRDefault="00B00E83" w:rsidP="004C70EF">
      <w:pPr>
        <w:spacing w:line="264" w:lineRule="auto"/>
        <w:jc w:val="both"/>
        <w:rPr>
          <w:rFonts w:ascii="Arial" w:hAnsi="Arial" w:cs="Arial"/>
        </w:rPr>
      </w:pPr>
      <w:r>
        <w:rPr>
          <w:rFonts w:ascii="Arial" w:hAnsi="Arial" w:cs="Arial"/>
        </w:rPr>
        <w:t xml:space="preserve">On </w:t>
      </w:r>
      <w:r w:rsidR="00F47492">
        <w:rPr>
          <w:rFonts w:ascii="Arial" w:hAnsi="Arial" w:cs="Arial"/>
        </w:rPr>
        <w:t>May 25, 2021, the council ad</w:t>
      </w:r>
      <w:r w:rsidR="003F6433">
        <w:rPr>
          <w:rFonts w:ascii="Arial" w:hAnsi="Arial" w:cs="Arial"/>
        </w:rPr>
        <w:t>opted t</w:t>
      </w:r>
      <w:r>
        <w:rPr>
          <w:rFonts w:ascii="Arial" w:hAnsi="Arial" w:cs="Arial"/>
        </w:rPr>
        <w:t>he COVID 7 emergency supplemental appropriations ordinance</w:t>
      </w:r>
      <w:r w:rsidR="003F6433">
        <w:rPr>
          <w:rStyle w:val="FootnoteReference"/>
          <w:rFonts w:ascii="Arial" w:hAnsi="Arial" w:cs="Arial"/>
        </w:rPr>
        <w:footnoteReference w:id="1"/>
      </w:r>
      <w:r w:rsidR="00C31DCF">
        <w:rPr>
          <w:rFonts w:ascii="Arial" w:hAnsi="Arial" w:cs="Arial"/>
        </w:rPr>
        <w:t>,</w:t>
      </w:r>
      <w:r>
        <w:rPr>
          <w:rFonts w:ascii="Arial" w:hAnsi="Arial" w:cs="Arial"/>
        </w:rPr>
        <w:t xml:space="preserve"> </w:t>
      </w:r>
      <w:r w:rsidR="00985E2D">
        <w:rPr>
          <w:rFonts w:ascii="Arial" w:hAnsi="Arial" w:cs="Arial"/>
        </w:rPr>
        <w:t xml:space="preserve">which appropriated $367 million of the </w:t>
      </w:r>
      <w:r w:rsidR="00C31DCF">
        <w:rPr>
          <w:rFonts w:ascii="Arial" w:hAnsi="Arial" w:cs="Arial"/>
        </w:rPr>
        <w:t xml:space="preserve">county’s allocation of the </w:t>
      </w:r>
      <w:r w:rsidR="00985E2D">
        <w:rPr>
          <w:rFonts w:ascii="Arial" w:hAnsi="Arial" w:cs="Arial"/>
        </w:rPr>
        <w:t>$437 million of</w:t>
      </w:r>
      <w:r w:rsidR="004B36AE">
        <w:rPr>
          <w:rFonts w:ascii="Arial" w:hAnsi="Arial" w:cs="Arial"/>
        </w:rPr>
        <w:t xml:space="preserve"> the </w:t>
      </w:r>
      <w:r w:rsidR="00C2556A">
        <w:rPr>
          <w:rFonts w:ascii="Arial" w:hAnsi="Arial" w:cs="Arial"/>
        </w:rPr>
        <w:t>American Rescue Plan Act (ARPA)</w:t>
      </w:r>
      <w:r w:rsidR="00DF6746">
        <w:rPr>
          <w:rFonts w:ascii="Arial" w:hAnsi="Arial" w:cs="Arial"/>
        </w:rPr>
        <w:t xml:space="preserve"> </w:t>
      </w:r>
      <w:r w:rsidR="008A6B00" w:rsidRPr="00D9136A">
        <w:rPr>
          <w:rFonts w:ascii="Arial" w:hAnsi="Arial" w:cs="Arial"/>
        </w:rPr>
        <w:t>Coronavirus Local Fiscal Recovery</w:t>
      </w:r>
      <w:r w:rsidR="008A6B00">
        <w:rPr>
          <w:rFonts w:ascii="Arial" w:hAnsi="Arial" w:cs="Arial"/>
        </w:rPr>
        <w:t xml:space="preserve"> </w:t>
      </w:r>
      <w:r w:rsidR="008A6B00" w:rsidRPr="00D9136A">
        <w:rPr>
          <w:rFonts w:ascii="Arial" w:hAnsi="Arial" w:cs="Arial"/>
        </w:rPr>
        <w:t>Fund</w:t>
      </w:r>
      <w:r w:rsidR="00DF6746">
        <w:rPr>
          <w:rFonts w:ascii="Arial" w:hAnsi="Arial" w:cs="Arial"/>
        </w:rPr>
        <w:t xml:space="preserve"> </w:t>
      </w:r>
      <w:r w:rsidR="00B53E90">
        <w:rPr>
          <w:rFonts w:ascii="Arial" w:hAnsi="Arial" w:cs="Arial"/>
        </w:rPr>
        <w:t>(CLFR</w:t>
      </w:r>
      <w:r w:rsidR="00DA1861">
        <w:rPr>
          <w:rFonts w:ascii="Arial" w:hAnsi="Arial" w:cs="Arial"/>
        </w:rPr>
        <w:t>F</w:t>
      </w:r>
      <w:r w:rsidR="00CC6C8A">
        <w:rPr>
          <w:rFonts w:ascii="Arial" w:hAnsi="Arial" w:cs="Arial"/>
        </w:rPr>
        <w:t>)</w:t>
      </w:r>
      <w:r w:rsidR="00C2556A">
        <w:rPr>
          <w:rFonts w:ascii="Arial" w:hAnsi="Arial" w:cs="Arial"/>
        </w:rPr>
        <w:t xml:space="preserve"> moneys</w:t>
      </w:r>
      <w:r w:rsidR="003973A2">
        <w:rPr>
          <w:rFonts w:ascii="Arial" w:hAnsi="Arial" w:cs="Arial"/>
        </w:rPr>
        <w:t xml:space="preserve"> </w:t>
      </w:r>
      <w:r w:rsidR="00C279FC">
        <w:rPr>
          <w:rFonts w:ascii="Arial" w:hAnsi="Arial" w:cs="Arial"/>
        </w:rPr>
        <w:t>for response and recovery efforts due to the</w:t>
      </w:r>
      <w:r w:rsidR="003973A2">
        <w:rPr>
          <w:rFonts w:ascii="Arial" w:hAnsi="Arial" w:cs="Arial"/>
        </w:rPr>
        <w:t xml:space="preserve"> COVID-19 pandemic.</w:t>
      </w:r>
      <w:r w:rsidR="00DA1861">
        <w:rPr>
          <w:rFonts w:ascii="Arial" w:hAnsi="Arial" w:cs="Arial"/>
        </w:rPr>
        <w:t xml:space="preserve"> The county </w:t>
      </w:r>
      <w:r w:rsidR="00B32B8C">
        <w:rPr>
          <w:rFonts w:ascii="Arial" w:hAnsi="Arial" w:cs="Arial"/>
        </w:rPr>
        <w:t>has</w:t>
      </w:r>
      <w:r w:rsidR="00DA1861">
        <w:rPr>
          <w:rFonts w:ascii="Arial" w:hAnsi="Arial" w:cs="Arial"/>
        </w:rPr>
        <w:t xml:space="preserve"> already received half of the county’s allocation of CLFRF from the U.S. Department of Treasury and is expected to receive the remaining half ne</w:t>
      </w:r>
      <w:r w:rsidR="00016EC7">
        <w:rPr>
          <w:rFonts w:ascii="Arial" w:hAnsi="Arial" w:cs="Arial"/>
        </w:rPr>
        <w:t>xt year.</w:t>
      </w:r>
    </w:p>
    <w:p w14:paraId="27FF36ED" w14:textId="04EAF054" w:rsidR="00016EC7" w:rsidRDefault="00016EC7" w:rsidP="004C70EF">
      <w:pPr>
        <w:spacing w:line="264" w:lineRule="auto"/>
        <w:jc w:val="both"/>
        <w:rPr>
          <w:rFonts w:ascii="Arial" w:hAnsi="Arial" w:cs="Arial"/>
        </w:rPr>
      </w:pPr>
    </w:p>
    <w:p w14:paraId="522237E3" w14:textId="02086B68" w:rsidR="008C539D" w:rsidRDefault="00016EC7" w:rsidP="004C70EF">
      <w:pPr>
        <w:spacing w:line="264" w:lineRule="auto"/>
        <w:jc w:val="both"/>
        <w:rPr>
          <w:rFonts w:ascii="Arial" w:hAnsi="Arial" w:cs="Arial"/>
        </w:rPr>
      </w:pPr>
      <w:r>
        <w:rPr>
          <w:rFonts w:ascii="Arial" w:hAnsi="Arial" w:cs="Arial"/>
        </w:rPr>
        <w:t xml:space="preserve">The proposed appropriation (COVID 8) would appropriate </w:t>
      </w:r>
      <w:r w:rsidR="00B32B8C" w:rsidRPr="001D1A7E">
        <w:rPr>
          <w:rFonts w:ascii="Arial" w:hAnsi="Arial" w:cs="Arial"/>
          <w:strike/>
          <w:color w:val="C0504D" w:themeColor="accent2"/>
        </w:rPr>
        <w:t>$68.2 million</w:t>
      </w:r>
      <w:r w:rsidR="00D232F9" w:rsidRPr="001D1A7E">
        <w:rPr>
          <w:rFonts w:ascii="Arial" w:hAnsi="Arial" w:cs="Arial"/>
          <w:strike/>
          <w:color w:val="C0504D" w:themeColor="accent2"/>
        </w:rPr>
        <w:t xml:space="preserve"> </w:t>
      </w:r>
      <w:r w:rsidR="00B32B8C" w:rsidRPr="001D1A7E">
        <w:rPr>
          <w:rFonts w:ascii="Arial" w:hAnsi="Arial" w:cs="Arial"/>
          <w:strike/>
          <w:color w:val="C0504D" w:themeColor="accent2"/>
        </w:rPr>
        <w:t>of</w:t>
      </w:r>
      <w:r w:rsidR="00B32B8C" w:rsidRPr="001D1A7E">
        <w:rPr>
          <w:rFonts w:ascii="Arial" w:hAnsi="Arial" w:cs="Arial"/>
          <w:color w:val="C0504D" w:themeColor="accent2"/>
        </w:rPr>
        <w:t xml:space="preserve"> </w:t>
      </w:r>
      <w:r w:rsidR="00B32B8C">
        <w:rPr>
          <w:rFonts w:ascii="Arial" w:hAnsi="Arial" w:cs="Arial"/>
        </w:rPr>
        <w:t xml:space="preserve">the remaining $70 million of </w:t>
      </w:r>
      <w:r w:rsidR="006A1206">
        <w:rPr>
          <w:rFonts w:ascii="Arial" w:hAnsi="Arial" w:cs="Arial"/>
        </w:rPr>
        <w:t xml:space="preserve">the county’s </w:t>
      </w:r>
      <w:r w:rsidR="00B32B8C">
        <w:rPr>
          <w:rFonts w:ascii="Arial" w:hAnsi="Arial" w:cs="Arial"/>
        </w:rPr>
        <w:t xml:space="preserve">CLFRF </w:t>
      </w:r>
      <w:r w:rsidR="006A1206">
        <w:rPr>
          <w:rFonts w:ascii="Arial" w:hAnsi="Arial" w:cs="Arial"/>
        </w:rPr>
        <w:t xml:space="preserve">allocation </w:t>
      </w:r>
      <w:r w:rsidR="00B32B8C">
        <w:rPr>
          <w:rFonts w:ascii="Arial" w:hAnsi="Arial" w:cs="Arial"/>
        </w:rPr>
        <w:t>for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1790"/>
      </w:tblGrid>
      <w:tr w:rsidR="00B32B8C" w14:paraId="2C261058" w14:textId="77777777" w:rsidTr="00D40172">
        <w:tc>
          <w:tcPr>
            <w:tcW w:w="7560" w:type="dxa"/>
          </w:tcPr>
          <w:p w14:paraId="4A9480A2" w14:textId="77777777" w:rsidR="00B32B8C" w:rsidRDefault="00B32B8C" w:rsidP="00A329A2">
            <w:pPr>
              <w:pStyle w:val="ListParagraph0"/>
              <w:numPr>
                <w:ilvl w:val="0"/>
                <w:numId w:val="28"/>
              </w:numPr>
              <w:tabs>
                <w:tab w:val="left" w:pos="8010"/>
              </w:tabs>
              <w:spacing w:line="264" w:lineRule="auto"/>
              <w:jc w:val="both"/>
              <w:rPr>
                <w:rFonts w:ascii="Arial" w:hAnsi="Arial" w:cs="Arial"/>
              </w:rPr>
            </w:pPr>
            <w:r>
              <w:rPr>
                <w:rFonts w:ascii="Arial" w:hAnsi="Arial" w:cs="Arial"/>
              </w:rPr>
              <w:t>Legal System Backlog</w:t>
            </w:r>
          </w:p>
        </w:tc>
        <w:tc>
          <w:tcPr>
            <w:tcW w:w="1790" w:type="dxa"/>
          </w:tcPr>
          <w:p w14:paraId="3E17A51D" w14:textId="6F3EA2BE" w:rsidR="00B32B8C" w:rsidRDefault="00B32B8C" w:rsidP="00A329A2">
            <w:pPr>
              <w:tabs>
                <w:tab w:val="left" w:pos="8010"/>
              </w:tabs>
              <w:spacing w:line="264" w:lineRule="auto"/>
              <w:jc w:val="right"/>
              <w:rPr>
                <w:rFonts w:ascii="Arial" w:hAnsi="Arial" w:cs="Arial"/>
              </w:rPr>
            </w:pPr>
            <w:r>
              <w:rPr>
                <w:rFonts w:ascii="Arial" w:hAnsi="Arial" w:cs="Arial"/>
              </w:rPr>
              <w:t>$</w:t>
            </w:r>
            <w:r w:rsidR="00D40172">
              <w:rPr>
                <w:rFonts w:ascii="Arial" w:hAnsi="Arial" w:cs="Arial"/>
              </w:rPr>
              <w:t>30.8</w:t>
            </w:r>
            <w:r>
              <w:rPr>
                <w:rFonts w:ascii="Arial" w:hAnsi="Arial" w:cs="Arial"/>
              </w:rPr>
              <w:t xml:space="preserve"> million</w:t>
            </w:r>
          </w:p>
        </w:tc>
      </w:tr>
      <w:tr w:rsidR="008110CE" w14:paraId="16AB8258" w14:textId="77777777" w:rsidTr="00D40172">
        <w:tc>
          <w:tcPr>
            <w:tcW w:w="7560" w:type="dxa"/>
          </w:tcPr>
          <w:p w14:paraId="58B21C4C" w14:textId="03E00A4B" w:rsidR="008110CE" w:rsidRDefault="008110CE" w:rsidP="008110CE">
            <w:pPr>
              <w:pStyle w:val="ListParagraph0"/>
              <w:numPr>
                <w:ilvl w:val="0"/>
                <w:numId w:val="28"/>
              </w:numPr>
              <w:tabs>
                <w:tab w:val="left" w:pos="8010"/>
              </w:tabs>
              <w:spacing w:line="264" w:lineRule="auto"/>
              <w:jc w:val="both"/>
              <w:rPr>
                <w:rFonts w:ascii="Arial" w:hAnsi="Arial" w:cs="Arial"/>
              </w:rPr>
            </w:pPr>
            <w:r w:rsidRPr="005F41CF">
              <w:rPr>
                <w:rFonts w:ascii="Arial" w:hAnsi="Arial" w:cs="Arial"/>
              </w:rPr>
              <w:t>Public Health Response to the pandemic</w:t>
            </w:r>
          </w:p>
        </w:tc>
        <w:tc>
          <w:tcPr>
            <w:tcW w:w="1790" w:type="dxa"/>
          </w:tcPr>
          <w:p w14:paraId="43F48552" w14:textId="3058C59A" w:rsidR="008110CE" w:rsidRDefault="008110CE" w:rsidP="008110CE">
            <w:pPr>
              <w:tabs>
                <w:tab w:val="left" w:pos="8010"/>
              </w:tabs>
              <w:spacing w:line="264" w:lineRule="auto"/>
              <w:jc w:val="right"/>
              <w:rPr>
                <w:rFonts w:ascii="Arial" w:hAnsi="Arial" w:cs="Arial"/>
              </w:rPr>
            </w:pPr>
            <w:r w:rsidRPr="001D1A7E">
              <w:rPr>
                <w:rFonts w:ascii="Arial" w:hAnsi="Arial" w:cs="Arial"/>
                <w:color w:val="C0504D" w:themeColor="accent2"/>
              </w:rPr>
              <w:t>$</w:t>
            </w:r>
            <w:r w:rsidR="004D0061" w:rsidRPr="001D1A7E">
              <w:rPr>
                <w:rFonts w:ascii="Arial" w:hAnsi="Arial" w:cs="Arial"/>
                <w:color w:val="C0504D" w:themeColor="accent2"/>
              </w:rPr>
              <w:t>19.5</w:t>
            </w:r>
            <w:r w:rsidRPr="001D1A7E">
              <w:rPr>
                <w:rFonts w:ascii="Arial" w:hAnsi="Arial" w:cs="Arial"/>
                <w:color w:val="C0504D" w:themeColor="accent2"/>
              </w:rPr>
              <w:t xml:space="preserve"> </w:t>
            </w:r>
            <w:r>
              <w:rPr>
                <w:rFonts w:ascii="Arial" w:hAnsi="Arial" w:cs="Arial"/>
              </w:rPr>
              <w:t>million</w:t>
            </w:r>
          </w:p>
        </w:tc>
      </w:tr>
      <w:tr w:rsidR="008110CE" w14:paraId="60F758F9" w14:textId="77777777" w:rsidTr="00D40172">
        <w:tc>
          <w:tcPr>
            <w:tcW w:w="7560" w:type="dxa"/>
          </w:tcPr>
          <w:p w14:paraId="4B4DCC65" w14:textId="03EF5938" w:rsidR="008110CE" w:rsidRPr="005F41CF" w:rsidRDefault="008110CE" w:rsidP="008110CE">
            <w:pPr>
              <w:pStyle w:val="ListParagraph0"/>
              <w:numPr>
                <w:ilvl w:val="0"/>
                <w:numId w:val="28"/>
              </w:numPr>
              <w:tabs>
                <w:tab w:val="left" w:pos="8010"/>
              </w:tabs>
              <w:spacing w:line="264" w:lineRule="auto"/>
              <w:jc w:val="both"/>
              <w:rPr>
                <w:rFonts w:ascii="Arial" w:hAnsi="Arial" w:cs="Arial"/>
              </w:rPr>
            </w:pPr>
            <w:r>
              <w:rPr>
                <w:rFonts w:ascii="Arial" w:hAnsi="Arial" w:cs="Arial"/>
              </w:rPr>
              <w:t>Civil Legal Aid and Immigrant Community Supports</w:t>
            </w:r>
          </w:p>
        </w:tc>
        <w:tc>
          <w:tcPr>
            <w:tcW w:w="1790" w:type="dxa"/>
          </w:tcPr>
          <w:p w14:paraId="02A72306" w14:textId="44BD0FD1" w:rsidR="008110CE" w:rsidRDefault="008110CE" w:rsidP="008110CE">
            <w:pPr>
              <w:tabs>
                <w:tab w:val="left" w:pos="8010"/>
              </w:tabs>
              <w:spacing w:line="264" w:lineRule="auto"/>
              <w:jc w:val="right"/>
              <w:rPr>
                <w:rFonts w:ascii="Arial" w:hAnsi="Arial" w:cs="Arial"/>
              </w:rPr>
            </w:pPr>
            <w:r>
              <w:rPr>
                <w:rFonts w:ascii="Arial" w:hAnsi="Arial" w:cs="Arial"/>
              </w:rPr>
              <w:t>$13.2 million</w:t>
            </w:r>
          </w:p>
        </w:tc>
      </w:tr>
      <w:tr w:rsidR="008110CE" w14:paraId="4C167EDF" w14:textId="77777777" w:rsidTr="00D40172">
        <w:tc>
          <w:tcPr>
            <w:tcW w:w="7560" w:type="dxa"/>
          </w:tcPr>
          <w:p w14:paraId="3A8BD9EE" w14:textId="409C04E8" w:rsidR="008110CE" w:rsidRPr="000657A4" w:rsidRDefault="008110CE" w:rsidP="008110CE">
            <w:pPr>
              <w:pStyle w:val="ListParagraph0"/>
              <w:numPr>
                <w:ilvl w:val="0"/>
                <w:numId w:val="28"/>
              </w:numPr>
              <w:tabs>
                <w:tab w:val="left" w:pos="8010"/>
              </w:tabs>
              <w:spacing w:line="264" w:lineRule="auto"/>
              <w:jc w:val="both"/>
              <w:rPr>
                <w:rFonts w:ascii="Arial" w:hAnsi="Arial" w:cs="Arial"/>
              </w:rPr>
            </w:pPr>
            <w:r>
              <w:rPr>
                <w:rFonts w:ascii="Arial" w:hAnsi="Arial" w:cs="Arial"/>
              </w:rPr>
              <w:t>Economic Recovery / Workforce Development</w:t>
            </w:r>
          </w:p>
        </w:tc>
        <w:tc>
          <w:tcPr>
            <w:tcW w:w="1790" w:type="dxa"/>
          </w:tcPr>
          <w:p w14:paraId="2234510F" w14:textId="6DC3FA37" w:rsidR="008110CE" w:rsidRDefault="008110CE" w:rsidP="008110CE">
            <w:pPr>
              <w:tabs>
                <w:tab w:val="left" w:pos="8010"/>
              </w:tabs>
              <w:spacing w:line="264" w:lineRule="auto"/>
              <w:jc w:val="right"/>
              <w:rPr>
                <w:rFonts w:ascii="Arial" w:hAnsi="Arial" w:cs="Arial"/>
              </w:rPr>
            </w:pPr>
            <w:r>
              <w:rPr>
                <w:rFonts w:ascii="Arial" w:hAnsi="Arial" w:cs="Arial"/>
              </w:rPr>
              <w:t>$5.6 million</w:t>
            </w:r>
          </w:p>
        </w:tc>
      </w:tr>
      <w:tr w:rsidR="008110CE" w14:paraId="4C02A6F9" w14:textId="77777777" w:rsidTr="00D40172">
        <w:tc>
          <w:tcPr>
            <w:tcW w:w="7560" w:type="dxa"/>
          </w:tcPr>
          <w:p w14:paraId="160E035C" w14:textId="77777777" w:rsidR="008110CE" w:rsidRPr="000657A4" w:rsidRDefault="008110CE" w:rsidP="008110CE">
            <w:pPr>
              <w:pStyle w:val="ListParagraph0"/>
              <w:numPr>
                <w:ilvl w:val="0"/>
                <w:numId w:val="28"/>
              </w:numPr>
              <w:tabs>
                <w:tab w:val="left" w:pos="8010"/>
              </w:tabs>
              <w:spacing w:line="264" w:lineRule="auto"/>
              <w:jc w:val="both"/>
              <w:rPr>
                <w:rFonts w:ascii="Arial" w:hAnsi="Arial" w:cs="Arial"/>
              </w:rPr>
            </w:pPr>
            <w:r>
              <w:rPr>
                <w:rFonts w:ascii="Arial" w:hAnsi="Arial" w:cs="Arial"/>
              </w:rPr>
              <w:t>County Operations in response to the pandemic</w:t>
            </w:r>
          </w:p>
        </w:tc>
        <w:tc>
          <w:tcPr>
            <w:tcW w:w="1790" w:type="dxa"/>
          </w:tcPr>
          <w:p w14:paraId="32A3ABCD" w14:textId="41A15105" w:rsidR="008110CE" w:rsidRDefault="008110CE" w:rsidP="008110CE">
            <w:pPr>
              <w:tabs>
                <w:tab w:val="left" w:pos="8010"/>
              </w:tabs>
              <w:spacing w:line="264" w:lineRule="auto"/>
              <w:jc w:val="right"/>
              <w:rPr>
                <w:rFonts w:ascii="Arial" w:hAnsi="Arial" w:cs="Arial"/>
              </w:rPr>
            </w:pPr>
            <w:r>
              <w:rPr>
                <w:rFonts w:ascii="Arial" w:hAnsi="Arial" w:cs="Arial"/>
              </w:rPr>
              <w:t>$0.9 million</w:t>
            </w:r>
          </w:p>
        </w:tc>
      </w:tr>
    </w:tbl>
    <w:p w14:paraId="1C2232DB" w14:textId="77777777" w:rsidR="00B32B8C" w:rsidRDefault="00B32B8C" w:rsidP="004C70EF">
      <w:pPr>
        <w:spacing w:line="264" w:lineRule="auto"/>
        <w:jc w:val="both"/>
        <w:rPr>
          <w:rFonts w:ascii="Arial" w:hAnsi="Arial" w:cs="Arial"/>
        </w:rPr>
      </w:pPr>
    </w:p>
    <w:p w14:paraId="61047F88" w14:textId="179009E3" w:rsidR="005476DC" w:rsidRDefault="008110CE" w:rsidP="004C70EF">
      <w:pPr>
        <w:spacing w:line="264" w:lineRule="auto"/>
        <w:jc w:val="both"/>
        <w:rPr>
          <w:rFonts w:ascii="Arial" w:hAnsi="Arial" w:cs="Arial"/>
        </w:rPr>
      </w:pPr>
      <w:r>
        <w:rPr>
          <w:rFonts w:ascii="Arial" w:hAnsi="Arial" w:cs="Arial"/>
        </w:rPr>
        <w:t xml:space="preserve">The proposed COVID 8 would also </w:t>
      </w:r>
      <w:r w:rsidR="003F20E0">
        <w:rPr>
          <w:rFonts w:ascii="Arial" w:hAnsi="Arial" w:cs="Arial"/>
        </w:rPr>
        <w:t>app</w:t>
      </w:r>
      <w:r w:rsidR="006A225D">
        <w:rPr>
          <w:rFonts w:ascii="Arial" w:hAnsi="Arial" w:cs="Arial"/>
        </w:rPr>
        <w:t xml:space="preserve">ropriate </w:t>
      </w:r>
      <w:r w:rsidR="00CD32D9">
        <w:rPr>
          <w:rFonts w:ascii="Arial" w:hAnsi="Arial" w:cs="Arial"/>
        </w:rPr>
        <w:t xml:space="preserve">an additional </w:t>
      </w:r>
      <w:r w:rsidR="00AE47B2">
        <w:rPr>
          <w:rFonts w:ascii="Arial" w:hAnsi="Arial" w:cs="Arial"/>
        </w:rPr>
        <w:t>$</w:t>
      </w:r>
      <w:r w:rsidR="00B943A6">
        <w:rPr>
          <w:rFonts w:ascii="Arial" w:hAnsi="Arial" w:cs="Arial"/>
        </w:rPr>
        <w:t>134.4</w:t>
      </w:r>
      <w:r w:rsidR="00AE47B2">
        <w:rPr>
          <w:rFonts w:ascii="Arial" w:hAnsi="Arial" w:cs="Arial"/>
        </w:rPr>
        <w:t xml:space="preserve"> million</w:t>
      </w:r>
      <w:r w:rsidR="003E49A9">
        <w:rPr>
          <w:rFonts w:ascii="Arial" w:hAnsi="Arial" w:cs="Arial"/>
        </w:rPr>
        <w:t>,</w:t>
      </w:r>
      <w:r w:rsidR="00AE47B2">
        <w:rPr>
          <w:rFonts w:ascii="Arial" w:hAnsi="Arial" w:cs="Arial"/>
        </w:rPr>
        <w:t xml:space="preserve"> </w:t>
      </w:r>
      <w:r w:rsidR="007F2625">
        <w:rPr>
          <w:rFonts w:ascii="Arial" w:hAnsi="Arial" w:cs="Arial"/>
        </w:rPr>
        <w:t xml:space="preserve">which would </w:t>
      </w:r>
      <w:r w:rsidR="00B943A6">
        <w:rPr>
          <w:rFonts w:ascii="Arial" w:hAnsi="Arial" w:cs="Arial"/>
        </w:rPr>
        <w:t xml:space="preserve">be funded by </w:t>
      </w:r>
      <w:r w:rsidR="00873AA0">
        <w:rPr>
          <w:rFonts w:ascii="Arial" w:hAnsi="Arial" w:cs="Arial"/>
        </w:rPr>
        <w:t xml:space="preserve">various </w:t>
      </w:r>
      <w:r w:rsidR="005E1E7F">
        <w:rPr>
          <w:rFonts w:ascii="Arial" w:hAnsi="Arial" w:cs="Arial"/>
        </w:rPr>
        <w:t>federal and state grants (</w:t>
      </w:r>
      <w:r w:rsidR="00E30CBC">
        <w:rPr>
          <w:rFonts w:ascii="Arial" w:hAnsi="Arial" w:cs="Arial"/>
        </w:rPr>
        <w:t>most of which are also</w:t>
      </w:r>
      <w:r w:rsidR="005E1E7F">
        <w:rPr>
          <w:rFonts w:ascii="Arial" w:hAnsi="Arial" w:cs="Arial"/>
        </w:rPr>
        <w:t xml:space="preserve"> supported by ARPA)</w:t>
      </w:r>
      <w:r w:rsidR="003B7A1E">
        <w:rPr>
          <w:rFonts w:ascii="Arial" w:hAnsi="Arial" w:cs="Arial"/>
        </w:rPr>
        <w:t xml:space="preserve"> for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1790"/>
      </w:tblGrid>
      <w:tr w:rsidR="003B7A1E" w14:paraId="6C8D856C" w14:textId="77777777" w:rsidTr="00A329A2">
        <w:tc>
          <w:tcPr>
            <w:tcW w:w="7560" w:type="dxa"/>
          </w:tcPr>
          <w:p w14:paraId="45C54F62" w14:textId="0DAC1FD0" w:rsidR="003B7A1E" w:rsidRDefault="005E768F" w:rsidP="00A329A2">
            <w:pPr>
              <w:pStyle w:val="ListParagraph0"/>
              <w:numPr>
                <w:ilvl w:val="0"/>
                <w:numId w:val="28"/>
              </w:numPr>
              <w:tabs>
                <w:tab w:val="left" w:pos="8010"/>
              </w:tabs>
              <w:spacing w:line="264" w:lineRule="auto"/>
              <w:jc w:val="both"/>
              <w:rPr>
                <w:rFonts w:ascii="Arial" w:hAnsi="Arial" w:cs="Arial"/>
              </w:rPr>
            </w:pPr>
            <w:r>
              <w:rPr>
                <w:rFonts w:ascii="Arial" w:hAnsi="Arial" w:cs="Arial"/>
              </w:rPr>
              <w:t xml:space="preserve">Community Supports (CDBG, </w:t>
            </w:r>
            <w:r w:rsidR="00B77B00">
              <w:rPr>
                <w:rFonts w:ascii="Arial" w:hAnsi="Arial" w:cs="Arial"/>
              </w:rPr>
              <w:t xml:space="preserve">HOME, </w:t>
            </w:r>
            <w:r w:rsidR="00527022">
              <w:rPr>
                <w:rFonts w:ascii="Arial" w:hAnsi="Arial" w:cs="Arial"/>
              </w:rPr>
              <w:t>Rental Assistance)</w:t>
            </w:r>
          </w:p>
        </w:tc>
        <w:tc>
          <w:tcPr>
            <w:tcW w:w="1790" w:type="dxa"/>
          </w:tcPr>
          <w:p w14:paraId="3D832E21" w14:textId="710AEFDC" w:rsidR="003B7A1E" w:rsidRDefault="003B7A1E" w:rsidP="00A329A2">
            <w:pPr>
              <w:tabs>
                <w:tab w:val="left" w:pos="8010"/>
              </w:tabs>
              <w:spacing w:line="264" w:lineRule="auto"/>
              <w:jc w:val="right"/>
              <w:rPr>
                <w:rFonts w:ascii="Arial" w:hAnsi="Arial" w:cs="Arial"/>
              </w:rPr>
            </w:pPr>
            <w:r>
              <w:rPr>
                <w:rFonts w:ascii="Arial" w:hAnsi="Arial" w:cs="Arial"/>
              </w:rPr>
              <w:t>$</w:t>
            </w:r>
            <w:r w:rsidR="00670D5C">
              <w:rPr>
                <w:rFonts w:ascii="Arial" w:hAnsi="Arial" w:cs="Arial"/>
              </w:rPr>
              <w:t>83.9</w:t>
            </w:r>
            <w:r>
              <w:rPr>
                <w:rFonts w:ascii="Arial" w:hAnsi="Arial" w:cs="Arial"/>
              </w:rPr>
              <w:t xml:space="preserve"> million</w:t>
            </w:r>
          </w:p>
        </w:tc>
      </w:tr>
      <w:tr w:rsidR="004F3275" w14:paraId="296BDF92" w14:textId="77777777" w:rsidTr="00A329A2">
        <w:tc>
          <w:tcPr>
            <w:tcW w:w="7560" w:type="dxa"/>
          </w:tcPr>
          <w:p w14:paraId="3B8EBA3F" w14:textId="1F778785" w:rsidR="004F3275" w:rsidRPr="005F41CF" w:rsidRDefault="004F3275" w:rsidP="004F3275">
            <w:pPr>
              <w:pStyle w:val="ListParagraph0"/>
              <w:numPr>
                <w:ilvl w:val="0"/>
                <w:numId w:val="28"/>
              </w:numPr>
              <w:tabs>
                <w:tab w:val="left" w:pos="8010"/>
              </w:tabs>
              <w:spacing w:line="264" w:lineRule="auto"/>
              <w:jc w:val="both"/>
              <w:rPr>
                <w:rFonts w:ascii="Arial" w:hAnsi="Arial" w:cs="Arial"/>
              </w:rPr>
            </w:pPr>
            <w:r>
              <w:rPr>
                <w:rFonts w:ascii="Arial" w:hAnsi="Arial" w:cs="Arial"/>
              </w:rPr>
              <w:t>Vaccination Efforts (Jail Health, Mass Vaccination Program)</w:t>
            </w:r>
          </w:p>
        </w:tc>
        <w:tc>
          <w:tcPr>
            <w:tcW w:w="1790" w:type="dxa"/>
          </w:tcPr>
          <w:p w14:paraId="6D8BDB60" w14:textId="4796ACA4" w:rsidR="004F3275" w:rsidRDefault="004F3275" w:rsidP="004F3275">
            <w:pPr>
              <w:tabs>
                <w:tab w:val="left" w:pos="8010"/>
              </w:tabs>
              <w:spacing w:line="264" w:lineRule="auto"/>
              <w:jc w:val="right"/>
              <w:rPr>
                <w:rFonts w:ascii="Arial" w:hAnsi="Arial" w:cs="Arial"/>
              </w:rPr>
            </w:pPr>
            <w:r>
              <w:rPr>
                <w:rFonts w:ascii="Arial" w:hAnsi="Arial" w:cs="Arial"/>
              </w:rPr>
              <w:t>$27.7 million</w:t>
            </w:r>
          </w:p>
        </w:tc>
      </w:tr>
      <w:tr w:rsidR="003B7A1E" w14:paraId="126F2E38" w14:textId="77777777" w:rsidTr="00A329A2">
        <w:tc>
          <w:tcPr>
            <w:tcW w:w="7560" w:type="dxa"/>
          </w:tcPr>
          <w:p w14:paraId="0C446D7C" w14:textId="77777777" w:rsidR="003B7A1E" w:rsidRDefault="003B7A1E" w:rsidP="00A329A2">
            <w:pPr>
              <w:pStyle w:val="ListParagraph0"/>
              <w:numPr>
                <w:ilvl w:val="0"/>
                <w:numId w:val="28"/>
              </w:numPr>
              <w:tabs>
                <w:tab w:val="left" w:pos="8010"/>
              </w:tabs>
              <w:spacing w:line="264" w:lineRule="auto"/>
              <w:jc w:val="both"/>
              <w:rPr>
                <w:rFonts w:ascii="Arial" w:hAnsi="Arial" w:cs="Arial"/>
              </w:rPr>
            </w:pPr>
            <w:r w:rsidRPr="005F41CF">
              <w:rPr>
                <w:rFonts w:ascii="Arial" w:hAnsi="Arial" w:cs="Arial"/>
              </w:rPr>
              <w:t>Public Health Response to the pandemic</w:t>
            </w:r>
          </w:p>
        </w:tc>
        <w:tc>
          <w:tcPr>
            <w:tcW w:w="1790" w:type="dxa"/>
          </w:tcPr>
          <w:p w14:paraId="3828DB3B" w14:textId="635F5015" w:rsidR="003B7A1E" w:rsidRDefault="003B7A1E" w:rsidP="00A329A2">
            <w:pPr>
              <w:tabs>
                <w:tab w:val="left" w:pos="8010"/>
              </w:tabs>
              <w:spacing w:line="264" w:lineRule="auto"/>
              <w:jc w:val="right"/>
              <w:rPr>
                <w:rFonts w:ascii="Arial" w:hAnsi="Arial" w:cs="Arial"/>
              </w:rPr>
            </w:pPr>
            <w:r>
              <w:rPr>
                <w:rFonts w:ascii="Arial" w:hAnsi="Arial" w:cs="Arial"/>
              </w:rPr>
              <w:t>$</w:t>
            </w:r>
            <w:r w:rsidR="002F214E">
              <w:rPr>
                <w:rFonts w:ascii="Arial" w:hAnsi="Arial" w:cs="Arial"/>
              </w:rPr>
              <w:t>11.3</w:t>
            </w:r>
            <w:r>
              <w:rPr>
                <w:rFonts w:ascii="Arial" w:hAnsi="Arial" w:cs="Arial"/>
              </w:rPr>
              <w:t xml:space="preserve"> million</w:t>
            </w:r>
          </w:p>
        </w:tc>
      </w:tr>
      <w:tr w:rsidR="003B7A1E" w14:paraId="1904B3E7" w14:textId="77777777" w:rsidTr="00A329A2">
        <w:tc>
          <w:tcPr>
            <w:tcW w:w="7560" w:type="dxa"/>
          </w:tcPr>
          <w:p w14:paraId="6E5931FE" w14:textId="614BC994" w:rsidR="003B7A1E" w:rsidRPr="000657A4" w:rsidRDefault="003B6D12" w:rsidP="00A329A2">
            <w:pPr>
              <w:pStyle w:val="ListParagraph0"/>
              <w:numPr>
                <w:ilvl w:val="0"/>
                <w:numId w:val="28"/>
              </w:numPr>
              <w:tabs>
                <w:tab w:val="left" w:pos="8010"/>
              </w:tabs>
              <w:spacing w:line="264" w:lineRule="auto"/>
              <w:jc w:val="both"/>
              <w:rPr>
                <w:rFonts w:ascii="Arial" w:hAnsi="Arial" w:cs="Arial"/>
              </w:rPr>
            </w:pPr>
            <w:r>
              <w:rPr>
                <w:rFonts w:ascii="Arial" w:hAnsi="Arial" w:cs="Arial"/>
              </w:rPr>
              <w:lastRenderedPageBreak/>
              <w:t xml:space="preserve">Technical </w:t>
            </w:r>
            <w:r w:rsidR="002B2F4F">
              <w:rPr>
                <w:rFonts w:ascii="Arial" w:hAnsi="Arial" w:cs="Arial"/>
              </w:rPr>
              <w:t>Appropriations</w:t>
            </w:r>
            <w:r w:rsidR="00707E59">
              <w:rPr>
                <w:rFonts w:ascii="Arial" w:hAnsi="Arial" w:cs="Arial"/>
              </w:rPr>
              <w:t xml:space="preserve"> to prior COVID supplementals</w:t>
            </w:r>
          </w:p>
        </w:tc>
        <w:tc>
          <w:tcPr>
            <w:tcW w:w="1790" w:type="dxa"/>
          </w:tcPr>
          <w:p w14:paraId="6EDFC13A" w14:textId="01D9FB09" w:rsidR="003B7A1E" w:rsidRDefault="003B7A1E" w:rsidP="00A329A2">
            <w:pPr>
              <w:tabs>
                <w:tab w:val="left" w:pos="8010"/>
              </w:tabs>
              <w:spacing w:line="264" w:lineRule="auto"/>
              <w:jc w:val="right"/>
              <w:rPr>
                <w:rFonts w:ascii="Arial" w:hAnsi="Arial" w:cs="Arial"/>
              </w:rPr>
            </w:pPr>
            <w:r w:rsidRPr="001D1A7E">
              <w:rPr>
                <w:rFonts w:ascii="Arial" w:hAnsi="Arial" w:cs="Arial"/>
                <w:color w:val="C0504D" w:themeColor="accent2"/>
              </w:rPr>
              <w:t>$</w:t>
            </w:r>
            <w:r w:rsidR="00444098" w:rsidRPr="001D1A7E">
              <w:rPr>
                <w:rFonts w:ascii="Arial" w:hAnsi="Arial" w:cs="Arial"/>
                <w:color w:val="C0504D" w:themeColor="accent2"/>
              </w:rPr>
              <w:t>7</w:t>
            </w:r>
            <w:r w:rsidR="004F3275" w:rsidRPr="001D1A7E">
              <w:rPr>
                <w:rFonts w:ascii="Arial" w:hAnsi="Arial" w:cs="Arial"/>
                <w:color w:val="C0504D" w:themeColor="accent2"/>
              </w:rPr>
              <w:t>.5</w:t>
            </w:r>
            <w:r w:rsidRPr="001D1A7E">
              <w:rPr>
                <w:rFonts w:ascii="Arial" w:hAnsi="Arial" w:cs="Arial"/>
                <w:color w:val="C0504D" w:themeColor="accent2"/>
              </w:rPr>
              <w:t xml:space="preserve"> </w:t>
            </w:r>
            <w:r>
              <w:rPr>
                <w:rFonts w:ascii="Arial" w:hAnsi="Arial" w:cs="Arial"/>
              </w:rPr>
              <w:t>million</w:t>
            </w:r>
          </w:p>
        </w:tc>
      </w:tr>
      <w:tr w:rsidR="003B7A1E" w14:paraId="4576157C" w14:textId="77777777" w:rsidTr="00A329A2">
        <w:tc>
          <w:tcPr>
            <w:tcW w:w="7560" w:type="dxa"/>
          </w:tcPr>
          <w:p w14:paraId="647652B2" w14:textId="77777777" w:rsidR="003B7A1E" w:rsidRPr="000657A4" w:rsidRDefault="003B7A1E" w:rsidP="00A329A2">
            <w:pPr>
              <w:pStyle w:val="ListParagraph0"/>
              <w:numPr>
                <w:ilvl w:val="0"/>
                <w:numId w:val="28"/>
              </w:numPr>
              <w:tabs>
                <w:tab w:val="left" w:pos="8010"/>
              </w:tabs>
              <w:spacing w:line="264" w:lineRule="auto"/>
              <w:jc w:val="both"/>
              <w:rPr>
                <w:rFonts w:ascii="Arial" w:hAnsi="Arial" w:cs="Arial"/>
              </w:rPr>
            </w:pPr>
            <w:r>
              <w:rPr>
                <w:rFonts w:ascii="Arial" w:hAnsi="Arial" w:cs="Arial"/>
              </w:rPr>
              <w:t>County Operations in response to the pandemic</w:t>
            </w:r>
          </w:p>
        </w:tc>
        <w:tc>
          <w:tcPr>
            <w:tcW w:w="1790" w:type="dxa"/>
          </w:tcPr>
          <w:p w14:paraId="2A4F7632" w14:textId="54D8421D" w:rsidR="003B7A1E" w:rsidRDefault="003B7A1E" w:rsidP="00A329A2">
            <w:pPr>
              <w:tabs>
                <w:tab w:val="left" w:pos="8010"/>
              </w:tabs>
              <w:spacing w:line="264" w:lineRule="auto"/>
              <w:jc w:val="right"/>
              <w:rPr>
                <w:rFonts w:ascii="Arial" w:hAnsi="Arial" w:cs="Arial"/>
              </w:rPr>
            </w:pPr>
            <w:r>
              <w:rPr>
                <w:rFonts w:ascii="Arial" w:hAnsi="Arial" w:cs="Arial"/>
              </w:rPr>
              <w:t>$</w:t>
            </w:r>
            <w:r w:rsidR="003B6D12">
              <w:rPr>
                <w:rFonts w:ascii="Arial" w:hAnsi="Arial" w:cs="Arial"/>
              </w:rPr>
              <w:t>2.1</w:t>
            </w:r>
            <w:r>
              <w:rPr>
                <w:rFonts w:ascii="Arial" w:hAnsi="Arial" w:cs="Arial"/>
              </w:rPr>
              <w:t xml:space="preserve"> million</w:t>
            </w:r>
          </w:p>
        </w:tc>
      </w:tr>
    </w:tbl>
    <w:p w14:paraId="14515A29" w14:textId="77777777" w:rsidR="002A2D04" w:rsidRDefault="002A2D04" w:rsidP="004C70EF">
      <w:pPr>
        <w:keepNext/>
        <w:spacing w:line="264" w:lineRule="auto"/>
        <w:jc w:val="both"/>
        <w:rPr>
          <w:rFonts w:ascii="Arial" w:hAnsi="Arial" w:cs="Arial"/>
          <w:b/>
          <w:smallCaps/>
          <w:szCs w:val="24"/>
          <w:u w:val="single"/>
        </w:rPr>
      </w:pPr>
    </w:p>
    <w:p w14:paraId="36194041" w14:textId="270DFF82" w:rsidR="00C13BA0" w:rsidRDefault="00E36D73" w:rsidP="004C70EF">
      <w:pPr>
        <w:keepNext/>
        <w:spacing w:line="264" w:lineRule="auto"/>
        <w:jc w:val="both"/>
        <w:rPr>
          <w:rFonts w:ascii="Arial" w:hAnsi="Arial" w:cs="Arial"/>
          <w:b/>
          <w:smallCaps/>
          <w:szCs w:val="24"/>
          <w:u w:val="single"/>
        </w:rPr>
      </w:pPr>
      <w:r>
        <w:rPr>
          <w:rFonts w:ascii="Arial" w:hAnsi="Arial" w:cs="Arial"/>
          <w:b/>
          <w:smallCaps/>
          <w:szCs w:val="24"/>
          <w:u w:val="single"/>
        </w:rPr>
        <w:t>BACKGROUND</w:t>
      </w:r>
    </w:p>
    <w:p w14:paraId="01C2D25C" w14:textId="77777777" w:rsidR="00C13BA0" w:rsidRDefault="00C13BA0" w:rsidP="004C70EF">
      <w:pPr>
        <w:keepNext/>
        <w:spacing w:line="264" w:lineRule="auto"/>
        <w:jc w:val="both"/>
        <w:rPr>
          <w:rFonts w:ascii="Arial" w:hAnsi="Arial" w:cs="Arial"/>
        </w:rPr>
      </w:pPr>
    </w:p>
    <w:p w14:paraId="2DBB819E" w14:textId="6EBF4482" w:rsidR="00365DC0" w:rsidRDefault="008909CF" w:rsidP="00545038">
      <w:pPr>
        <w:spacing w:line="264" w:lineRule="auto"/>
        <w:jc w:val="both"/>
        <w:rPr>
          <w:rFonts w:ascii="Arial" w:hAnsi="Arial" w:cs="Arial"/>
          <w:szCs w:val="24"/>
        </w:rPr>
      </w:pPr>
      <w:r w:rsidRPr="008909CF">
        <w:rPr>
          <w:rFonts w:ascii="Arial" w:hAnsi="Arial" w:cs="Arial"/>
          <w:b/>
          <w:szCs w:val="24"/>
        </w:rPr>
        <w:t>COVID-19</w:t>
      </w:r>
      <w:r w:rsidR="00D050D4">
        <w:rPr>
          <w:rFonts w:ascii="Arial" w:hAnsi="Arial" w:cs="Arial"/>
          <w:b/>
          <w:szCs w:val="24"/>
        </w:rPr>
        <w:t xml:space="preserve"> </w:t>
      </w:r>
      <w:r w:rsidR="00247E30">
        <w:rPr>
          <w:rFonts w:ascii="Arial" w:hAnsi="Arial" w:cs="Arial"/>
          <w:b/>
          <w:szCs w:val="24"/>
        </w:rPr>
        <w:t>Supplemental</w:t>
      </w:r>
      <w:r w:rsidR="00D050D4">
        <w:rPr>
          <w:rFonts w:ascii="Arial" w:hAnsi="Arial" w:cs="Arial"/>
          <w:b/>
          <w:szCs w:val="24"/>
        </w:rPr>
        <w:t xml:space="preserve"> Appropriation Ordinances</w:t>
      </w:r>
      <w:r w:rsidRPr="008909CF">
        <w:rPr>
          <w:rFonts w:ascii="Arial" w:hAnsi="Arial" w:cs="Arial"/>
          <w:b/>
          <w:szCs w:val="24"/>
        </w:rPr>
        <w:t>.</w:t>
      </w:r>
      <w:r w:rsidR="004043EE">
        <w:rPr>
          <w:rFonts w:ascii="Arial" w:hAnsi="Arial" w:cs="Arial"/>
          <w:szCs w:val="24"/>
        </w:rPr>
        <w:t xml:space="preserve"> </w:t>
      </w:r>
      <w:r w:rsidR="0072749E">
        <w:rPr>
          <w:rFonts w:ascii="Arial" w:hAnsi="Arial" w:cs="Arial"/>
          <w:szCs w:val="24"/>
        </w:rPr>
        <w:t xml:space="preserve"> </w:t>
      </w:r>
      <w:r w:rsidR="00830A32">
        <w:rPr>
          <w:rFonts w:ascii="Arial" w:hAnsi="Arial" w:cs="Arial"/>
          <w:szCs w:val="24"/>
        </w:rPr>
        <w:t xml:space="preserve"> </w:t>
      </w:r>
      <w:r w:rsidR="00564839">
        <w:rPr>
          <w:rFonts w:ascii="Arial" w:hAnsi="Arial" w:cs="Arial"/>
        </w:rPr>
        <w:t>To date,</w:t>
      </w:r>
      <w:r w:rsidR="00545038">
        <w:rPr>
          <w:rFonts w:ascii="Arial" w:hAnsi="Arial" w:cs="Arial"/>
        </w:rPr>
        <w:t xml:space="preserve"> the council </w:t>
      </w:r>
      <w:r w:rsidR="00030A63">
        <w:rPr>
          <w:rFonts w:ascii="Arial" w:hAnsi="Arial" w:cs="Arial"/>
        </w:rPr>
        <w:t xml:space="preserve">has </w:t>
      </w:r>
      <w:r w:rsidR="00545038">
        <w:rPr>
          <w:rFonts w:ascii="Arial" w:hAnsi="Arial" w:cs="Arial"/>
        </w:rPr>
        <w:t xml:space="preserve">adopted </w:t>
      </w:r>
      <w:r w:rsidR="0054474E">
        <w:rPr>
          <w:rFonts w:ascii="Arial" w:hAnsi="Arial" w:cs="Arial"/>
        </w:rPr>
        <w:t>eight</w:t>
      </w:r>
      <w:r w:rsidR="00545038">
        <w:rPr>
          <w:rFonts w:ascii="Arial" w:hAnsi="Arial" w:cs="Arial"/>
        </w:rPr>
        <w:t xml:space="preserve"> supplemental appropriations ordinances </w:t>
      </w:r>
      <w:r w:rsidR="00310915">
        <w:rPr>
          <w:rFonts w:ascii="Arial" w:hAnsi="Arial" w:cs="Arial"/>
        </w:rPr>
        <w:t>for</w:t>
      </w:r>
      <w:r w:rsidR="00545038">
        <w:rPr>
          <w:rFonts w:ascii="Arial" w:hAnsi="Arial" w:cs="Arial"/>
        </w:rPr>
        <w:t xml:space="preserve"> expenses related to the response of the </w:t>
      </w:r>
      <w:r w:rsidR="00545038" w:rsidRPr="00600C71">
        <w:rPr>
          <w:rFonts w:ascii="Arial" w:hAnsi="Arial" w:cs="Arial"/>
        </w:rPr>
        <w:t>COVID-19 public health emergency</w:t>
      </w:r>
      <w:r w:rsidR="00545038">
        <w:rPr>
          <w:rFonts w:ascii="Arial" w:hAnsi="Arial" w:cs="Arial"/>
        </w:rPr>
        <w:t xml:space="preserve"> totaling more than </w:t>
      </w:r>
      <w:r w:rsidR="00545038" w:rsidRPr="006B66F4">
        <w:rPr>
          <w:rFonts w:ascii="Arial" w:hAnsi="Arial" w:cs="Arial"/>
          <w:u w:val="single"/>
        </w:rPr>
        <w:t>$</w:t>
      </w:r>
      <w:r w:rsidR="00CC2743" w:rsidRPr="006B66F4">
        <w:rPr>
          <w:rFonts w:ascii="Arial" w:hAnsi="Arial" w:cs="Arial"/>
          <w:u w:val="single"/>
        </w:rPr>
        <w:t>1</w:t>
      </w:r>
      <w:r w:rsidR="006E1269" w:rsidRPr="006B66F4">
        <w:rPr>
          <w:rFonts w:ascii="Arial" w:hAnsi="Arial" w:cs="Arial"/>
          <w:u w:val="single"/>
        </w:rPr>
        <w:t>.</w:t>
      </w:r>
      <w:r w:rsidR="006B66F4">
        <w:rPr>
          <w:rFonts w:ascii="Arial" w:hAnsi="Arial" w:cs="Arial"/>
          <w:u w:val="single"/>
        </w:rPr>
        <w:t>0</w:t>
      </w:r>
      <w:r w:rsidR="00545038" w:rsidRPr="006B66F4">
        <w:rPr>
          <w:rFonts w:ascii="Arial" w:hAnsi="Arial" w:cs="Arial"/>
          <w:u w:val="single"/>
        </w:rPr>
        <w:t xml:space="preserve"> </w:t>
      </w:r>
      <w:r w:rsidR="006E1269" w:rsidRPr="006B66F4">
        <w:rPr>
          <w:rFonts w:ascii="Arial" w:hAnsi="Arial" w:cs="Arial"/>
          <w:u w:val="single"/>
        </w:rPr>
        <w:t>b</w:t>
      </w:r>
      <w:r w:rsidR="00545038" w:rsidRPr="006B66F4">
        <w:rPr>
          <w:rFonts w:ascii="Arial" w:hAnsi="Arial" w:cs="Arial"/>
          <w:u w:val="single"/>
        </w:rPr>
        <w:t>illion</w:t>
      </w:r>
      <w:r w:rsidR="00545038">
        <w:rPr>
          <w:rFonts w:ascii="Arial" w:hAnsi="Arial" w:cs="Arial"/>
        </w:rPr>
        <w:t xml:space="preserve">. This included </w:t>
      </w:r>
      <w:r w:rsidR="006E1269">
        <w:rPr>
          <w:rFonts w:ascii="Arial" w:hAnsi="Arial" w:cs="Arial"/>
        </w:rPr>
        <w:t>seven</w:t>
      </w:r>
      <w:r w:rsidR="00545038">
        <w:rPr>
          <w:rFonts w:ascii="Arial" w:hAnsi="Arial" w:cs="Arial"/>
        </w:rPr>
        <w:t xml:space="preserve"> emergency supplemental appropriations ordinances (COVID 1 through COVID </w:t>
      </w:r>
      <w:r w:rsidR="006E1269">
        <w:rPr>
          <w:rFonts w:ascii="Arial" w:hAnsi="Arial" w:cs="Arial"/>
        </w:rPr>
        <w:t>7</w:t>
      </w:r>
      <w:r w:rsidR="00545038">
        <w:rPr>
          <w:rFonts w:ascii="Arial" w:hAnsi="Arial" w:cs="Arial"/>
        </w:rPr>
        <w:t xml:space="preserve">) and one supplemental appropriation ordinance to support child care services for essential workers. </w:t>
      </w:r>
      <w:r w:rsidR="000871A3">
        <w:rPr>
          <w:rFonts w:ascii="Arial" w:hAnsi="Arial" w:cs="Arial"/>
          <w:szCs w:val="24"/>
        </w:rPr>
        <w:t xml:space="preserve">Table 1 below shows a summary of the </w:t>
      </w:r>
      <w:r w:rsidR="008A74A3">
        <w:rPr>
          <w:rFonts w:ascii="Arial" w:hAnsi="Arial" w:cs="Arial"/>
          <w:szCs w:val="24"/>
        </w:rPr>
        <w:t xml:space="preserve">supplemental </w:t>
      </w:r>
      <w:r w:rsidR="000871A3">
        <w:rPr>
          <w:rFonts w:ascii="Arial" w:hAnsi="Arial" w:cs="Arial"/>
          <w:szCs w:val="24"/>
        </w:rPr>
        <w:t>appropriations.</w:t>
      </w:r>
      <w:r w:rsidR="00954666">
        <w:rPr>
          <w:rFonts w:ascii="Arial" w:hAnsi="Arial" w:cs="Arial"/>
          <w:szCs w:val="24"/>
        </w:rPr>
        <w:t xml:space="preserve"> </w:t>
      </w:r>
      <w:r w:rsidR="00954666" w:rsidRPr="001D1A7E">
        <w:rPr>
          <w:rFonts w:ascii="Arial" w:hAnsi="Arial" w:cs="Arial"/>
          <w:color w:val="C0504D" w:themeColor="accent2"/>
          <w:szCs w:val="24"/>
        </w:rPr>
        <w:t xml:space="preserve">With the proposed appropriations included in COVID 8, the total </w:t>
      </w:r>
      <w:r w:rsidR="009945C1" w:rsidRPr="001D1A7E">
        <w:rPr>
          <w:rFonts w:ascii="Arial" w:hAnsi="Arial" w:cs="Arial"/>
          <w:color w:val="C0504D" w:themeColor="accent2"/>
          <w:szCs w:val="24"/>
        </w:rPr>
        <w:t xml:space="preserve">appropriations related to the COVID-19 pandemic would be approximately </w:t>
      </w:r>
      <w:r w:rsidR="00F26903" w:rsidRPr="001D1A7E">
        <w:rPr>
          <w:rFonts w:ascii="Arial" w:hAnsi="Arial" w:cs="Arial"/>
          <w:color w:val="C0504D" w:themeColor="accent2"/>
          <w:szCs w:val="24"/>
          <w:u w:val="single"/>
        </w:rPr>
        <w:t>$1.2 billion</w:t>
      </w:r>
      <w:r w:rsidR="00F26903" w:rsidRPr="001D1A7E">
        <w:rPr>
          <w:rFonts w:ascii="Arial" w:hAnsi="Arial" w:cs="Arial"/>
          <w:color w:val="C0504D" w:themeColor="accent2"/>
          <w:szCs w:val="24"/>
        </w:rPr>
        <w:t>.</w:t>
      </w:r>
    </w:p>
    <w:p w14:paraId="66391CDE" w14:textId="77777777" w:rsidR="003D1ED3" w:rsidRPr="001C4B19" w:rsidRDefault="003D1ED3" w:rsidP="003D1ED3">
      <w:pPr>
        <w:rPr>
          <w:rFonts w:ascii="Arial" w:hAnsi="Arial" w:cs="Arial"/>
          <w:szCs w:val="24"/>
        </w:rPr>
      </w:pPr>
    </w:p>
    <w:p w14:paraId="03ECC64D" w14:textId="63134C67" w:rsidR="000B50D8" w:rsidRDefault="003D1ED3" w:rsidP="003D1ED3">
      <w:pPr>
        <w:jc w:val="center"/>
        <w:rPr>
          <w:rFonts w:ascii="Arial" w:hAnsi="Arial" w:cs="Arial"/>
          <w:b/>
          <w:szCs w:val="24"/>
        </w:rPr>
      </w:pPr>
      <w:r>
        <w:rPr>
          <w:rFonts w:ascii="Arial" w:hAnsi="Arial" w:cs="Arial"/>
          <w:b/>
          <w:szCs w:val="24"/>
        </w:rPr>
        <w:t>Table 1</w:t>
      </w:r>
    </w:p>
    <w:p w14:paraId="38154DA3" w14:textId="66B4CCC8" w:rsidR="003D1ED3" w:rsidRDefault="003D1ED3" w:rsidP="003D1ED3">
      <w:pPr>
        <w:jc w:val="center"/>
        <w:rPr>
          <w:rFonts w:ascii="Arial" w:hAnsi="Arial" w:cs="Arial"/>
          <w:b/>
          <w:szCs w:val="24"/>
        </w:rPr>
      </w:pPr>
      <w:r>
        <w:rPr>
          <w:rFonts w:ascii="Arial" w:hAnsi="Arial" w:cs="Arial"/>
          <w:b/>
          <w:szCs w:val="24"/>
        </w:rPr>
        <w:t>Summary of COVID-19 Supplemental Appropriations</w:t>
      </w:r>
      <w:r w:rsidR="000B50D8">
        <w:rPr>
          <w:rFonts w:ascii="Arial" w:hAnsi="Arial" w:cs="Arial"/>
          <w:b/>
          <w:szCs w:val="24"/>
        </w:rPr>
        <w:t>.</w:t>
      </w:r>
    </w:p>
    <w:p w14:paraId="245029A7" w14:textId="77777777" w:rsidR="003D1ED3" w:rsidRPr="001C4B19" w:rsidRDefault="003D1ED3" w:rsidP="003D1ED3">
      <w:pPr>
        <w:jc w:val="center"/>
        <w:rPr>
          <w:rFonts w:ascii="Arial" w:hAnsi="Arial" w:cs="Arial"/>
          <w:b/>
          <w:szCs w:val="24"/>
        </w:rPr>
      </w:pPr>
    </w:p>
    <w:tbl>
      <w:tblPr>
        <w:tblStyle w:val="TableGrid"/>
        <w:tblW w:w="9360" w:type="dxa"/>
        <w:tblLook w:val="04A0" w:firstRow="1" w:lastRow="0" w:firstColumn="1" w:lastColumn="0" w:noHBand="0" w:noVBand="1"/>
      </w:tblPr>
      <w:tblGrid>
        <w:gridCol w:w="3150"/>
        <w:gridCol w:w="270"/>
        <w:gridCol w:w="1350"/>
        <w:gridCol w:w="270"/>
        <w:gridCol w:w="1260"/>
        <w:gridCol w:w="270"/>
        <w:gridCol w:w="1170"/>
        <w:gridCol w:w="270"/>
        <w:gridCol w:w="1350"/>
      </w:tblGrid>
      <w:tr w:rsidR="003D1ED3" w:rsidRPr="005E4F9F" w14:paraId="364A8639" w14:textId="77777777" w:rsidTr="006260E3">
        <w:trPr>
          <w:cantSplit/>
          <w:trHeight w:val="411"/>
          <w:tblHeader/>
        </w:trPr>
        <w:tc>
          <w:tcPr>
            <w:tcW w:w="3150" w:type="dxa"/>
            <w:tcBorders>
              <w:top w:val="single" w:sz="12" w:space="0" w:color="auto"/>
              <w:left w:val="nil"/>
              <w:bottom w:val="single" w:sz="4" w:space="0" w:color="auto"/>
              <w:right w:val="nil"/>
            </w:tcBorders>
            <w:shd w:val="clear" w:color="auto" w:fill="auto"/>
            <w:vAlign w:val="center"/>
          </w:tcPr>
          <w:p w14:paraId="325AB16D" w14:textId="77777777" w:rsidR="003D1ED3" w:rsidRPr="005E4F9F" w:rsidRDefault="003D1ED3" w:rsidP="003E4B59">
            <w:pPr>
              <w:jc w:val="center"/>
              <w:rPr>
                <w:rFonts w:ascii="Arial" w:hAnsi="Arial" w:cs="Arial"/>
                <w:b/>
                <w:sz w:val="22"/>
                <w:szCs w:val="22"/>
              </w:rPr>
            </w:pPr>
            <w:r w:rsidRPr="005E4F9F">
              <w:rPr>
                <w:rFonts w:ascii="Arial" w:hAnsi="Arial" w:cs="Arial"/>
                <w:b/>
                <w:sz w:val="22"/>
                <w:szCs w:val="22"/>
              </w:rPr>
              <w:t>COVID Supplemental</w:t>
            </w:r>
          </w:p>
        </w:tc>
        <w:tc>
          <w:tcPr>
            <w:tcW w:w="270" w:type="dxa"/>
            <w:tcBorders>
              <w:top w:val="single" w:sz="12" w:space="0" w:color="auto"/>
              <w:left w:val="nil"/>
              <w:bottom w:val="nil"/>
              <w:right w:val="nil"/>
            </w:tcBorders>
          </w:tcPr>
          <w:p w14:paraId="5C55808E" w14:textId="77777777" w:rsidR="003D1ED3" w:rsidRPr="005E4F9F" w:rsidRDefault="003D1ED3" w:rsidP="003E4B59">
            <w:pPr>
              <w:rPr>
                <w:rFonts w:ascii="Arial" w:hAnsi="Arial" w:cs="Arial"/>
                <w:b/>
                <w:sz w:val="22"/>
                <w:szCs w:val="22"/>
              </w:rPr>
            </w:pPr>
          </w:p>
        </w:tc>
        <w:tc>
          <w:tcPr>
            <w:tcW w:w="1350" w:type="dxa"/>
            <w:tcBorders>
              <w:top w:val="single" w:sz="12" w:space="0" w:color="auto"/>
              <w:left w:val="nil"/>
              <w:bottom w:val="single" w:sz="2" w:space="0" w:color="auto"/>
              <w:right w:val="nil"/>
            </w:tcBorders>
            <w:vAlign w:val="center"/>
          </w:tcPr>
          <w:p w14:paraId="5731BF3F" w14:textId="77777777" w:rsidR="003D1ED3" w:rsidRPr="005E4F9F" w:rsidRDefault="003D1ED3" w:rsidP="003E4B59">
            <w:pPr>
              <w:jc w:val="center"/>
              <w:rPr>
                <w:rFonts w:ascii="Arial" w:hAnsi="Arial" w:cs="Arial"/>
                <w:b/>
                <w:sz w:val="22"/>
                <w:szCs w:val="22"/>
              </w:rPr>
            </w:pPr>
            <w:r w:rsidRPr="005E4F9F">
              <w:rPr>
                <w:rFonts w:ascii="Arial" w:hAnsi="Arial" w:cs="Arial"/>
                <w:b/>
                <w:sz w:val="22"/>
                <w:szCs w:val="22"/>
              </w:rPr>
              <w:t>Ordinance</w:t>
            </w:r>
          </w:p>
        </w:tc>
        <w:tc>
          <w:tcPr>
            <w:tcW w:w="270" w:type="dxa"/>
            <w:tcBorders>
              <w:top w:val="single" w:sz="12" w:space="0" w:color="auto"/>
              <w:left w:val="nil"/>
              <w:bottom w:val="nil"/>
              <w:right w:val="nil"/>
            </w:tcBorders>
          </w:tcPr>
          <w:p w14:paraId="2A82B0CD" w14:textId="77777777" w:rsidR="003D1ED3" w:rsidRPr="005E4F9F" w:rsidRDefault="003D1ED3" w:rsidP="003E4B59">
            <w:pPr>
              <w:rPr>
                <w:rFonts w:ascii="Arial" w:hAnsi="Arial" w:cs="Arial"/>
                <w:b/>
                <w:sz w:val="22"/>
                <w:szCs w:val="22"/>
              </w:rPr>
            </w:pPr>
          </w:p>
        </w:tc>
        <w:tc>
          <w:tcPr>
            <w:tcW w:w="1260" w:type="dxa"/>
            <w:tcBorders>
              <w:top w:val="single" w:sz="12" w:space="0" w:color="auto"/>
              <w:left w:val="nil"/>
              <w:bottom w:val="single" w:sz="2" w:space="0" w:color="auto"/>
              <w:right w:val="nil"/>
            </w:tcBorders>
            <w:shd w:val="clear" w:color="auto" w:fill="auto"/>
            <w:vAlign w:val="center"/>
          </w:tcPr>
          <w:p w14:paraId="72C564F0" w14:textId="77777777" w:rsidR="003D1ED3" w:rsidRPr="005E4F9F" w:rsidRDefault="003D1ED3" w:rsidP="003E4B59">
            <w:pPr>
              <w:jc w:val="center"/>
              <w:rPr>
                <w:rFonts w:ascii="Arial" w:hAnsi="Arial" w:cs="Arial"/>
                <w:b/>
                <w:sz w:val="22"/>
                <w:szCs w:val="22"/>
              </w:rPr>
            </w:pPr>
            <w:r w:rsidRPr="005E4F9F">
              <w:rPr>
                <w:rFonts w:ascii="Arial" w:hAnsi="Arial" w:cs="Arial"/>
                <w:b/>
                <w:sz w:val="22"/>
                <w:szCs w:val="22"/>
              </w:rPr>
              <w:t>Operating</w:t>
            </w:r>
          </w:p>
        </w:tc>
        <w:tc>
          <w:tcPr>
            <w:tcW w:w="270" w:type="dxa"/>
            <w:tcBorders>
              <w:top w:val="single" w:sz="12" w:space="0" w:color="auto"/>
              <w:left w:val="nil"/>
              <w:bottom w:val="nil"/>
              <w:right w:val="nil"/>
            </w:tcBorders>
          </w:tcPr>
          <w:p w14:paraId="19BE3B6F" w14:textId="77777777" w:rsidR="003D1ED3" w:rsidRPr="005E4F9F" w:rsidRDefault="003D1ED3" w:rsidP="003E4B59">
            <w:pPr>
              <w:rPr>
                <w:rFonts w:ascii="Arial" w:hAnsi="Arial" w:cs="Arial"/>
                <w:b/>
                <w:sz w:val="22"/>
                <w:szCs w:val="22"/>
              </w:rPr>
            </w:pPr>
          </w:p>
        </w:tc>
        <w:tc>
          <w:tcPr>
            <w:tcW w:w="1170" w:type="dxa"/>
            <w:tcBorders>
              <w:top w:val="single" w:sz="12" w:space="0" w:color="auto"/>
              <w:left w:val="nil"/>
              <w:bottom w:val="single" w:sz="2" w:space="0" w:color="auto"/>
              <w:right w:val="nil"/>
            </w:tcBorders>
            <w:vAlign w:val="center"/>
          </w:tcPr>
          <w:p w14:paraId="31FAC8B3" w14:textId="77777777" w:rsidR="003D1ED3" w:rsidRPr="005E4F9F" w:rsidRDefault="003D1ED3" w:rsidP="003E4B59">
            <w:pPr>
              <w:jc w:val="center"/>
              <w:rPr>
                <w:rFonts w:ascii="Arial" w:hAnsi="Arial" w:cs="Arial"/>
                <w:b/>
                <w:sz w:val="22"/>
                <w:szCs w:val="22"/>
              </w:rPr>
            </w:pPr>
            <w:r w:rsidRPr="005E4F9F">
              <w:rPr>
                <w:rFonts w:ascii="Arial" w:hAnsi="Arial" w:cs="Arial"/>
                <w:b/>
                <w:sz w:val="22"/>
                <w:szCs w:val="22"/>
              </w:rPr>
              <w:t>Capital</w:t>
            </w:r>
          </w:p>
        </w:tc>
        <w:tc>
          <w:tcPr>
            <w:tcW w:w="270" w:type="dxa"/>
            <w:tcBorders>
              <w:top w:val="single" w:sz="12" w:space="0" w:color="auto"/>
              <w:left w:val="nil"/>
              <w:bottom w:val="nil"/>
              <w:right w:val="nil"/>
            </w:tcBorders>
          </w:tcPr>
          <w:p w14:paraId="7CF2376B" w14:textId="77777777" w:rsidR="003D1ED3" w:rsidRPr="005E4F9F" w:rsidRDefault="003D1ED3" w:rsidP="003E4B59">
            <w:pPr>
              <w:jc w:val="center"/>
              <w:rPr>
                <w:rFonts w:ascii="Arial" w:hAnsi="Arial" w:cs="Arial"/>
                <w:b/>
                <w:sz w:val="22"/>
                <w:szCs w:val="22"/>
              </w:rPr>
            </w:pPr>
          </w:p>
        </w:tc>
        <w:tc>
          <w:tcPr>
            <w:tcW w:w="1350" w:type="dxa"/>
            <w:tcBorders>
              <w:top w:val="single" w:sz="12" w:space="0" w:color="auto"/>
              <w:left w:val="nil"/>
              <w:bottom w:val="single" w:sz="2" w:space="0" w:color="auto"/>
              <w:right w:val="single" w:sz="2" w:space="0" w:color="FFFFFF" w:themeColor="background1"/>
            </w:tcBorders>
            <w:vAlign w:val="center"/>
          </w:tcPr>
          <w:p w14:paraId="7344ED24" w14:textId="77777777" w:rsidR="003D1ED3" w:rsidRPr="005E4F9F" w:rsidRDefault="003D1ED3" w:rsidP="003E4B59">
            <w:pPr>
              <w:jc w:val="center"/>
              <w:rPr>
                <w:rFonts w:ascii="Arial" w:hAnsi="Arial" w:cs="Arial"/>
                <w:b/>
                <w:sz w:val="22"/>
                <w:szCs w:val="22"/>
              </w:rPr>
            </w:pPr>
            <w:r w:rsidRPr="005E4F9F">
              <w:rPr>
                <w:rFonts w:ascii="Arial" w:hAnsi="Arial" w:cs="Arial"/>
                <w:b/>
                <w:sz w:val="22"/>
                <w:szCs w:val="22"/>
              </w:rPr>
              <w:t>Total</w:t>
            </w:r>
          </w:p>
        </w:tc>
      </w:tr>
      <w:tr w:rsidR="003D1ED3" w:rsidRPr="005E4F9F" w14:paraId="28EE1592" w14:textId="77777777" w:rsidTr="006260E3">
        <w:trPr>
          <w:cantSplit/>
        </w:trPr>
        <w:tc>
          <w:tcPr>
            <w:tcW w:w="3150" w:type="dxa"/>
            <w:tcBorders>
              <w:left w:val="nil"/>
              <w:bottom w:val="nil"/>
              <w:right w:val="nil"/>
            </w:tcBorders>
            <w:tcMar>
              <w:top w:w="72" w:type="dxa"/>
              <w:left w:w="115" w:type="dxa"/>
              <w:bottom w:w="72" w:type="dxa"/>
              <w:right w:w="115" w:type="dxa"/>
            </w:tcMar>
          </w:tcPr>
          <w:p w14:paraId="640C1431" w14:textId="77777777" w:rsidR="003D1ED3" w:rsidRPr="005E4F9F" w:rsidRDefault="003D1ED3" w:rsidP="003E4B59">
            <w:pPr>
              <w:rPr>
                <w:rFonts w:ascii="Arial" w:hAnsi="Arial" w:cs="Arial"/>
                <w:sz w:val="22"/>
                <w:szCs w:val="22"/>
              </w:rPr>
            </w:pPr>
            <w:r w:rsidRPr="005E4F9F">
              <w:rPr>
                <w:rFonts w:ascii="Arial" w:hAnsi="Arial" w:cs="Arial"/>
                <w:sz w:val="22"/>
                <w:szCs w:val="22"/>
              </w:rPr>
              <w:t>COVID 1 (March 2020)</w:t>
            </w:r>
          </w:p>
        </w:tc>
        <w:tc>
          <w:tcPr>
            <w:tcW w:w="270" w:type="dxa"/>
            <w:tcBorders>
              <w:top w:val="nil"/>
              <w:left w:val="nil"/>
              <w:bottom w:val="nil"/>
              <w:right w:val="nil"/>
            </w:tcBorders>
          </w:tcPr>
          <w:p w14:paraId="3E6F93B0" w14:textId="77777777" w:rsidR="003D1ED3" w:rsidRPr="005E4F9F" w:rsidRDefault="003D1ED3" w:rsidP="003E4B59">
            <w:pPr>
              <w:jc w:val="right"/>
              <w:rPr>
                <w:rFonts w:ascii="Arial" w:hAnsi="Arial" w:cs="Arial"/>
                <w:sz w:val="22"/>
                <w:szCs w:val="22"/>
              </w:rPr>
            </w:pPr>
          </w:p>
        </w:tc>
        <w:tc>
          <w:tcPr>
            <w:tcW w:w="1350" w:type="dxa"/>
            <w:tcBorders>
              <w:top w:val="single" w:sz="2" w:space="0" w:color="auto"/>
              <w:left w:val="nil"/>
              <w:bottom w:val="nil"/>
              <w:right w:val="nil"/>
            </w:tcBorders>
          </w:tcPr>
          <w:p w14:paraId="59819264" w14:textId="77777777" w:rsidR="003D1ED3" w:rsidRPr="005E4F9F" w:rsidRDefault="003D1ED3" w:rsidP="003E4B59">
            <w:pPr>
              <w:jc w:val="center"/>
              <w:rPr>
                <w:rFonts w:ascii="Arial" w:hAnsi="Arial" w:cs="Arial"/>
                <w:sz w:val="22"/>
                <w:szCs w:val="22"/>
              </w:rPr>
            </w:pPr>
            <w:r w:rsidRPr="005E4F9F">
              <w:rPr>
                <w:rFonts w:ascii="Arial" w:hAnsi="Arial" w:cs="Arial"/>
                <w:sz w:val="22"/>
                <w:szCs w:val="22"/>
              </w:rPr>
              <w:t>19066</w:t>
            </w:r>
          </w:p>
        </w:tc>
        <w:tc>
          <w:tcPr>
            <w:tcW w:w="270" w:type="dxa"/>
            <w:tcBorders>
              <w:top w:val="nil"/>
              <w:left w:val="nil"/>
              <w:bottom w:val="nil"/>
              <w:right w:val="nil"/>
            </w:tcBorders>
          </w:tcPr>
          <w:p w14:paraId="5AD9DCCB" w14:textId="77777777" w:rsidR="003D1ED3" w:rsidRPr="005E4F9F" w:rsidRDefault="003D1ED3" w:rsidP="003E4B59">
            <w:pPr>
              <w:jc w:val="right"/>
              <w:rPr>
                <w:rFonts w:ascii="Arial" w:hAnsi="Arial" w:cs="Arial"/>
                <w:sz w:val="22"/>
                <w:szCs w:val="22"/>
              </w:rPr>
            </w:pPr>
          </w:p>
        </w:tc>
        <w:tc>
          <w:tcPr>
            <w:tcW w:w="1260" w:type="dxa"/>
            <w:tcBorders>
              <w:top w:val="single" w:sz="2" w:space="0" w:color="auto"/>
              <w:left w:val="nil"/>
              <w:bottom w:val="nil"/>
              <w:right w:val="nil"/>
            </w:tcBorders>
            <w:tcMar>
              <w:top w:w="72" w:type="dxa"/>
              <w:bottom w:w="72" w:type="dxa"/>
            </w:tcMar>
          </w:tcPr>
          <w:p w14:paraId="72F8491C"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$12.3 M</w:t>
            </w:r>
          </w:p>
        </w:tc>
        <w:tc>
          <w:tcPr>
            <w:tcW w:w="270" w:type="dxa"/>
            <w:tcBorders>
              <w:top w:val="nil"/>
              <w:left w:val="nil"/>
              <w:bottom w:val="nil"/>
              <w:right w:val="nil"/>
            </w:tcBorders>
          </w:tcPr>
          <w:p w14:paraId="3A19B08E" w14:textId="77777777" w:rsidR="003D1ED3" w:rsidRPr="005E4F9F" w:rsidRDefault="003D1ED3" w:rsidP="003E4B59">
            <w:pPr>
              <w:jc w:val="right"/>
              <w:rPr>
                <w:rFonts w:ascii="Arial" w:hAnsi="Arial" w:cs="Arial"/>
                <w:sz w:val="22"/>
                <w:szCs w:val="22"/>
              </w:rPr>
            </w:pPr>
          </w:p>
        </w:tc>
        <w:tc>
          <w:tcPr>
            <w:tcW w:w="1170" w:type="dxa"/>
            <w:tcBorders>
              <w:top w:val="single" w:sz="2" w:space="0" w:color="auto"/>
              <w:left w:val="nil"/>
              <w:bottom w:val="nil"/>
              <w:right w:val="nil"/>
            </w:tcBorders>
            <w:tcMar>
              <w:top w:w="72" w:type="dxa"/>
              <w:bottom w:w="72" w:type="dxa"/>
            </w:tcMar>
          </w:tcPr>
          <w:p w14:paraId="06971B52"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$15.1 M</w:t>
            </w:r>
          </w:p>
        </w:tc>
        <w:tc>
          <w:tcPr>
            <w:tcW w:w="270" w:type="dxa"/>
            <w:tcBorders>
              <w:top w:val="nil"/>
              <w:left w:val="nil"/>
              <w:bottom w:val="nil"/>
              <w:right w:val="nil"/>
            </w:tcBorders>
          </w:tcPr>
          <w:p w14:paraId="6DFFC332" w14:textId="77777777" w:rsidR="003D1ED3" w:rsidRPr="005E4F9F" w:rsidRDefault="003D1ED3" w:rsidP="003E4B59">
            <w:pPr>
              <w:jc w:val="right"/>
              <w:rPr>
                <w:rFonts w:ascii="Arial" w:hAnsi="Arial" w:cs="Arial"/>
                <w:sz w:val="22"/>
                <w:szCs w:val="22"/>
              </w:rPr>
            </w:pPr>
          </w:p>
        </w:tc>
        <w:tc>
          <w:tcPr>
            <w:tcW w:w="1350" w:type="dxa"/>
            <w:tcBorders>
              <w:top w:val="single" w:sz="2" w:space="0" w:color="auto"/>
              <w:left w:val="nil"/>
              <w:bottom w:val="nil"/>
              <w:right w:val="single" w:sz="2" w:space="0" w:color="FFFFFF" w:themeColor="background1"/>
            </w:tcBorders>
            <w:tcMar>
              <w:top w:w="72" w:type="dxa"/>
              <w:left w:w="115" w:type="dxa"/>
              <w:bottom w:w="72" w:type="dxa"/>
              <w:right w:w="115" w:type="dxa"/>
            </w:tcMar>
          </w:tcPr>
          <w:p w14:paraId="07F04E07"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$27.4 M</w:t>
            </w:r>
          </w:p>
        </w:tc>
      </w:tr>
      <w:tr w:rsidR="003D1ED3" w:rsidRPr="005E4F9F" w14:paraId="285B3EC2" w14:textId="77777777" w:rsidTr="006260E3">
        <w:trPr>
          <w:cantSplit/>
        </w:trPr>
        <w:tc>
          <w:tcPr>
            <w:tcW w:w="3150" w:type="dxa"/>
            <w:tcBorders>
              <w:top w:val="nil"/>
              <w:left w:val="nil"/>
              <w:bottom w:val="nil"/>
              <w:right w:val="nil"/>
            </w:tcBorders>
            <w:tcMar>
              <w:top w:w="72" w:type="dxa"/>
              <w:left w:w="115" w:type="dxa"/>
              <w:bottom w:w="72" w:type="dxa"/>
              <w:right w:w="115" w:type="dxa"/>
            </w:tcMar>
          </w:tcPr>
          <w:p w14:paraId="50BE5043" w14:textId="77777777" w:rsidR="003D1ED3" w:rsidRPr="006260E3" w:rsidRDefault="003D1ED3" w:rsidP="003E4B59">
            <w:pPr>
              <w:rPr>
                <w:rFonts w:ascii="Arial" w:hAnsi="Arial" w:cs="Arial"/>
                <w:sz w:val="20"/>
              </w:rPr>
            </w:pPr>
            <w:r w:rsidRPr="006260E3">
              <w:rPr>
                <w:rFonts w:ascii="Arial" w:hAnsi="Arial" w:cs="Arial"/>
                <w:sz w:val="20"/>
              </w:rPr>
              <w:t>PSTAA Child Care (March 2020)</w:t>
            </w:r>
          </w:p>
        </w:tc>
        <w:tc>
          <w:tcPr>
            <w:tcW w:w="270" w:type="dxa"/>
            <w:tcBorders>
              <w:top w:val="nil"/>
              <w:left w:val="nil"/>
              <w:bottom w:val="nil"/>
              <w:right w:val="nil"/>
            </w:tcBorders>
          </w:tcPr>
          <w:p w14:paraId="301A0C75" w14:textId="77777777" w:rsidR="003D1ED3" w:rsidRPr="005E4F9F" w:rsidRDefault="003D1ED3" w:rsidP="003E4B59">
            <w:pPr>
              <w:jc w:val="right"/>
              <w:rPr>
                <w:rFonts w:ascii="Arial" w:hAnsi="Arial" w:cs="Arial"/>
                <w:sz w:val="22"/>
                <w:szCs w:val="22"/>
              </w:rPr>
            </w:pPr>
          </w:p>
        </w:tc>
        <w:tc>
          <w:tcPr>
            <w:tcW w:w="1350" w:type="dxa"/>
            <w:tcBorders>
              <w:top w:val="nil"/>
              <w:left w:val="nil"/>
              <w:bottom w:val="nil"/>
              <w:right w:val="nil"/>
            </w:tcBorders>
          </w:tcPr>
          <w:p w14:paraId="725CB07A" w14:textId="77777777" w:rsidR="003D1ED3" w:rsidRPr="005E4F9F" w:rsidRDefault="003D1ED3" w:rsidP="003E4B59">
            <w:pPr>
              <w:jc w:val="center"/>
              <w:rPr>
                <w:rFonts w:ascii="Arial" w:hAnsi="Arial" w:cs="Arial"/>
                <w:sz w:val="22"/>
                <w:szCs w:val="22"/>
              </w:rPr>
            </w:pPr>
            <w:r w:rsidRPr="005E4F9F">
              <w:rPr>
                <w:rFonts w:ascii="Arial" w:hAnsi="Arial" w:cs="Arial"/>
                <w:sz w:val="22"/>
                <w:szCs w:val="22"/>
              </w:rPr>
              <w:t>19086</w:t>
            </w:r>
          </w:p>
        </w:tc>
        <w:tc>
          <w:tcPr>
            <w:tcW w:w="270" w:type="dxa"/>
            <w:tcBorders>
              <w:top w:val="nil"/>
              <w:left w:val="nil"/>
              <w:bottom w:val="nil"/>
              <w:right w:val="nil"/>
            </w:tcBorders>
          </w:tcPr>
          <w:p w14:paraId="68EB3F90" w14:textId="77777777" w:rsidR="003D1ED3" w:rsidRPr="005E4F9F" w:rsidRDefault="003D1ED3" w:rsidP="003E4B59">
            <w:pPr>
              <w:jc w:val="right"/>
              <w:rPr>
                <w:rFonts w:ascii="Arial" w:hAnsi="Arial" w:cs="Arial"/>
                <w:sz w:val="22"/>
                <w:szCs w:val="22"/>
              </w:rPr>
            </w:pPr>
          </w:p>
        </w:tc>
        <w:tc>
          <w:tcPr>
            <w:tcW w:w="1260" w:type="dxa"/>
            <w:tcBorders>
              <w:top w:val="nil"/>
              <w:left w:val="nil"/>
              <w:bottom w:val="nil"/>
              <w:right w:val="nil"/>
            </w:tcBorders>
            <w:tcMar>
              <w:top w:w="72" w:type="dxa"/>
              <w:bottom w:w="72" w:type="dxa"/>
            </w:tcMar>
          </w:tcPr>
          <w:p w14:paraId="23F27246"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$2.2 M</w:t>
            </w:r>
          </w:p>
        </w:tc>
        <w:tc>
          <w:tcPr>
            <w:tcW w:w="270" w:type="dxa"/>
            <w:tcBorders>
              <w:top w:val="nil"/>
              <w:left w:val="nil"/>
              <w:bottom w:val="nil"/>
              <w:right w:val="nil"/>
            </w:tcBorders>
          </w:tcPr>
          <w:p w14:paraId="27169DAE" w14:textId="77777777" w:rsidR="003D1ED3" w:rsidRPr="005E4F9F" w:rsidRDefault="003D1ED3" w:rsidP="003E4B59">
            <w:pPr>
              <w:jc w:val="right"/>
              <w:rPr>
                <w:rFonts w:ascii="Arial" w:hAnsi="Arial" w:cs="Arial"/>
                <w:sz w:val="22"/>
                <w:szCs w:val="22"/>
              </w:rPr>
            </w:pPr>
          </w:p>
        </w:tc>
        <w:tc>
          <w:tcPr>
            <w:tcW w:w="1170" w:type="dxa"/>
            <w:tcBorders>
              <w:top w:val="nil"/>
              <w:left w:val="nil"/>
              <w:bottom w:val="nil"/>
              <w:right w:val="nil"/>
            </w:tcBorders>
            <w:tcMar>
              <w:top w:w="72" w:type="dxa"/>
              <w:bottom w:w="72" w:type="dxa"/>
            </w:tcMar>
          </w:tcPr>
          <w:p w14:paraId="29ABE32B"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$0.0 M</w:t>
            </w:r>
          </w:p>
        </w:tc>
        <w:tc>
          <w:tcPr>
            <w:tcW w:w="270" w:type="dxa"/>
            <w:tcBorders>
              <w:top w:val="nil"/>
              <w:left w:val="nil"/>
              <w:bottom w:val="nil"/>
              <w:right w:val="nil"/>
            </w:tcBorders>
          </w:tcPr>
          <w:p w14:paraId="4236C2FC" w14:textId="77777777" w:rsidR="003D1ED3" w:rsidRPr="005E4F9F" w:rsidRDefault="003D1ED3" w:rsidP="003E4B59">
            <w:pPr>
              <w:jc w:val="right"/>
              <w:rPr>
                <w:rFonts w:ascii="Arial" w:hAnsi="Arial" w:cs="Arial"/>
                <w:sz w:val="22"/>
                <w:szCs w:val="22"/>
              </w:rPr>
            </w:pPr>
          </w:p>
        </w:tc>
        <w:tc>
          <w:tcPr>
            <w:tcW w:w="1350" w:type="dxa"/>
            <w:tcBorders>
              <w:top w:val="nil"/>
              <w:left w:val="nil"/>
              <w:bottom w:val="nil"/>
              <w:right w:val="single" w:sz="2" w:space="0" w:color="FFFFFF" w:themeColor="background1"/>
            </w:tcBorders>
            <w:tcMar>
              <w:top w:w="72" w:type="dxa"/>
              <w:left w:w="115" w:type="dxa"/>
              <w:bottom w:w="72" w:type="dxa"/>
              <w:right w:w="115" w:type="dxa"/>
            </w:tcMar>
          </w:tcPr>
          <w:p w14:paraId="49E319A2"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$2.2 M</w:t>
            </w:r>
          </w:p>
        </w:tc>
      </w:tr>
      <w:tr w:rsidR="003D1ED3" w:rsidRPr="005E4F9F" w14:paraId="30E1280E" w14:textId="77777777" w:rsidTr="006260E3">
        <w:trPr>
          <w:cantSplit/>
        </w:trPr>
        <w:tc>
          <w:tcPr>
            <w:tcW w:w="3150" w:type="dxa"/>
            <w:tcBorders>
              <w:top w:val="nil"/>
              <w:left w:val="nil"/>
              <w:bottom w:val="nil"/>
              <w:right w:val="nil"/>
            </w:tcBorders>
            <w:tcMar>
              <w:top w:w="72" w:type="dxa"/>
              <w:left w:w="115" w:type="dxa"/>
              <w:bottom w:w="72" w:type="dxa"/>
              <w:right w:w="115" w:type="dxa"/>
            </w:tcMar>
          </w:tcPr>
          <w:p w14:paraId="4F836953" w14:textId="77777777" w:rsidR="003D1ED3" w:rsidRPr="005E4F9F" w:rsidRDefault="003D1ED3" w:rsidP="003E4B59">
            <w:pPr>
              <w:rPr>
                <w:rFonts w:ascii="Arial" w:hAnsi="Arial" w:cs="Arial"/>
                <w:sz w:val="22"/>
                <w:szCs w:val="22"/>
              </w:rPr>
            </w:pPr>
            <w:r w:rsidRPr="005E4F9F">
              <w:rPr>
                <w:rFonts w:ascii="Arial" w:hAnsi="Arial" w:cs="Arial"/>
                <w:sz w:val="22"/>
                <w:szCs w:val="22"/>
              </w:rPr>
              <w:t xml:space="preserve">COVID 2 (April 2020) </w:t>
            </w:r>
          </w:p>
        </w:tc>
        <w:tc>
          <w:tcPr>
            <w:tcW w:w="270" w:type="dxa"/>
            <w:tcBorders>
              <w:top w:val="nil"/>
              <w:left w:val="nil"/>
              <w:bottom w:val="nil"/>
              <w:right w:val="nil"/>
            </w:tcBorders>
          </w:tcPr>
          <w:p w14:paraId="7F6C6E9D" w14:textId="77777777" w:rsidR="003D1ED3" w:rsidRPr="005E4F9F" w:rsidRDefault="003D1ED3" w:rsidP="003E4B59">
            <w:pPr>
              <w:jc w:val="right"/>
              <w:rPr>
                <w:rFonts w:ascii="Arial" w:hAnsi="Arial" w:cs="Arial"/>
                <w:sz w:val="22"/>
                <w:szCs w:val="22"/>
              </w:rPr>
            </w:pPr>
          </w:p>
        </w:tc>
        <w:tc>
          <w:tcPr>
            <w:tcW w:w="1350" w:type="dxa"/>
            <w:tcBorders>
              <w:top w:val="nil"/>
              <w:left w:val="nil"/>
              <w:bottom w:val="nil"/>
              <w:right w:val="nil"/>
            </w:tcBorders>
          </w:tcPr>
          <w:p w14:paraId="7DDC7897" w14:textId="77777777" w:rsidR="003D1ED3" w:rsidRPr="005E4F9F" w:rsidRDefault="003D1ED3" w:rsidP="003E4B59">
            <w:pPr>
              <w:jc w:val="center"/>
              <w:rPr>
                <w:rFonts w:ascii="Arial" w:hAnsi="Arial" w:cs="Arial"/>
                <w:sz w:val="22"/>
                <w:szCs w:val="22"/>
              </w:rPr>
            </w:pPr>
            <w:r w:rsidRPr="005E4F9F">
              <w:rPr>
                <w:rFonts w:ascii="Arial" w:hAnsi="Arial" w:cs="Arial"/>
                <w:sz w:val="22"/>
                <w:szCs w:val="22"/>
              </w:rPr>
              <w:t>19103</w:t>
            </w:r>
          </w:p>
        </w:tc>
        <w:tc>
          <w:tcPr>
            <w:tcW w:w="270" w:type="dxa"/>
            <w:tcBorders>
              <w:top w:val="nil"/>
              <w:left w:val="nil"/>
              <w:bottom w:val="nil"/>
              <w:right w:val="nil"/>
            </w:tcBorders>
          </w:tcPr>
          <w:p w14:paraId="0E0B26EE" w14:textId="77777777" w:rsidR="003D1ED3" w:rsidRPr="005E4F9F" w:rsidRDefault="003D1ED3" w:rsidP="003E4B59">
            <w:pPr>
              <w:jc w:val="right"/>
              <w:rPr>
                <w:rFonts w:ascii="Arial" w:hAnsi="Arial" w:cs="Arial"/>
                <w:sz w:val="22"/>
                <w:szCs w:val="22"/>
              </w:rPr>
            </w:pPr>
          </w:p>
        </w:tc>
        <w:tc>
          <w:tcPr>
            <w:tcW w:w="1260" w:type="dxa"/>
            <w:tcBorders>
              <w:top w:val="nil"/>
              <w:left w:val="nil"/>
              <w:bottom w:val="nil"/>
              <w:right w:val="nil"/>
            </w:tcBorders>
            <w:tcMar>
              <w:top w:w="72" w:type="dxa"/>
              <w:bottom w:w="72" w:type="dxa"/>
            </w:tcMar>
          </w:tcPr>
          <w:p w14:paraId="5CE1257E"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 xml:space="preserve">$32.0 M </w:t>
            </w:r>
          </w:p>
        </w:tc>
        <w:tc>
          <w:tcPr>
            <w:tcW w:w="270" w:type="dxa"/>
            <w:tcBorders>
              <w:top w:val="nil"/>
              <w:left w:val="nil"/>
              <w:bottom w:val="nil"/>
              <w:right w:val="nil"/>
            </w:tcBorders>
          </w:tcPr>
          <w:p w14:paraId="446832FB" w14:textId="77777777" w:rsidR="003D1ED3" w:rsidRPr="005E4F9F" w:rsidRDefault="003D1ED3" w:rsidP="003E4B59">
            <w:pPr>
              <w:jc w:val="right"/>
              <w:rPr>
                <w:rFonts w:ascii="Arial" w:hAnsi="Arial" w:cs="Arial"/>
                <w:sz w:val="22"/>
                <w:szCs w:val="22"/>
              </w:rPr>
            </w:pPr>
          </w:p>
        </w:tc>
        <w:tc>
          <w:tcPr>
            <w:tcW w:w="1170" w:type="dxa"/>
            <w:tcBorders>
              <w:top w:val="nil"/>
              <w:left w:val="nil"/>
              <w:bottom w:val="nil"/>
              <w:right w:val="nil"/>
            </w:tcBorders>
            <w:tcMar>
              <w:top w:w="72" w:type="dxa"/>
              <w:bottom w:w="72" w:type="dxa"/>
            </w:tcMar>
          </w:tcPr>
          <w:p w14:paraId="6C78A9B6"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 xml:space="preserve">$30.9 M </w:t>
            </w:r>
          </w:p>
        </w:tc>
        <w:tc>
          <w:tcPr>
            <w:tcW w:w="270" w:type="dxa"/>
            <w:tcBorders>
              <w:top w:val="nil"/>
              <w:left w:val="nil"/>
              <w:bottom w:val="nil"/>
              <w:right w:val="nil"/>
            </w:tcBorders>
          </w:tcPr>
          <w:p w14:paraId="6C13A5D9" w14:textId="77777777" w:rsidR="003D1ED3" w:rsidRPr="005E4F9F" w:rsidRDefault="003D1ED3" w:rsidP="003E4B59">
            <w:pPr>
              <w:jc w:val="right"/>
              <w:rPr>
                <w:rFonts w:ascii="Arial" w:hAnsi="Arial" w:cs="Arial"/>
                <w:sz w:val="22"/>
                <w:szCs w:val="22"/>
              </w:rPr>
            </w:pPr>
          </w:p>
        </w:tc>
        <w:tc>
          <w:tcPr>
            <w:tcW w:w="1350" w:type="dxa"/>
            <w:tcBorders>
              <w:top w:val="nil"/>
              <w:left w:val="nil"/>
              <w:bottom w:val="nil"/>
              <w:right w:val="single" w:sz="2" w:space="0" w:color="FFFFFF" w:themeColor="background1"/>
            </w:tcBorders>
            <w:tcMar>
              <w:top w:w="72" w:type="dxa"/>
              <w:left w:w="115" w:type="dxa"/>
              <w:bottom w:w="72" w:type="dxa"/>
              <w:right w:w="115" w:type="dxa"/>
            </w:tcMar>
          </w:tcPr>
          <w:p w14:paraId="48CE640D"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 xml:space="preserve">$62.9 M </w:t>
            </w:r>
          </w:p>
        </w:tc>
      </w:tr>
      <w:tr w:rsidR="003D1ED3" w:rsidRPr="005E4F9F" w14:paraId="33BD6AB8" w14:textId="77777777" w:rsidTr="006260E3">
        <w:trPr>
          <w:cantSplit/>
        </w:trPr>
        <w:tc>
          <w:tcPr>
            <w:tcW w:w="3150" w:type="dxa"/>
            <w:tcBorders>
              <w:top w:val="nil"/>
              <w:left w:val="nil"/>
              <w:bottom w:val="nil"/>
              <w:right w:val="nil"/>
            </w:tcBorders>
            <w:tcMar>
              <w:top w:w="72" w:type="dxa"/>
              <w:left w:w="115" w:type="dxa"/>
              <w:bottom w:w="72" w:type="dxa"/>
              <w:right w:w="115" w:type="dxa"/>
            </w:tcMar>
          </w:tcPr>
          <w:p w14:paraId="48CA790D" w14:textId="77777777" w:rsidR="003D1ED3" w:rsidRPr="005E4F9F" w:rsidRDefault="003D1ED3" w:rsidP="003E4B59">
            <w:pPr>
              <w:rPr>
                <w:rFonts w:ascii="Arial" w:hAnsi="Arial" w:cs="Arial"/>
                <w:sz w:val="22"/>
                <w:szCs w:val="22"/>
              </w:rPr>
            </w:pPr>
            <w:r w:rsidRPr="005E4F9F">
              <w:rPr>
                <w:rFonts w:ascii="Arial" w:hAnsi="Arial" w:cs="Arial"/>
                <w:sz w:val="22"/>
                <w:szCs w:val="22"/>
              </w:rPr>
              <w:t>COVID 3 (June 2020)</w:t>
            </w:r>
          </w:p>
        </w:tc>
        <w:tc>
          <w:tcPr>
            <w:tcW w:w="270" w:type="dxa"/>
            <w:tcBorders>
              <w:top w:val="nil"/>
              <w:left w:val="nil"/>
              <w:bottom w:val="nil"/>
              <w:right w:val="nil"/>
            </w:tcBorders>
          </w:tcPr>
          <w:p w14:paraId="1A92CB01" w14:textId="77777777" w:rsidR="003D1ED3" w:rsidRPr="005E4F9F" w:rsidRDefault="003D1ED3" w:rsidP="003E4B59">
            <w:pPr>
              <w:jc w:val="right"/>
              <w:rPr>
                <w:rFonts w:ascii="Arial" w:hAnsi="Arial" w:cs="Arial"/>
                <w:sz w:val="22"/>
                <w:szCs w:val="22"/>
              </w:rPr>
            </w:pPr>
          </w:p>
        </w:tc>
        <w:tc>
          <w:tcPr>
            <w:tcW w:w="1350" w:type="dxa"/>
            <w:tcBorders>
              <w:top w:val="nil"/>
              <w:left w:val="nil"/>
              <w:bottom w:val="nil"/>
              <w:right w:val="nil"/>
            </w:tcBorders>
          </w:tcPr>
          <w:p w14:paraId="0C82B2B1" w14:textId="77777777" w:rsidR="003D1ED3" w:rsidRPr="005E4F9F" w:rsidRDefault="003D1ED3" w:rsidP="003E4B59">
            <w:pPr>
              <w:jc w:val="center"/>
              <w:rPr>
                <w:rFonts w:ascii="Arial" w:hAnsi="Arial" w:cs="Arial"/>
                <w:sz w:val="22"/>
                <w:szCs w:val="22"/>
              </w:rPr>
            </w:pPr>
            <w:r w:rsidRPr="005E4F9F">
              <w:rPr>
                <w:rFonts w:ascii="Arial" w:hAnsi="Arial" w:cs="Arial"/>
                <w:sz w:val="22"/>
                <w:szCs w:val="22"/>
              </w:rPr>
              <w:t>19120</w:t>
            </w:r>
          </w:p>
        </w:tc>
        <w:tc>
          <w:tcPr>
            <w:tcW w:w="270" w:type="dxa"/>
            <w:tcBorders>
              <w:top w:val="nil"/>
              <w:left w:val="nil"/>
              <w:bottom w:val="nil"/>
              <w:right w:val="nil"/>
            </w:tcBorders>
          </w:tcPr>
          <w:p w14:paraId="0D0DF52A" w14:textId="77777777" w:rsidR="003D1ED3" w:rsidRPr="005E4F9F" w:rsidRDefault="003D1ED3" w:rsidP="003E4B59">
            <w:pPr>
              <w:jc w:val="right"/>
              <w:rPr>
                <w:rFonts w:ascii="Arial" w:hAnsi="Arial" w:cs="Arial"/>
                <w:sz w:val="22"/>
                <w:szCs w:val="22"/>
              </w:rPr>
            </w:pPr>
          </w:p>
        </w:tc>
        <w:tc>
          <w:tcPr>
            <w:tcW w:w="1260" w:type="dxa"/>
            <w:tcBorders>
              <w:top w:val="nil"/>
              <w:left w:val="nil"/>
              <w:bottom w:val="nil"/>
              <w:right w:val="nil"/>
            </w:tcBorders>
            <w:tcMar>
              <w:top w:w="72" w:type="dxa"/>
              <w:bottom w:w="72" w:type="dxa"/>
            </w:tcMar>
          </w:tcPr>
          <w:p w14:paraId="6B82FCF5"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$86.1 M</w:t>
            </w:r>
          </w:p>
        </w:tc>
        <w:tc>
          <w:tcPr>
            <w:tcW w:w="270" w:type="dxa"/>
            <w:tcBorders>
              <w:top w:val="nil"/>
              <w:left w:val="nil"/>
              <w:bottom w:val="nil"/>
              <w:right w:val="nil"/>
            </w:tcBorders>
          </w:tcPr>
          <w:p w14:paraId="1B2F45C2" w14:textId="77777777" w:rsidR="003D1ED3" w:rsidRPr="005E4F9F" w:rsidRDefault="003D1ED3" w:rsidP="003E4B59">
            <w:pPr>
              <w:jc w:val="right"/>
              <w:rPr>
                <w:rFonts w:ascii="Arial" w:hAnsi="Arial" w:cs="Arial"/>
                <w:sz w:val="22"/>
                <w:szCs w:val="22"/>
              </w:rPr>
            </w:pPr>
          </w:p>
        </w:tc>
        <w:tc>
          <w:tcPr>
            <w:tcW w:w="1170" w:type="dxa"/>
            <w:tcBorders>
              <w:top w:val="nil"/>
              <w:left w:val="nil"/>
              <w:bottom w:val="nil"/>
              <w:right w:val="nil"/>
            </w:tcBorders>
            <w:tcMar>
              <w:top w:w="72" w:type="dxa"/>
              <w:bottom w:w="72" w:type="dxa"/>
            </w:tcMar>
          </w:tcPr>
          <w:p w14:paraId="7F93D59A"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 xml:space="preserve">$4.5 M </w:t>
            </w:r>
          </w:p>
        </w:tc>
        <w:tc>
          <w:tcPr>
            <w:tcW w:w="270" w:type="dxa"/>
            <w:tcBorders>
              <w:top w:val="nil"/>
              <w:left w:val="nil"/>
              <w:bottom w:val="nil"/>
              <w:right w:val="nil"/>
            </w:tcBorders>
          </w:tcPr>
          <w:p w14:paraId="657662A3" w14:textId="77777777" w:rsidR="003D1ED3" w:rsidRPr="005E4F9F" w:rsidRDefault="003D1ED3" w:rsidP="003E4B59">
            <w:pPr>
              <w:jc w:val="right"/>
              <w:rPr>
                <w:rFonts w:ascii="Arial" w:hAnsi="Arial" w:cs="Arial"/>
                <w:sz w:val="22"/>
                <w:szCs w:val="22"/>
              </w:rPr>
            </w:pPr>
          </w:p>
        </w:tc>
        <w:tc>
          <w:tcPr>
            <w:tcW w:w="1350" w:type="dxa"/>
            <w:tcBorders>
              <w:top w:val="nil"/>
              <w:left w:val="nil"/>
              <w:bottom w:val="nil"/>
              <w:right w:val="single" w:sz="2" w:space="0" w:color="FFFFFF" w:themeColor="background1"/>
            </w:tcBorders>
            <w:tcMar>
              <w:top w:w="72" w:type="dxa"/>
              <w:left w:w="115" w:type="dxa"/>
              <w:bottom w:w="72" w:type="dxa"/>
              <w:right w:w="115" w:type="dxa"/>
            </w:tcMar>
          </w:tcPr>
          <w:p w14:paraId="09B3046C"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$90.6 M</w:t>
            </w:r>
          </w:p>
        </w:tc>
      </w:tr>
      <w:tr w:rsidR="003D1ED3" w:rsidRPr="005E4F9F" w14:paraId="1D26FE9B" w14:textId="77777777" w:rsidTr="006260E3">
        <w:trPr>
          <w:cantSplit/>
        </w:trPr>
        <w:tc>
          <w:tcPr>
            <w:tcW w:w="3150" w:type="dxa"/>
            <w:tcBorders>
              <w:top w:val="nil"/>
              <w:left w:val="nil"/>
              <w:bottom w:val="nil"/>
              <w:right w:val="nil"/>
            </w:tcBorders>
            <w:tcMar>
              <w:top w:w="72" w:type="dxa"/>
              <w:left w:w="115" w:type="dxa"/>
              <w:bottom w:w="72" w:type="dxa"/>
              <w:right w:w="115" w:type="dxa"/>
            </w:tcMar>
          </w:tcPr>
          <w:p w14:paraId="04B3D343" w14:textId="77777777" w:rsidR="003D1ED3" w:rsidRPr="005E4F9F" w:rsidRDefault="003D1ED3" w:rsidP="003E4B59">
            <w:pPr>
              <w:rPr>
                <w:rFonts w:ascii="Arial" w:hAnsi="Arial" w:cs="Arial"/>
                <w:sz w:val="22"/>
                <w:szCs w:val="22"/>
              </w:rPr>
            </w:pPr>
            <w:r w:rsidRPr="005E4F9F">
              <w:rPr>
                <w:rFonts w:ascii="Arial" w:hAnsi="Arial" w:cs="Arial"/>
                <w:sz w:val="22"/>
                <w:szCs w:val="22"/>
              </w:rPr>
              <w:t>COVID 4 (September 2020)</w:t>
            </w:r>
          </w:p>
        </w:tc>
        <w:tc>
          <w:tcPr>
            <w:tcW w:w="270" w:type="dxa"/>
            <w:tcBorders>
              <w:top w:val="nil"/>
              <w:left w:val="nil"/>
              <w:bottom w:val="nil"/>
              <w:right w:val="nil"/>
            </w:tcBorders>
          </w:tcPr>
          <w:p w14:paraId="01BC7095" w14:textId="77777777" w:rsidR="003D1ED3" w:rsidRPr="005E4F9F" w:rsidRDefault="003D1ED3" w:rsidP="003E4B59">
            <w:pPr>
              <w:jc w:val="right"/>
              <w:rPr>
                <w:rFonts w:ascii="Arial" w:hAnsi="Arial" w:cs="Arial"/>
                <w:sz w:val="22"/>
                <w:szCs w:val="22"/>
              </w:rPr>
            </w:pPr>
          </w:p>
        </w:tc>
        <w:tc>
          <w:tcPr>
            <w:tcW w:w="1350" w:type="dxa"/>
            <w:tcBorders>
              <w:top w:val="nil"/>
              <w:left w:val="nil"/>
              <w:bottom w:val="nil"/>
              <w:right w:val="nil"/>
            </w:tcBorders>
          </w:tcPr>
          <w:p w14:paraId="3537C34B" w14:textId="77777777" w:rsidR="003D1ED3" w:rsidRPr="005E4F9F" w:rsidRDefault="003D1ED3" w:rsidP="003E4B59">
            <w:pPr>
              <w:jc w:val="center"/>
              <w:rPr>
                <w:rFonts w:ascii="Arial" w:hAnsi="Arial" w:cs="Arial"/>
                <w:sz w:val="22"/>
                <w:szCs w:val="22"/>
              </w:rPr>
            </w:pPr>
            <w:r w:rsidRPr="005E4F9F">
              <w:rPr>
                <w:rFonts w:ascii="Arial" w:hAnsi="Arial" w:cs="Arial"/>
                <w:sz w:val="22"/>
                <w:szCs w:val="22"/>
              </w:rPr>
              <w:t>19157</w:t>
            </w:r>
          </w:p>
        </w:tc>
        <w:tc>
          <w:tcPr>
            <w:tcW w:w="270" w:type="dxa"/>
            <w:tcBorders>
              <w:top w:val="nil"/>
              <w:left w:val="nil"/>
              <w:bottom w:val="nil"/>
              <w:right w:val="nil"/>
            </w:tcBorders>
          </w:tcPr>
          <w:p w14:paraId="374BF2CF" w14:textId="77777777" w:rsidR="003D1ED3" w:rsidRPr="005E4F9F" w:rsidRDefault="003D1ED3" w:rsidP="003E4B59">
            <w:pPr>
              <w:jc w:val="right"/>
              <w:rPr>
                <w:rFonts w:ascii="Arial" w:hAnsi="Arial" w:cs="Arial"/>
                <w:sz w:val="22"/>
                <w:szCs w:val="22"/>
              </w:rPr>
            </w:pPr>
          </w:p>
        </w:tc>
        <w:tc>
          <w:tcPr>
            <w:tcW w:w="1260" w:type="dxa"/>
            <w:tcBorders>
              <w:top w:val="nil"/>
              <w:left w:val="nil"/>
              <w:bottom w:val="nil"/>
              <w:right w:val="nil"/>
            </w:tcBorders>
            <w:tcMar>
              <w:top w:w="72" w:type="dxa"/>
              <w:bottom w:w="72" w:type="dxa"/>
            </w:tcMar>
          </w:tcPr>
          <w:p w14:paraId="77AEC284"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$76.7 M</w:t>
            </w:r>
          </w:p>
        </w:tc>
        <w:tc>
          <w:tcPr>
            <w:tcW w:w="270" w:type="dxa"/>
            <w:tcBorders>
              <w:top w:val="nil"/>
              <w:left w:val="nil"/>
              <w:bottom w:val="nil"/>
              <w:right w:val="nil"/>
            </w:tcBorders>
          </w:tcPr>
          <w:p w14:paraId="0669418F" w14:textId="77777777" w:rsidR="003D1ED3" w:rsidRPr="005E4F9F" w:rsidRDefault="003D1ED3" w:rsidP="003E4B59">
            <w:pPr>
              <w:jc w:val="right"/>
              <w:rPr>
                <w:rFonts w:ascii="Arial" w:hAnsi="Arial" w:cs="Arial"/>
                <w:sz w:val="22"/>
                <w:szCs w:val="22"/>
              </w:rPr>
            </w:pPr>
          </w:p>
        </w:tc>
        <w:tc>
          <w:tcPr>
            <w:tcW w:w="1170" w:type="dxa"/>
            <w:tcBorders>
              <w:top w:val="nil"/>
              <w:left w:val="nil"/>
              <w:bottom w:val="nil"/>
              <w:right w:val="nil"/>
            </w:tcBorders>
            <w:tcMar>
              <w:top w:w="72" w:type="dxa"/>
              <w:bottom w:w="72" w:type="dxa"/>
            </w:tcMar>
          </w:tcPr>
          <w:p w14:paraId="0F04CB51"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 xml:space="preserve">$17.4 M </w:t>
            </w:r>
          </w:p>
        </w:tc>
        <w:tc>
          <w:tcPr>
            <w:tcW w:w="270" w:type="dxa"/>
            <w:tcBorders>
              <w:top w:val="nil"/>
              <w:left w:val="nil"/>
              <w:bottom w:val="nil"/>
              <w:right w:val="nil"/>
            </w:tcBorders>
          </w:tcPr>
          <w:p w14:paraId="45F89707" w14:textId="77777777" w:rsidR="003D1ED3" w:rsidRPr="005E4F9F" w:rsidRDefault="003D1ED3" w:rsidP="003E4B59">
            <w:pPr>
              <w:jc w:val="right"/>
              <w:rPr>
                <w:rFonts w:ascii="Arial" w:hAnsi="Arial" w:cs="Arial"/>
                <w:sz w:val="22"/>
                <w:szCs w:val="22"/>
              </w:rPr>
            </w:pPr>
          </w:p>
        </w:tc>
        <w:tc>
          <w:tcPr>
            <w:tcW w:w="1350" w:type="dxa"/>
            <w:tcBorders>
              <w:top w:val="nil"/>
              <w:left w:val="nil"/>
              <w:bottom w:val="nil"/>
              <w:right w:val="nil"/>
            </w:tcBorders>
            <w:tcMar>
              <w:top w:w="72" w:type="dxa"/>
              <w:left w:w="115" w:type="dxa"/>
              <w:bottom w:w="72" w:type="dxa"/>
              <w:right w:w="115" w:type="dxa"/>
            </w:tcMar>
          </w:tcPr>
          <w:p w14:paraId="6CC6AEA6"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$94.1 M</w:t>
            </w:r>
          </w:p>
        </w:tc>
      </w:tr>
      <w:tr w:rsidR="003D1ED3" w:rsidRPr="005E4F9F" w14:paraId="7F7F8783" w14:textId="77777777" w:rsidTr="006260E3">
        <w:trPr>
          <w:cantSplit/>
        </w:trPr>
        <w:tc>
          <w:tcPr>
            <w:tcW w:w="3150" w:type="dxa"/>
            <w:tcBorders>
              <w:top w:val="nil"/>
              <w:left w:val="nil"/>
              <w:bottom w:val="nil"/>
              <w:right w:val="nil"/>
            </w:tcBorders>
            <w:tcMar>
              <w:top w:w="72" w:type="dxa"/>
              <w:left w:w="115" w:type="dxa"/>
              <w:bottom w:w="72" w:type="dxa"/>
              <w:right w:w="115" w:type="dxa"/>
            </w:tcMar>
          </w:tcPr>
          <w:p w14:paraId="7C025426" w14:textId="77777777" w:rsidR="003D1ED3" w:rsidRPr="005E4F9F" w:rsidRDefault="003D1ED3" w:rsidP="003E4B59">
            <w:pPr>
              <w:rPr>
                <w:rFonts w:ascii="Arial" w:hAnsi="Arial" w:cs="Arial"/>
                <w:sz w:val="22"/>
                <w:szCs w:val="22"/>
              </w:rPr>
            </w:pPr>
            <w:r w:rsidRPr="005E4F9F">
              <w:rPr>
                <w:rFonts w:ascii="Arial" w:hAnsi="Arial" w:cs="Arial"/>
                <w:sz w:val="22"/>
                <w:szCs w:val="22"/>
              </w:rPr>
              <w:t>COVID 5 (December 2020)</w:t>
            </w:r>
          </w:p>
        </w:tc>
        <w:tc>
          <w:tcPr>
            <w:tcW w:w="270" w:type="dxa"/>
            <w:tcBorders>
              <w:top w:val="nil"/>
              <w:left w:val="nil"/>
              <w:bottom w:val="nil"/>
              <w:right w:val="nil"/>
            </w:tcBorders>
          </w:tcPr>
          <w:p w14:paraId="00633FD4" w14:textId="77777777" w:rsidR="003D1ED3" w:rsidRPr="005E4F9F" w:rsidRDefault="003D1ED3" w:rsidP="003E4B59">
            <w:pPr>
              <w:jc w:val="right"/>
              <w:rPr>
                <w:rFonts w:ascii="Arial" w:hAnsi="Arial" w:cs="Arial"/>
                <w:sz w:val="22"/>
                <w:szCs w:val="22"/>
              </w:rPr>
            </w:pPr>
          </w:p>
        </w:tc>
        <w:tc>
          <w:tcPr>
            <w:tcW w:w="1350" w:type="dxa"/>
            <w:tcBorders>
              <w:top w:val="nil"/>
              <w:left w:val="nil"/>
              <w:bottom w:val="nil"/>
              <w:right w:val="nil"/>
            </w:tcBorders>
          </w:tcPr>
          <w:p w14:paraId="7A944B9A" w14:textId="77777777" w:rsidR="003D1ED3" w:rsidRPr="005E4F9F" w:rsidRDefault="003D1ED3" w:rsidP="003E4B59">
            <w:pPr>
              <w:jc w:val="center"/>
              <w:rPr>
                <w:rFonts w:ascii="Arial" w:hAnsi="Arial" w:cs="Arial"/>
                <w:sz w:val="22"/>
                <w:szCs w:val="22"/>
              </w:rPr>
            </w:pPr>
            <w:r w:rsidRPr="005E4F9F">
              <w:rPr>
                <w:rFonts w:ascii="Arial" w:hAnsi="Arial" w:cs="Arial"/>
                <w:sz w:val="22"/>
                <w:szCs w:val="22"/>
              </w:rPr>
              <w:t>19191</w:t>
            </w:r>
          </w:p>
        </w:tc>
        <w:tc>
          <w:tcPr>
            <w:tcW w:w="270" w:type="dxa"/>
            <w:tcBorders>
              <w:top w:val="nil"/>
              <w:left w:val="nil"/>
              <w:bottom w:val="nil"/>
              <w:right w:val="nil"/>
            </w:tcBorders>
          </w:tcPr>
          <w:p w14:paraId="26255DDE" w14:textId="77777777" w:rsidR="003D1ED3" w:rsidRPr="005E4F9F" w:rsidRDefault="003D1ED3" w:rsidP="003E4B59">
            <w:pPr>
              <w:jc w:val="right"/>
              <w:rPr>
                <w:rFonts w:ascii="Arial" w:hAnsi="Arial" w:cs="Arial"/>
                <w:sz w:val="22"/>
                <w:szCs w:val="22"/>
              </w:rPr>
            </w:pPr>
          </w:p>
        </w:tc>
        <w:tc>
          <w:tcPr>
            <w:tcW w:w="1260" w:type="dxa"/>
            <w:tcBorders>
              <w:top w:val="nil"/>
              <w:left w:val="nil"/>
              <w:bottom w:val="nil"/>
              <w:right w:val="nil"/>
            </w:tcBorders>
            <w:tcMar>
              <w:top w:w="72" w:type="dxa"/>
              <w:bottom w:w="72" w:type="dxa"/>
            </w:tcMar>
          </w:tcPr>
          <w:p w14:paraId="028EC660"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$40.9 M</w:t>
            </w:r>
          </w:p>
        </w:tc>
        <w:tc>
          <w:tcPr>
            <w:tcW w:w="270" w:type="dxa"/>
            <w:tcBorders>
              <w:top w:val="nil"/>
              <w:left w:val="nil"/>
              <w:bottom w:val="nil"/>
              <w:right w:val="nil"/>
            </w:tcBorders>
          </w:tcPr>
          <w:p w14:paraId="3A5CF13F" w14:textId="77777777" w:rsidR="003D1ED3" w:rsidRPr="005E4F9F" w:rsidRDefault="003D1ED3" w:rsidP="003E4B59">
            <w:pPr>
              <w:jc w:val="right"/>
              <w:rPr>
                <w:rFonts w:ascii="Arial" w:hAnsi="Arial" w:cs="Arial"/>
                <w:sz w:val="22"/>
                <w:szCs w:val="22"/>
              </w:rPr>
            </w:pPr>
          </w:p>
        </w:tc>
        <w:tc>
          <w:tcPr>
            <w:tcW w:w="1170" w:type="dxa"/>
            <w:tcBorders>
              <w:top w:val="nil"/>
              <w:left w:val="nil"/>
              <w:bottom w:val="nil"/>
              <w:right w:val="nil"/>
            </w:tcBorders>
            <w:tcMar>
              <w:top w:w="72" w:type="dxa"/>
              <w:bottom w:w="72" w:type="dxa"/>
            </w:tcMar>
          </w:tcPr>
          <w:p w14:paraId="1A9FC35A"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 xml:space="preserve">$5.8 M </w:t>
            </w:r>
          </w:p>
        </w:tc>
        <w:tc>
          <w:tcPr>
            <w:tcW w:w="270" w:type="dxa"/>
            <w:tcBorders>
              <w:top w:val="nil"/>
              <w:left w:val="nil"/>
              <w:bottom w:val="nil"/>
              <w:right w:val="nil"/>
            </w:tcBorders>
          </w:tcPr>
          <w:p w14:paraId="7E16066B" w14:textId="77777777" w:rsidR="003D1ED3" w:rsidRPr="005E4F9F" w:rsidRDefault="003D1ED3" w:rsidP="003E4B59">
            <w:pPr>
              <w:jc w:val="right"/>
              <w:rPr>
                <w:rFonts w:ascii="Arial" w:hAnsi="Arial" w:cs="Arial"/>
                <w:sz w:val="22"/>
                <w:szCs w:val="22"/>
              </w:rPr>
            </w:pPr>
          </w:p>
        </w:tc>
        <w:tc>
          <w:tcPr>
            <w:tcW w:w="1350" w:type="dxa"/>
            <w:tcBorders>
              <w:top w:val="nil"/>
              <w:left w:val="nil"/>
              <w:bottom w:val="nil"/>
              <w:right w:val="nil"/>
            </w:tcBorders>
            <w:tcMar>
              <w:top w:w="72" w:type="dxa"/>
              <w:left w:w="115" w:type="dxa"/>
              <w:bottom w:w="72" w:type="dxa"/>
              <w:right w:w="115" w:type="dxa"/>
            </w:tcMar>
          </w:tcPr>
          <w:p w14:paraId="2E0135F3" w14:textId="77777777" w:rsidR="003D1ED3" w:rsidRPr="005E4F9F" w:rsidRDefault="003D1ED3" w:rsidP="003E4B59">
            <w:pPr>
              <w:jc w:val="right"/>
              <w:rPr>
                <w:rFonts w:ascii="Arial" w:hAnsi="Arial" w:cs="Arial"/>
                <w:sz w:val="22"/>
                <w:szCs w:val="22"/>
              </w:rPr>
            </w:pPr>
            <w:r w:rsidRPr="005E4F9F">
              <w:rPr>
                <w:rFonts w:ascii="Arial" w:hAnsi="Arial" w:cs="Arial"/>
                <w:sz w:val="22"/>
                <w:szCs w:val="22"/>
              </w:rPr>
              <w:t>$46.6 M</w:t>
            </w:r>
          </w:p>
        </w:tc>
      </w:tr>
      <w:tr w:rsidR="0054474E" w:rsidRPr="005E4F9F" w14:paraId="3A52FE57" w14:textId="77777777" w:rsidTr="006260E3">
        <w:trPr>
          <w:cantSplit/>
        </w:trPr>
        <w:tc>
          <w:tcPr>
            <w:tcW w:w="3150" w:type="dxa"/>
            <w:tcBorders>
              <w:top w:val="nil"/>
              <w:left w:val="nil"/>
              <w:bottom w:val="nil"/>
              <w:right w:val="nil"/>
            </w:tcBorders>
            <w:tcMar>
              <w:top w:w="72" w:type="dxa"/>
              <w:left w:w="115" w:type="dxa"/>
              <w:bottom w:w="72" w:type="dxa"/>
              <w:right w:w="115" w:type="dxa"/>
            </w:tcMar>
          </w:tcPr>
          <w:p w14:paraId="4FE44C52" w14:textId="6AE573BE" w:rsidR="0054474E" w:rsidRPr="005E4F9F" w:rsidRDefault="0054474E" w:rsidP="0054474E">
            <w:pPr>
              <w:rPr>
                <w:rFonts w:ascii="Arial" w:hAnsi="Arial" w:cs="Arial"/>
                <w:sz w:val="22"/>
                <w:szCs w:val="22"/>
              </w:rPr>
            </w:pPr>
            <w:r w:rsidRPr="005E4F9F">
              <w:rPr>
                <w:rFonts w:ascii="Arial" w:hAnsi="Arial" w:cs="Arial"/>
                <w:sz w:val="22"/>
                <w:szCs w:val="22"/>
              </w:rPr>
              <w:t>COVID 6 (March 2021)</w:t>
            </w:r>
          </w:p>
        </w:tc>
        <w:tc>
          <w:tcPr>
            <w:tcW w:w="270" w:type="dxa"/>
            <w:tcBorders>
              <w:top w:val="nil"/>
              <w:left w:val="nil"/>
              <w:bottom w:val="nil"/>
              <w:right w:val="nil"/>
            </w:tcBorders>
          </w:tcPr>
          <w:p w14:paraId="0450BD89" w14:textId="77777777" w:rsidR="0054474E" w:rsidRPr="005E4F9F" w:rsidRDefault="0054474E" w:rsidP="0054474E">
            <w:pPr>
              <w:jc w:val="right"/>
              <w:rPr>
                <w:rFonts w:ascii="Arial" w:hAnsi="Arial" w:cs="Arial"/>
                <w:sz w:val="22"/>
                <w:szCs w:val="22"/>
              </w:rPr>
            </w:pPr>
          </w:p>
        </w:tc>
        <w:tc>
          <w:tcPr>
            <w:tcW w:w="1350" w:type="dxa"/>
            <w:tcBorders>
              <w:top w:val="nil"/>
              <w:left w:val="nil"/>
              <w:bottom w:val="nil"/>
              <w:right w:val="nil"/>
            </w:tcBorders>
          </w:tcPr>
          <w:p w14:paraId="2883D8C8" w14:textId="7F962506" w:rsidR="0054474E" w:rsidRPr="005E4F9F" w:rsidRDefault="0054474E" w:rsidP="0054474E">
            <w:pPr>
              <w:jc w:val="center"/>
              <w:rPr>
                <w:rFonts w:ascii="Arial" w:hAnsi="Arial" w:cs="Arial"/>
                <w:sz w:val="22"/>
                <w:szCs w:val="22"/>
              </w:rPr>
            </w:pPr>
            <w:r w:rsidRPr="005E4F9F">
              <w:rPr>
                <w:rFonts w:ascii="Arial" w:hAnsi="Arial" w:cs="Arial"/>
                <w:sz w:val="22"/>
                <w:szCs w:val="22"/>
              </w:rPr>
              <w:t>19265</w:t>
            </w:r>
          </w:p>
        </w:tc>
        <w:tc>
          <w:tcPr>
            <w:tcW w:w="270" w:type="dxa"/>
            <w:tcBorders>
              <w:top w:val="nil"/>
              <w:left w:val="nil"/>
              <w:bottom w:val="nil"/>
              <w:right w:val="nil"/>
            </w:tcBorders>
          </w:tcPr>
          <w:p w14:paraId="65204A58" w14:textId="77777777" w:rsidR="0054474E" w:rsidRPr="005E4F9F" w:rsidRDefault="0054474E" w:rsidP="0054474E">
            <w:pPr>
              <w:jc w:val="right"/>
              <w:rPr>
                <w:rFonts w:ascii="Arial" w:hAnsi="Arial" w:cs="Arial"/>
                <w:sz w:val="22"/>
                <w:szCs w:val="22"/>
              </w:rPr>
            </w:pPr>
          </w:p>
        </w:tc>
        <w:tc>
          <w:tcPr>
            <w:tcW w:w="1260" w:type="dxa"/>
            <w:tcBorders>
              <w:top w:val="nil"/>
              <w:left w:val="nil"/>
              <w:bottom w:val="nil"/>
              <w:right w:val="nil"/>
            </w:tcBorders>
            <w:tcMar>
              <w:top w:w="72" w:type="dxa"/>
              <w:bottom w:w="72" w:type="dxa"/>
            </w:tcMar>
          </w:tcPr>
          <w:p w14:paraId="22D0FC12" w14:textId="3E175D3A" w:rsidR="0054474E" w:rsidRPr="005E4F9F" w:rsidRDefault="0054474E" w:rsidP="0054474E">
            <w:pPr>
              <w:jc w:val="right"/>
              <w:rPr>
                <w:rFonts w:ascii="Arial" w:hAnsi="Arial" w:cs="Arial"/>
                <w:sz w:val="22"/>
                <w:szCs w:val="22"/>
              </w:rPr>
            </w:pPr>
            <w:r w:rsidRPr="005E4F9F">
              <w:rPr>
                <w:rFonts w:ascii="Arial" w:hAnsi="Arial" w:cs="Arial"/>
                <w:sz w:val="22"/>
                <w:szCs w:val="22"/>
              </w:rPr>
              <w:t>$93.2 M</w:t>
            </w:r>
          </w:p>
        </w:tc>
        <w:tc>
          <w:tcPr>
            <w:tcW w:w="270" w:type="dxa"/>
            <w:tcBorders>
              <w:top w:val="nil"/>
              <w:left w:val="nil"/>
              <w:bottom w:val="nil"/>
              <w:right w:val="nil"/>
            </w:tcBorders>
          </w:tcPr>
          <w:p w14:paraId="4662F9CF" w14:textId="77777777" w:rsidR="0054474E" w:rsidRPr="005E4F9F" w:rsidRDefault="0054474E" w:rsidP="0054474E">
            <w:pPr>
              <w:jc w:val="right"/>
              <w:rPr>
                <w:rFonts w:ascii="Arial" w:hAnsi="Arial" w:cs="Arial"/>
                <w:sz w:val="22"/>
                <w:szCs w:val="22"/>
              </w:rPr>
            </w:pPr>
          </w:p>
        </w:tc>
        <w:tc>
          <w:tcPr>
            <w:tcW w:w="1170" w:type="dxa"/>
            <w:tcBorders>
              <w:top w:val="nil"/>
              <w:left w:val="nil"/>
              <w:bottom w:val="nil"/>
              <w:right w:val="nil"/>
            </w:tcBorders>
            <w:tcMar>
              <w:top w:w="72" w:type="dxa"/>
              <w:bottom w:w="72" w:type="dxa"/>
            </w:tcMar>
          </w:tcPr>
          <w:p w14:paraId="5E1647AC" w14:textId="21605243" w:rsidR="0054474E" w:rsidRPr="005E4F9F" w:rsidRDefault="0054474E" w:rsidP="0054474E">
            <w:pPr>
              <w:jc w:val="right"/>
              <w:rPr>
                <w:rFonts w:ascii="Arial" w:hAnsi="Arial" w:cs="Arial"/>
                <w:sz w:val="22"/>
                <w:szCs w:val="22"/>
              </w:rPr>
            </w:pPr>
            <w:r w:rsidRPr="005E4F9F">
              <w:rPr>
                <w:rFonts w:ascii="Arial" w:hAnsi="Arial" w:cs="Arial"/>
                <w:sz w:val="22"/>
                <w:szCs w:val="22"/>
              </w:rPr>
              <w:t xml:space="preserve">$1.1 M </w:t>
            </w:r>
          </w:p>
        </w:tc>
        <w:tc>
          <w:tcPr>
            <w:tcW w:w="270" w:type="dxa"/>
            <w:tcBorders>
              <w:top w:val="nil"/>
              <w:left w:val="nil"/>
              <w:bottom w:val="nil"/>
              <w:right w:val="nil"/>
            </w:tcBorders>
          </w:tcPr>
          <w:p w14:paraId="17C88AA5" w14:textId="77777777" w:rsidR="0054474E" w:rsidRPr="005E4F9F" w:rsidRDefault="0054474E" w:rsidP="0054474E">
            <w:pPr>
              <w:jc w:val="right"/>
              <w:rPr>
                <w:rFonts w:ascii="Arial" w:hAnsi="Arial" w:cs="Arial"/>
                <w:sz w:val="22"/>
                <w:szCs w:val="22"/>
              </w:rPr>
            </w:pPr>
          </w:p>
        </w:tc>
        <w:tc>
          <w:tcPr>
            <w:tcW w:w="1350" w:type="dxa"/>
            <w:tcBorders>
              <w:top w:val="nil"/>
              <w:left w:val="nil"/>
              <w:bottom w:val="nil"/>
              <w:right w:val="single" w:sz="2" w:space="0" w:color="FFFFFF" w:themeColor="background1"/>
            </w:tcBorders>
            <w:tcMar>
              <w:top w:w="72" w:type="dxa"/>
              <w:left w:w="115" w:type="dxa"/>
              <w:bottom w:w="72" w:type="dxa"/>
              <w:right w:w="115" w:type="dxa"/>
            </w:tcMar>
          </w:tcPr>
          <w:p w14:paraId="037BAAC5" w14:textId="0740A62A" w:rsidR="0054474E" w:rsidRPr="005E4F9F" w:rsidRDefault="0054474E" w:rsidP="0054474E">
            <w:pPr>
              <w:jc w:val="right"/>
              <w:rPr>
                <w:rFonts w:ascii="Arial" w:hAnsi="Arial" w:cs="Arial"/>
                <w:sz w:val="22"/>
                <w:szCs w:val="22"/>
              </w:rPr>
            </w:pPr>
            <w:r w:rsidRPr="005E4F9F">
              <w:rPr>
                <w:rFonts w:ascii="Arial" w:hAnsi="Arial" w:cs="Arial"/>
                <w:sz w:val="22"/>
                <w:szCs w:val="22"/>
              </w:rPr>
              <w:t>$93.3 M</w:t>
            </w:r>
          </w:p>
        </w:tc>
      </w:tr>
      <w:tr w:rsidR="0054474E" w:rsidRPr="005E4F9F" w14:paraId="0EA78CD8" w14:textId="77777777" w:rsidTr="006260E3">
        <w:trPr>
          <w:cantSplit/>
        </w:trPr>
        <w:tc>
          <w:tcPr>
            <w:tcW w:w="3150" w:type="dxa"/>
            <w:tcBorders>
              <w:top w:val="nil"/>
              <w:left w:val="nil"/>
              <w:bottom w:val="nil"/>
              <w:right w:val="nil"/>
            </w:tcBorders>
            <w:tcMar>
              <w:top w:w="72" w:type="dxa"/>
              <w:left w:w="115" w:type="dxa"/>
              <w:bottom w:w="72" w:type="dxa"/>
              <w:right w:w="115" w:type="dxa"/>
            </w:tcMar>
          </w:tcPr>
          <w:p w14:paraId="5A7E9D6E" w14:textId="4180F302" w:rsidR="0054474E" w:rsidRPr="005E4F9F" w:rsidRDefault="0054474E" w:rsidP="0054474E">
            <w:pPr>
              <w:rPr>
                <w:rFonts w:ascii="Arial" w:hAnsi="Arial" w:cs="Arial"/>
                <w:sz w:val="22"/>
                <w:szCs w:val="22"/>
              </w:rPr>
            </w:pPr>
            <w:r w:rsidRPr="005E4F9F">
              <w:rPr>
                <w:rFonts w:ascii="Arial" w:hAnsi="Arial" w:cs="Arial"/>
                <w:sz w:val="22"/>
                <w:szCs w:val="22"/>
              </w:rPr>
              <w:t>COVID 7 (May 2021)</w:t>
            </w:r>
          </w:p>
        </w:tc>
        <w:tc>
          <w:tcPr>
            <w:tcW w:w="270" w:type="dxa"/>
            <w:tcBorders>
              <w:top w:val="nil"/>
              <w:left w:val="nil"/>
              <w:bottom w:val="nil"/>
              <w:right w:val="nil"/>
            </w:tcBorders>
          </w:tcPr>
          <w:p w14:paraId="466A7414" w14:textId="77777777" w:rsidR="0054474E" w:rsidRPr="005E4F9F" w:rsidRDefault="0054474E" w:rsidP="0054474E">
            <w:pPr>
              <w:jc w:val="right"/>
              <w:rPr>
                <w:rFonts w:ascii="Arial" w:hAnsi="Arial" w:cs="Arial"/>
                <w:sz w:val="22"/>
                <w:szCs w:val="22"/>
              </w:rPr>
            </w:pPr>
          </w:p>
        </w:tc>
        <w:tc>
          <w:tcPr>
            <w:tcW w:w="1350" w:type="dxa"/>
            <w:tcBorders>
              <w:top w:val="nil"/>
              <w:left w:val="nil"/>
              <w:bottom w:val="single" w:sz="2" w:space="0" w:color="auto"/>
              <w:right w:val="nil"/>
            </w:tcBorders>
          </w:tcPr>
          <w:p w14:paraId="7CF40B6A" w14:textId="3ECAA8BB" w:rsidR="0054474E" w:rsidRPr="005E4F9F" w:rsidRDefault="0054474E" w:rsidP="0054474E">
            <w:pPr>
              <w:jc w:val="center"/>
              <w:rPr>
                <w:rFonts w:ascii="Arial" w:hAnsi="Arial" w:cs="Arial"/>
                <w:sz w:val="22"/>
                <w:szCs w:val="22"/>
              </w:rPr>
            </w:pPr>
            <w:r w:rsidRPr="005E4F9F">
              <w:rPr>
                <w:rFonts w:ascii="Arial" w:hAnsi="Arial" w:cs="Arial"/>
                <w:sz w:val="22"/>
                <w:szCs w:val="22"/>
              </w:rPr>
              <w:t>19289</w:t>
            </w:r>
          </w:p>
        </w:tc>
        <w:tc>
          <w:tcPr>
            <w:tcW w:w="270" w:type="dxa"/>
            <w:tcBorders>
              <w:top w:val="nil"/>
              <w:left w:val="nil"/>
              <w:bottom w:val="nil"/>
              <w:right w:val="nil"/>
            </w:tcBorders>
          </w:tcPr>
          <w:p w14:paraId="3966CDC8" w14:textId="77777777" w:rsidR="0054474E" w:rsidRPr="005E4F9F" w:rsidRDefault="0054474E" w:rsidP="0054474E">
            <w:pPr>
              <w:jc w:val="right"/>
              <w:rPr>
                <w:rFonts w:ascii="Arial" w:hAnsi="Arial" w:cs="Arial"/>
                <w:sz w:val="22"/>
                <w:szCs w:val="22"/>
              </w:rPr>
            </w:pPr>
          </w:p>
        </w:tc>
        <w:tc>
          <w:tcPr>
            <w:tcW w:w="1260" w:type="dxa"/>
            <w:tcBorders>
              <w:top w:val="nil"/>
              <w:left w:val="nil"/>
              <w:bottom w:val="single" w:sz="2" w:space="0" w:color="auto"/>
              <w:right w:val="nil"/>
            </w:tcBorders>
            <w:tcMar>
              <w:top w:w="72" w:type="dxa"/>
              <w:bottom w:w="72" w:type="dxa"/>
            </w:tcMar>
          </w:tcPr>
          <w:p w14:paraId="37F13744" w14:textId="36FEBD91" w:rsidR="0054474E" w:rsidRPr="005E4F9F" w:rsidRDefault="0054474E" w:rsidP="0054474E">
            <w:pPr>
              <w:jc w:val="right"/>
              <w:rPr>
                <w:rFonts w:ascii="Arial" w:hAnsi="Arial" w:cs="Arial"/>
                <w:sz w:val="22"/>
                <w:szCs w:val="22"/>
              </w:rPr>
            </w:pPr>
            <w:r w:rsidRPr="005E4F9F">
              <w:rPr>
                <w:rFonts w:ascii="Arial" w:hAnsi="Arial" w:cs="Arial"/>
                <w:sz w:val="22"/>
                <w:szCs w:val="22"/>
              </w:rPr>
              <w:t>$</w:t>
            </w:r>
            <w:r w:rsidR="001B6CB1" w:rsidRPr="005E4F9F">
              <w:rPr>
                <w:rFonts w:ascii="Arial" w:hAnsi="Arial" w:cs="Arial"/>
                <w:sz w:val="22"/>
                <w:szCs w:val="22"/>
              </w:rPr>
              <w:t>597.3</w:t>
            </w:r>
            <w:r w:rsidRPr="005E4F9F">
              <w:rPr>
                <w:rFonts w:ascii="Arial" w:hAnsi="Arial" w:cs="Arial"/>
                <w:sz w:val="22"/>
                <w:szCs w:val="22"/>
              </w:rPr>
              <w:t xml:space="preserve"> M</w:t>
            </w:r>
          </w:p>
        </w:tc>
        <w:tc>
          <w:tcPr>
            <w:tcW w:w="270" w:type="dxa"/>
            <w:tcBorders>
              <w:top w:val="nil"/>
              <w:left w:val="nil"/>
              <w:bottom w:val="nil"/>
              <w:right w:val="nil"/>
            </w:tcBorders>
          </w:tcPr>
          <w:p w14:paraId="3BE1FBBA" w14:textId="77777777" w:rsidR="0054474E" w:rsidRPr="005E4F9F" w:rsidRDefault="0054474E" w:rsidP="0054474E">
            <w:pPr>
              <w:jc w:val="right"/>
              <w:rPr>
                <w:rFonts w:ascii="Arial" w:hAnsi="Arial" w:cs="Arial"/>
                <w:sz w:val="22"/>
                <w:szCs w:val="22"/>
              </w:rPr>
            </w:pPr>
          </w:p>
        </w:tc>
        <w:tc>
          <w:tcPr>
            <w:tcW w:w="1170" w:type="dxa"/>
            <w:tcBorders>
              <w:top w:val="nil"/>
              <w:left w:val="nil"/>
              <w:bottom w:val="single" w:sz="2" w:space="0" w:color="auto"/>
              <w:right w:val="nil"/>
            </w:tcBorders>
            <w:tcMar>
              <w:top w:w="72" w:type="dxa"/>
              <w:bottom w:w="72" w:type="dxa"/>
            </w:tcMar>
          </w:tcPr>
          <w:p w14:paraId="6782E81C" w14:textId="27553354" w:rsidR="0054474E" w:rsidRPr="005E4F9F" w:rsidRDefault="0054474E" w:rsidP="0054474E">
            <w:pPr>
              <w:jc w:val="right"/>
              <w:rPr>
                <w:rFonts w:ascii="Arial" w:hAnsi="Arial" w:cs="Arial"/>
                <w:sz w:val="22"/>
                <w:szCs w:val="22"/>
              </w:rPr>
            </w:pPr>
            <w:r w:rsidRPr="005E4F9F">
              <w:rPr>
                <w:rFonts w:ascii="Arial" w:hAnsi="Arial" w:cs="Arial"/>
                <w:sz w:val="22"/>
                <w:szCs w:val="22"/>
              </w:rPr>
              <w:t>$</w:t>
            </w:r>
            <w:r w:rsidR="003D0A78" w:rsidRPr="005E4F9F">
              <w:rPr>
                <w:rFonts w:ascii="Arial" w:hAnsi="Arial" w:cs="Arial"/>
                <w:sz w:val="22"/>
                <w:szCs w:val="22"/>
              </w:rPr>
              <w:t>34.3</w:t>
            </w:r>
            <w:r w:rsidRPr="005E4F9F">
              <w:rPr>
                <w:rFonts w:ascii="Arial" w:hAnsi="Arial" w:cs="Arial"/>
                <w:sz w:val="22"/>
                <w:szCs w:val="22"/>
              </w:rPr>
              <w:t xml:space="preserve"> M </w:t>
            </w:r>
          </w:p>
        </w:tc>
        <w:tc>
          <w:tcPr>
            <w:tcW w:w="270" w:type="dxa"/>
            <w:tcBorders>
              <w:top w:val="nil"/>
              <w:left w:val="nil"/>
              <w:bottom w:val="nil"/>
              <w:right w:val="nil"/>
            </w:tcBorders>
          </w:tcPr>
          <w:p w14:paraId="240F5656" w14:textId="77777777" w:rsidR="0054474E" w:rsidRPr="005E4F9F" w:rsidRDefault="0054474E" w:rsidP="0054474E">
            <w:pPr>
              <w:jc w:val="right"/>
              <w:rPr>
                <w:rFonts w:ascii="Arial" w:hAnsi="Arial" w:cs="Arial"/>
                <w:sz w:val="22"/>
                <w:szCs w:val="22"/>
              </w:rPr>
            </w:pPr>
          </w:p>
        </w:tc>
        <w:tc>
          <w:tcPr>
            <w:tcW w:w="1350" w:type="dxa"/>
            <w:tcBorders>
              <w:top w:val="nil"/>
              <w:left w:val="nil"/>
              <w:bottom w:val="single" w:sz="2" w:space="0" w:color="auto"/>
              <w:right w:val="single" w:sz="2" w:space="0" w:color="FFFFFF" w:themeColor="background1"/>
            </w:tcBorders>
            <w:tcMar>
              <w:top w:w="72" w:type="dxa"/>
              <w:left w:w="115" w:type="dxa"/>
              <w:bottom w:w="72" w:type="dxa"/>
              <w:right w:w="115" w:type="dxa"/>
            </w:tcMar>
          </w:tcPr>
          <w:p w14:paraId="7B6FE4C0" w14:textId="46211A44" w:rsidR="0054474E" w:rsidRPr="005E4F9F" w:rsidRDefault="0054474E" w:rsidP="0054474E">
            <w:pPr>
              <w:jc w:val="right"/>
              <w:rPr>
                <w:rFonts w:ascii="Arial" w:hAnsi="Arial" w:cs="Arial"/>
                <w:sz w:val="22"/>
                <w:szCs w:val="22"/>
              </w:rPr>
            </w:pPr>
            <w:r w:rsidRPr="005E4F9F">
              <w:rPr>
                <w:rFonts w:ascii="Arial" w:hAnsi="Arial" w:cs="Arial"/>
                <w:sz w:val="22"/>
                <w:szCs w:val="22"/>
              </w:rPr>
              <w:t>$</w:t>
            </w:r>
            <w:r w:rsidR="001B6CB1" w:rsidRPr="005E4F9F">
              <w:rPr>
                <w:rFonts w:ascii="Arial" w:hAnsi="Arial" w:cs="Arial"/>
                <w:sz w:val="22"/>
                <w:szCs w:val="22"/>
              </w:rPr>
              <w:t>631.3</w:t>
            </w:r>
            <w:r w:rsidRPr="005E4F9F">
              <w:rPr>
                <w:rFonts w:ascii="Arial" w:hAnsi="Arial" w:cs="Arial"/>
                <w:sz w:val="22"/>
                <w:szCs w:val="22"/>
              </w:rPr>
              <w:t xml:space="preserve"> M</w:t>
            </w:r>
          </w:p>
        </w:tc>
      </w:tr>
      <w:tr w:rsidR="0054474E" w:rsidRPr="005E4F9F" w14:paraId="7F4A33E9" w14:textId="77777777" w:rsidTr="006260E3">
        <w:trPr>
          <w:cantSplit/>
        </w:trPr>
        <w:tc>
          <w:tcPr>
            <w:tcW w:w="3150" w:type="dxa"/>
            <w:tcBorders>
              <w:top w:val="nil"/>
              <w:left w:val="nil"/>
              <w:bottom w:val="single" w:sz="12" w:space="0" w:color="auto"/>
              <w:right w:val="nil"/>
            </w:tcBorders>
            <w:tcMar>
              <w:top w:w="72" w:type="dxa"/>
              <w:left w:w="115" w:type="dxa"/>
              <w:bottom w:w="72" w:type="dxa"/>
              <w:right w:w="115" w:type="dxa"/>
            </w:tcMar>
          </w:tcPr>
          <w:p w14:paraId="4CD2EDF2" w14:textId="77777777" w:rsidR="0054474E" w:rsidRPr="005E4F9F" w:rsidRDefault="0054474E" w:rsidP="0054474E">
            <w:pPr>
              <w:rPr>
                <w:rFonts w:ascii="Arial" w:hAnsi="Arial" w:cs="Arial"/>
                <w:b/>
                <w:sz w:val="22"/>
                <w:szCs w:val="22"/>
              </w:rPr>
            </w:pPr>
          </w:p>
        </w:tc>
        <w:tc>
          <w:tcPr>
            <w:tcW w:w="270" w:type="dxa"/>
            <w:tcBorders>
              <w:top w:val="nil"/>
              <w:left w:val="nil"/>
              <w:bottom w:val="single" w:sz="12" w:space="0" w:color="auto"/>
              <w:right w:val="nil"/>
            </w:tcBorders>
          </w:tcPr>
          <w:p w14:paraId="52FF2E96" w14:textId="77777777" w:rsidR="0054474E" w:rsidRPr="005E4F9F" w:rsidRDefault="0054474E" w:rsidP="0054474E">
            <w:pPr>
              <w:jc w:val="right"/>
              <w:rPr>
                <w:rFonts w:ascii="Arial" w:hAnsi="Arial" w:cs="Arial"/>
                <w:sz w:val="22"/>
                <w:szCs w:val="22"/>
              </w:rPr>
            </w:pPr>
          </w:p>
        </w:tc>
        <w:tc>
          <w:tcPr>
            <w:tcW w:w="1350" w:type="dxa"/>
            <w:tcBorders>
              <w:top w:val="single" w:sz="2" w:space="0" w:color="auto"/>
              <w:left w:val="nil"/>
              <w:bottom w:val="single" w:sz="12" w:space="0" w:color="auto"/>
              <w:right w:val="nil"/>
            </w:tcBorders>
          </w:tcPr>
          <w:p w14:paraId="22AB09E2" w14:textId="77777777" w:rsidR="0054474E" w:rsidRPr="005E4F9F" w:rsidRDefault="0054474E" w:rsidP="0054474E">
            <w:pPr>
              <w:jc w:val="right"/>
              <w:rPr>
                <w:rFonts w:ascii="Arial" w:hAnsi="Arial" w:cs="Arial"/>
                <w:b/>
                <w:sz w:val="22"/>
                <w:szCs w:val="22"/>
              </w:rPr>
            </w:pPr>
            <w:r w:rsidRPr="005E4F9F">
              <w:rPr>
                <w:rFonts w:ascii="Arial" w:hAnsi="Arial" w:cs="Arial"/>
                <w:b/>
                <w:sz w:val="22"/>
                <w:szCs w:val="22"/>
              </w:rPr>
              <w:t>TOTAL</w:t>
            </w:r>
          </w:p>
        </w:tc>
        <w:tc>
          <w:tcPr>
            <w:tcW w:w="270" w:type="dxa"/>
            <w:tcBorders>
              <w:top w:val="nil"/>
              <w:left w:val="nil"/>
              <w:bottom w:val="single" w:sz="12" w:space="0" w:color="auto"/>
              <w:right w:val="nil"/>
            </w:tcBorders>
          </w:tcPr>
          <w:p w14:paraId="16A6F154" w14:textId="77777777" w:rsidR="0054474E" w:rsidRPr="005E4F9F" w:rsidRDefault="0054474E" w:rsidP="0054474E">
            <w:pPr>
              <w:jc w:val="right"/>
              <w:rPr>
                <w:rFonts w:ascii="Arial" w:hAnsi="Arial" w:cs="Arial"/>
                <w:b/>
                <w:sz w:val="22"/>
                <w:szCs w:val="22"/>
              </w:rPr>
            </w:pPr>
          </w:p>
        </w:tc>
        <w:tc>
          <w:tcPr>
            <w:tcW w:w="1260" w:type="dxa"/>
            <w:tcBorders>
              <w:top w:val="single" w:sz="2" w:space="0" w:color="auto"/>
              <w:left w:val="nil"/>
              <w:bottom w:val="single" w:sz="12" w:space="0" w:color="auto"/>
              <w:right w:val="nil"/>
            </w:tcBorders>
            <w:tcMar>
              <w:top w:w="72" w:type="dxa"/>
              <w:bottom w:w="72" w:type="dxa"/>
            </w:tcMar>
          </w:tcPr>
          <w:p w14:paraId="1D84EF45" w14:textId="2DE006E3" w:rsidR="0054474E" w:rsidRPr="005E4F9F" w:rsidRDefault="0054474E" w:rsidP="0054474E">
            <w:pPr>
              <w:jc w:val="right"/>
              <w:rPr>
                <w:rFonts w:ascii="Arial" w:hAnsi="Arial" w:cs="Arial"/>
                <w:b/>
                <w:sz w:val="22"/>
                <w:szCs w:val="22"/>
              </w:rPr>
            </w:pPr>
            <w:r w:rsidRPr="005E4F9F">
              <w:rPr>
                <w:rFonts w:ascii="Arial" w:hAnsi="Arial" w:cs="Arial"/>
                <w:b/>
                <w:sz w:val="22"/>
                <w:szCs w:val="22"/>
              </w:rPr>
              <w:t>$</w:t>
            </w:r>
            <w:r w:rsidR="00681EC7" w:rsidRPr="005E4F9F">
              <w:rPr>
                <w:rFonts w:ascii="Arial" w:hAnsi="Arial" w:cs="Arial"/>
                <w:b/>
                <w:sz w:val="22"/>
                <w:szCs w:val="22"/>
              </w:rPr>
              <w:t>940.7</w:t>
            </w:r>
            <w:r w:rsidRPr="005E4F9F">
              <w:rPr>
                <w:rFonts w:ascii="Arial" w:hAnsi="Arial" w:cs="Arial"/>
                <w:b/>
                <w:sz w:val="22"/>
                <w:szCs w:val="22"/>
              </w:rPr>
              <w:t xml:space="preserve"> M</w:t>
            </w:r>
          </w:p>
        </w:tc>
        <w:tc>
          <w:tcPr>
            <w:tcW w:w="270" w:type="dxa"/>
            <w:tcBorders>
              <w:top w:val="nil"/>
              <w:left w:val="nil"/>
              <w:bottom w:val="single" w:sz="12" w:space="0" w:color="auto"/>
              <w:right w:val="nil"/>
            </w:tcBorders>
          </w:tcPr>
          <w:p w14:paraId="0FDBF60C" w14:textId="77777777" w:rsidR="0054474E" w:rsidRPr="005E4F9F" w:rsidRDefault="0054474E" w:rsidP="0054474E">
            <w:pPr>
              <w:jc w:val="right"/>
              <w:rPr>
                <w:rFonts w:ascii="Arial" w:hAnsi="Arial" w:cs="Arial"/>
                <w:b/>
                <w:sz w:val="22"/>
                <w:szCs w:val="22"/>
              </w:rPr>
            </w:pPr>
          </w:p>
        </w:tc>
        <w:tc>
          <w:tcPr>
            <w:tcW w:w="1170" w:type="dxa"/>
            <w:tcBorders>
              <w:top w:val="single" w:sz="2" w:space="0" w:color="auto"/>
              <w:left w:val="nil"/>
              <w:bottom w:val="single" w:sz="12" w:space="0" w:color="auto"/>
              <w:right w:val="single" w:sz="2" w:space="0" w:color="FFFFFF" w:themeColor="background1"/>
            </w:tcBorders>
            <w:tcMar>
              <w:top w:w="72" w:type="dxa"/>
              <w:bottom w:w="72" w:type="dxa"/>
            </w:tcMar>
          </w:tcPr>
          <w:p w14:paraId="047AE4E2" w14:textId="7152928A" w:rsidR="0054474E" w:rsidRPr="005E4F9F" w:rsidRDefault="0054474E" w:rsidP="0054474E">
            <w:pPr>
              <w:jc w:val="right"/>
              <w:rPr>
                <w:rFonts w:ascii="Arial" w:hAnsi="Arial" w:cs="Arial"/>
                <w:b/>
                <w:sz w:val="22"/>
                <w:szCs w:val="22"/>
              </w:rPr>
            </w:pPr>
            <w:r w:rsidRPr="005E4F9F">
              <w:rPr>
                <w:rFonts w:ascii="Arial" w:hAnsi="Arial" w:cs="Arial"/>
                <w:b/>
                <w:sz w:val="22"/>
                <w:szCs w:val="22"/>
              </w:rPr>
              <w:t>$</w:t>
            </w:r>
            <w:r w:rsidR="002A634D" w:rsidRPr="005E4F9F">
              <w:rPr>
                <w:rFonts w:ascii="Arial" w:hAnsi="Arial" w:cs="Arial"/>
                <w:b/>
                <w:sz w:val="22"/>
                <w:szCs w:val="22"/>
              </w:rPr>
              <w:t>109.1</w:t>
            </w:r>
            <w:r w:rsidRPr="005E4F9F">
              <w:rPr>
                <w:rFonts w:ascii="Arial" w:hAnsi="Arial" w:cs="Arial"/>
                <w:b/>
                <w:sz w:val="22"/>
                <w:szCs w:val="22"/>
              </w:rPr>
              <w:t xml:space="preserve"> M</w:t>
            </w:r>
          </w:p>
        </w:tc>
        <w:tc>
          <w:tcPr>
            <w:tcW w:w="270" w:type="dxa"/>
            <w:tcBorders>
              <w:top w:val="nil"/>
              <w:left w:val="single" w:sz="2" w:space="0" w:color="FFFFFF" w:themeColor="background1"/>
              <w:bottom w:val="single" w:sz="12" w:space="0" w:color="auto"/>
              <w:right w:val="single" w:sz="2" w:space="0" w:color="FFFFFF" w:themeColor="background1"/>
            </w:tcBorders>
          </w:tcPr>
          <w:p w14:paraId="79AB6041" w14:textId="77777777" w:rsidR="0054474E" w:rsidRPr="005E4F9F" w:rsidRDefault="0054474E" w:rsidP="0054474E">
            <w:pPr>
              <w:jc w:val="right"/>
              <w:rPr>
                <w:rFonts w:ascii="Arial" w:hAnsi="Arial" w:cs="Arial"/>
                <w:b/>
                <w:sz w:val="22"/>
                <w:szCs w:val="22"/>
              </w:rPr>
            </w:pPr>
          </w:p>
        </w:tc>
        <w:tc>
          <w:tcPr>
            <w:tcW w:w="1350" w:type="dxa"/>
            <w:tcBorders>
              <w:top w:val="single" w:sz="2"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3E98999F" w14:textId="215845C4" w:rsidR="0054474E" w:rsidRPr="005E4F9F" w:rsidRDefault="0054474E" w:rsidP="0054474E">
            <w:pPr>
              <w:jc w:val="right"/>
              <w:rPr>
                <w:rFonts w:ascii="Arial" w:hAnsi="Arial" w:cs="Arial"/>
                <w:b/>
                <w:sz w:val="22"/>
                <w:szCs w:val="22"/>
              </w:rPr>
            </w:pPr>
            <w:r w:rsidRPr="005E4F9F">
              <w:rPr>
                <w:rFonts w:ascii="Arial" w:hAnsi="Arial" w:cs="Arial"/>
                <w:b/>
                <w:sz w:val="22"/>
                <w:szCs w:val="22"/>
              </w:rPr>
              <w:t>$</w:t>
            </w:r>
            <w:r w:rsidR="002A634D" w:rsidRPr="005E4F9F">
              <w:rPr>
                <w:rFonts w:ascii="Arial" w:hAnsi="Arial" w:cs="Arial"/>
                <w:b/>
                <w:sz w:val="22"/>
                <w:szCs w:val="22"/>
              </w:rPr>
              <w:t>1</w:t>
            </w:r>
            <w:r w:rsidR="006260E3">
              <w:rPr>
                <w:rFonts w:ascii="Arial" w:hAnsi="Arial" w:cs="Arial"/>
                <w:b/>
                <w:sz w:val="22"/>
                <w:szCs w:val="22"/>
              </w:rPr>
              <w:t>,</w:t>
            </w:r>
            <w:r w:rsidR="002A634D" w:rsidRPr="005E4F9F">
              <w:rPr>
                <w:rFonts w:ascii="Arial" w:hAnsi="Arial" w:cs="Arial"/>
                <w:b/>
                <w:sz w:val="22"/>
                <w:szCs w:val="22"/>
              </w:rPr>
              <w:t>049.5</w:t>
            </w:r>
            <w:r w:rsidRPr="005E4F9F">
              <w:rPr>
                <w:rFonts w:ascii="Arial" w:hAnsi="Arial" w:cs="Arial"/>
                <w:b/>
                <w:sz w:val="22"/>
                <w:szCs w:val="22"/>
              </w:rPr>
              <w:t xml:space="preserve"> M</w:t>
            </w:r>
          </w:p>
        </w:tc>
      </w:tr>
    </w:tbl>
    <w:p w14:paraId="5CB678F7" w14:textId="77777777" w:rsidR="003D1ED3" w:rsidRDefault="003D1ED3" w:rsidP="003D1ED3">
      <w:pPr>
        <w:spacing w:line="264" w:lineRule="auto"/>
        <w:jc w:val="both"/>
        <w:rPr>
          <w:rFonts w:ascii="Arial" w:hAnsi="Arial" w:cs="Arial"/>
          <w:szCs w:val="24"/>
        </w:rPr>
      </w:pPr>
    </w:p>
    <w:p w14:paraId="103EBE40" w14:textId="77777777" w:rsidR="007654DD" w:rsidRPr="004B4BF3" w:rsidRDefault="007654DD" w:rsidP="007654DD">
      <w:pPr>
        <w:spacing w:line="264" w:lineRule="auto"/>
        <w:jc w:val="both"/>
        <w:rPr>
          <w:rFonts w:ascii="Arial" w:hAnsi="Arial" w:cs="Arial"/>
          <w:bCs/>
          <w:szCs w:val="24"/>
        </w:rPr>
      </w:pPr>
      <w:r>
        <w:rPr>
          <w:rFonts w:ascii="Arial" w:hAnsi="Arial" w:cs="Arial"/>
          <w:bCs/>
          <w:szCs w:val="24"/>
        </w:rPr>
        <w:t>The appropriations supported county operational expenses related to the COVID-19 pandemic, expenses</w:t>
      </w:r>
      <w:r w:rsidRPr="006707CA">
        <w:rPr>
          <w:rFonts w:ascii="Arial" w:hAnsi="Arial" w:cs="Arial"/>
          <w:bCs/>
          <w:szCs w:val="24"/>
        </w:rPr>
        <w:t xml:space="preserve"> related to Isolation/Quarantine, Assessment and Recovery, and Shelter De-Intensification sites</w:t>
      </w:r>
      <w:r>
        <w:rPr>
          <w:rFonts w:ascii="Arial" w:hAnsi="Arial" w:cs="Arial"/>
          <w:bCs/>
          <w:szCs w:val="24"/>
        </w:rPr>
        <w:t xml:space="preserve">, expenses for contact tracing, testing and care coordination led by Public Health, support to cities, and </w:t>
      </w:r>
      <w:r w:rsidRPr="000421CC">
        <w:rPr>
          <w:rFonts w:ascii="Arial" w:hAnsi="Arial" w:cs="Arial"/>
          <w:bCs/>
          <w:szCs w:val="24"/>
        </w:rPr>
        <w:t xml:space="preserve">various grant programs </w:t>
      </w:r>
      <w:r>
        <w:rPr>
          <w:rFonts w:ascii="Arial" w:hAnsi="Arial" w:cs="Arial"/>
          <w:bCs/>
          <w:szCs w:val="24"/>
        </w:rPr>
        <w:t xml:space="preserve">to provide community support and economic recovery to </w:t>
      </w:r>
      <w:r w:rsidRPr="000421CC">
        <w:rPr>
          <w:rFonts w:ascii="Arial" w:hAnsi="Arial" w:cs="Arial"/>
          <w:bCs/>
          <w:szCs w:val="24"/>
        </w:rPr>
        <w:t>small businesses, arts and culture organizations, and individuals in need of housing, food, and health assistance</w:t>
      </w:r>
      <w:r>
        <w:rPr>
          <w:rFonts w:ascii="Arial" w:hAnsi="Arial" w:cs="Arial"/>
          <w:bCs/>
          <w:szCs w:val="24"/>
        </w:rPr>
        <w:t>.</w:t>
      </w:r>
    </w:p>
    <w:p w14:paraId="7A1B9C0E" w14:textId="77777777" w:rsidR="007654DD" w:rsidRDefault="007654DD" w:rsidP="00545038">
      <w:pPr>
        <w:spacing w:line="264" w:lineRule="auto"/>
        <w:jc w:val="both"/>
        <w:rPr>
          <w:rFonts w:ascii="Arial" w:hAnsi="Arial" w:cs="Arial"/>
          <w:szCs w:val="24"/>
        </w:rPr>
      </w:pPr>
    </w:p>
    <w:p w14:paraId="28C27CFC" w14:textId="77777777" w:rsidR="0046663C" w:rsidRDefault="009E5D87" w:rsidP="0046663C">
      <w:pPr>
        <w:spacing w:line="264" w:lineRule="auto"/>
        <w:jc w:val="both"/>
        <w:rPr>
          <w:rFonts w:ascii="Arial" w:hAnsi="Arial" w:cs="Arial"/>
          <w:szCs w:val="24"/>
        </w:rPr>
      </w:pPr>
      <w:r>
        <w:rPr>
          <w:rFonts w:ascii="Arial" w:hAnsi="Arial" w:cs="Arial"/>
          <w:szCs w:val="24"/>
        </w:rPr>
        <w:t>T</w:t>
      </w:r>
      <w:r w:rsidR="00C93FEF">
        <w:rPr>
          <w:rFonts w:ascii="Arial" w:hAnsi="Arial" w:cs="Arial"/>
          <w:szCs w:val="24"/>
        </w:rPr>
        <w:t xml:space="preserve">he </w:t>
      </w:r>
      <w:r w:rsidR="0046663C">
        <w:rPr>
          <w:rFonts w:ascii="Arial" w:hAnsi="Arial" w:cs="Arial"/>
          <w:szCs w:val="24"/>
        </w:rPr>
        <w:t xml:space="preserve">first seven </w:t>
      </w:r>
      <w:r w:rsidR="00C93FEF">
        <w:rPr>
          <w:rFonts w:ascii="Arial" w:hAnsi="Arial" w:cs="Arial"/>
          <w:szCs w:val="24"/>
        </w:rPr>
        <w:t>appropriation</w:t>
      </w:r>
      <w:r w:rsidR="0046663C">
        <w:rPr>
          <w:rFonts w:ascii="Arial" w:hAnsi="Arial" w:cs="Arial"/>
          <w:szCs w:val="24"/>
        </w:rPr>
        <w:t xml:space="preserve"> ordinances</w:t>
      </w:r>
      <w:r w:rsidR="00C93FEF">
        <w:rPr>
          <w:rFonts w:ascii="Arial" w:hAnsi="Arial" w:cs="Arial"/>
          <w:szCs w:val="24"/>
        </w:rPr>
        <w:t xml:space="preserve"> </w:t>
      </w:r>
      <w:r w:rsidR="00D050D4">
        <w:rPr>
          <w:rFonts w:ascii="Arial" w:hAnsi="Arial" w:cs="Arial"/>
          <w:szCs w:val="24"/>
        </w:rPr>
        <w:t xml:space="preserve">were </w:t>
      </w:r>
      <w:r w:rsidR="0046663C">
        <w:rPr>
          <w:rFonts w:ascii="Arial" w:hAnsi="Arial" w:cs="Arial"/>
          <w:szCs w:val="24"/>
        </w:rPr>
        <w:t xml:space="preserve">primarily </w:t>
      </w:r>
      <w:r w:rsidR="006078C5">
        <w:rPr>
          <w:rFonts w:ascii="Arial" w:hAnsi="Arial" w:cs="Arial"/>
          <w:szCs w:val="24"/>
        </w:rPr>
        <w:t>funded</w:t>
      </w:r>
      <w:r w:rsidR="00D050D4">
        <w:rPr>
          <w:rFonts w:ascii="Arial" w:hAnsi="Arial" w:cs="Arial"/>
          <w:szCs w:val="24"/>
        </w:rPr>
        <w:t xml:space="preserve"> </w:t>
      </w:r>
      <w:r w:rsidR="00C93FEF">
        <w:rPr>
          <w:rFonts w:ascii="Arial" w:hAnsi="Arial" w:cs="Arial"/>
          <w:szCs w:val="24"/>
        </w:rPr>
        <w:t xml:space="preserve">by various </w:t>
      </w:r>
      <w:r w:rsidR="00DA1AF5" w:rsidRPr="00AF1A9F">
        <w:rPr>
          <w:rFonts w:ascii="Arial" w:hAnsi="Arial" w:cs="Arial"/>
          <w:bCs/>
          <w:szCs w:val="24"/>
        </w:rPr>
        <w:t xml:space="preserve">Coronavirus Aid, Relief, and Economic Security Act of 2020 </w:t>
      </w:r>
      <w:r w:rsidR="00DA1AF5">
        <w:rPr>
          <w:rFonts w:ascii="Arial" w:hAnsi="Arial" w:cs="Arial"/>
          <w:bCs/>
          <w:szCs w:val="24"/>
        </w:rPr>
        <w:t>(</w:t>
      </w:r>
      <w:r w:rsidR="00C93FEF">
        <w:rPr>
          <w:rFonts w:ascii="Arial" w:hAnsi="Arial" w:cs="Arial"/>
          <w:szCs w:val="24"/>
        </w:rPr>
        <w:t xml:space="preserve">CARES </w:t>
      </w:r>
      <w:r w:rsidR="00C93FEF" w:rsidRPr="00C93FEF">
        <w:rPr>
          <w:rFonts w:ascii="Arial" w:hAnsi="Arial" w:cs="Arial"/>
          <w:szCs w:val="24"/>
        </w:rPr>
        <w:t>Act</w:t>
      </w:r>
      <w:r w:rsidR="00DA1AF5">
        <w:rPr>
          <w:rFonts w:ascii="Arial" w:hAnsi="Arial" w:cs="Arial"/>
          <w:szCs w:val="24"/>
        </w:rPr>
        <w:t>)</w:t>
      </w:r>
      <w:r w:rsidR="00DD1663">
        <w:rPr>
          <w:rStyle w:val="FootnoteReference"/>
          <w:rFonts w:ascii="Arial" w:hAnsi="Arial" w:cs="Arial"/>
          <w:szCs w:val="24"/>
        </w:rPr>
        <w:footnoteReference w:id="2"/>
      </w:r>
      <w:r w:rsidR="00C93FEF" w:rsidRPr="00C93FEF">
        <w:rPr>
          <w:rFonts w:ascii="Arial" w:hAnsi="Arial" w:cs="Arial"/>
          <w:szCs w:val="24"/>
        </w:rPr>
        <w:t xml:space="preserve"> </w:t>
      </w:r>
      <w:r w:rsidR="00E43D5A">
        <w:rPr>
          <w:rFonts w:ascii="Arial" w:hAnsi="Arial" w:cs="Arial"/>
          <w:szCs w:val="24"/>
        </w:rPr>
        <w:t>grants</w:t>
      </w:r>
      <w:r w:rsidR="00C93FEF">
        <w:rPr>
          <w:rFonts w:ascii="Arial" w:hAnsi="Arial" w:cs="Arial"/>
          <w:szCs w:val="24"/>
        </w:rPr>
        <w:t xml:space="preserve"> such as the</w:t>
      </w:r>
      <w:r w:rsidR="00C93FEF" w:rsidRPr="00C93FEF">
        <w:rPr>
          <w:rFonts w:ascii="Arial" w:hAnsi="Arial" w:cs="Arial"/>
          <w:szCs w:val="24"/>
        </w:rPr>
        <w:t xml:space="preserve"> </w:t>
      </w:r>
      <w:r w:rsidR="00874980" w:rsidRPr="00874980">
        <w:rPr>
          <w:rFonts w:ascii="Arial" w:hAnsi="Arial" w:cs="Arial"/>
          <w:szCs w:val="24"/>
        </w:rPr>
        <w:t xml:space="preserve">Federal Emergency Management Agency </w:t>
      </w:r>
      <w:r w:rsidR="00874980">
        <w:rPr>
          <w:rFonts w:ascii="Arial" w:hAnsi="Arial" w:cs="Arial"/>
          <w:szCs w:val="24"/>
        </w:rPr>
        <w:t>(</w:t>
      </w:r>
      <w:r w:rsidR="00C93FEF" w:rsidRPr="00C93FEF">
        <w:rPr>
          <w:rFonts w:ascii="Arial" w:hAnsi="Arial" w:cs="Arial"/>
          <w:szCs w:val="24"/>
        </w:rPr>
        <w:t>FEMA</w:t>
      </w:r>
      <w:r w:rsidR="00874980">
        <w:rPr>
          <w:rFonts w:ascii="Arial" w:hAnsi="Arial" w:cs="Arial"/>
          <w:szCs w:val="24"/>
        </w:rPr>
        <w:t>)</w:t>
      </w:r>
      <w:r w:rsidR="00C93FEF" w:rsidRPr="00C93FEF">
        <w:rPr>
          <w:rFonts w:ascii="Arial" w:hAnsi="Arial" w:cs="Arial"/>
          <w:szCs w:val="24"/>
        </w:rPr>
        <w:t xml:space="preserve"> disaster relief funding and the Treasury Department's Coronavirus Relief Fund </w:t>
      </w:r>
      <w:r w:rsidR="002B779C">
        <w:rPr>
          <w:rFonts w:ascii="Arial" w:hAnsi="Arial" w:cs="Arial"/>
          <w:szCs w:val="24"/>
        </w:rPr>
        <w:t>(CRF)</w:t>
      </w:r>
      <w:r w:rsidR="00650242">
        <w:rPr>
          <w:rFonts w:ascii="Arial" w:hAnsi="Arial" w:cs="Arial"/>
          <w:szCs w:val="24"/>
        </w:rPr>
        <w:t>,</w:t>
      </w:r>
      <w:r w:rsidR="002B779C">
        <w:rPr>
          <w:rFonts w:ascii="Arial" w:hAnsi="Arial" w:cs="Arial"/>
          <w:szCs w:val="24"/>
        </w:rPr>
        <w:t xml:space="preserve"> </w:t>
      </w:r>
      <w:r w:rsidR="006078C5">
        <w:rPr>
          <w:rFonts w:ascii="Arial" w:hAnsi="Arial" w:cs="Arial"/>
          <w:szCs w:val="24"/>
        </w:rPr>
        <w:t xml:space="preserve">which provided a direct allocation to the county of $263 million. </w:t>
      </w:r>
      <w:r w:rsidR="00365DC0">
        <w:rPr>
          <w:rFonts w:ascii="Arial" w:hAnsi="Arial" w:cs="Arial"/>
          <w:szCs w:val="24"/>
        </w:rPr>
        <w:t xml:space="preserve">The appropriations were also </w:t>
      </w:r>
      <w:r w:rsidR="00A05089">
        <w:rPr>
          <w:rFonts w:ascii="Arial" w:hAnsi="Arial" w:cs="Arial"/>
          <w:szCs w:val="24"/>
        </w:rPr>
        <w:t>funded by the</w:t>
      </w:r>
      <w:bookmarkStart w:id="0" w:name="_Hlk68690321"/>
      <w:r w:rsidR="00813E31">
        <w:rPr>
          <w:rFonts w:ascii="Arial" w:hAnsi="Arial" w:cs="Arial"/>
          <w:szCs w:val="24"/>
        </w:rPr>
        <w:t xml:space="preserve"> Coronavirus </w:t>
      </w:r>
      <w:r w:rsidR="00813E31">
        <w:rPr>
          <w:rFonts w:ascii="Arial" w:hAnsi="Arial" w:cs="Arial"/>
          <w:szCs w:val="24"/>
        </w:rPr>
        <w:lastRenderedPageBreak/>
        <w:t>Response and Relief Supplemental Appropriations Act (CRRS</w:t>
      </w:r>
      <w:r w:rsidR="00766942">
        <w:rPr>
          <w:rFonts w:ascii="Arial" w:hAnsi="Arial" w:cs="Arial"/>
          <w:szCs w:val="24"/>
        </w:rPr>
        <w:t>A</w:t>
      </w:r>
      <w:r w:rsidR="00813E31">
        <w:rPr>
          <w:rFonts w:ascii="Arial" w:hAnsi="Arial" w:cs="Arial"/>
          <w:szCs w:val="24"/>
        </w:rPr>
        <w:t xml:space="preserve">A) </w:t>
      </w:r>
      <w:r w:rsidR="00766942">
        <w:rPr>
          <w:rFonts w:ascii="Arial" w:hAnsi="Arial" w:cs="Arial"/>
          <w:szCs w:val="24"/>
        </w:rPr>
        <w:t>included in</w:t>
      </w:r>
      <w:r w:rsidR="00813E31">
        <w:rPr>
          <w:rFonts w:ascii="Arial" w:hAnsi="Arial" w:cs="Arial"/>
          <w:szCs w:val="24"/>
        </w:rPr>
        <w:t xml:space="preserve"> the </w:t>
      </w:r>
      <w:r w:rsidR="00DA19DB">
        <w:rPr>
          <w:rFonts w:ascii="Arial" w:hAnsi="Arial" w:cs="Arial"/>
          <w:bCs/>
          <w:szCs w:val="24"/>
        </w:rPr>
        <w:t xml:space="preserve">2021 </w:t>
      </w:r>
      <w:r w:rsidR="00DA19DB" w:rsidRPr="00D057C4">
        <w:rPr>
          <w:rFonts w:ascii="Arial" w:hAnsi="Arial" w:cs="Arial"/>
          <w:bCs/>
          <w:szCs w:val="24"/>
        </w:rPr>
        <w:t>Consolidated</w:t>
      </w:r>
      <w:r w:rsidR="002B779C">
        <w:rPr>
          <w:rFonts w:ascii="Arial" w:hAnsi="Arial" w:cs="Arial"/>
          <w:bCs/>
          <w:szCs w:val="24"/>
        </w:rPr>
        <w:t xml:space="preserve"> </w:t>
      </w:r>
      <w:r w:rsidR="00DA19DB" w:rsidRPr="00D057C4">
        <w:rPr>
          <w:rFonts w:ascii="Arial" w:hAnsi="Arial" w:cs="Arial"/>
          <w:bCs/>
          <w:szCs w:val="24"/>
        </w:rPr>
        <w:t>Appropriations Act</w:t>
      </w:r>
      <w:bookmarkEnd w:id="0"/>
      <w:r w:rsidR="006078C5">
        <w:rPr>
          <w:rFonts w:ascii="Arial" w:hAnsi="Arial" w:cs="Arial"/>
          <w:bCs/>
          <w:szCs w:val="24"/>
        </w:rPr>
        <w:t xml:space="preserve"> </w:t>
      </w:r>
      <w:r w:rsidR="00650242">
        <w:rPr>
          <w:rFonts w:ascii="Arial" w:hAnsi="Arial" w:cs="Arial"/>
          <w:bCs/>
          <w:szCs w:val="24"/>
        </w:rPr>
        <w:t xml:space="preserve">that </w:t>
      </w:r>
      <w:r w:rsidR="00DA19DB" w:rsidRPr="00AF1A9F">
        <w:rPr>
          <w:rFonts w:ascii="Arial" w:hAnsi="Arial" w:cs="Arial"/>
          <w:bCs/>
          <w:szCs w:val="24"/>
        </w:rPr>
        <w:t>supplement</w:t>
      </w:r>
      <w:r w:rsidR="00DA19DB">
        <w:rPr>
          <w:rFonts w:ascii="Arial" w:hAnsi="Arial" w:cs="Arial"/>
          <w:bCs/>
          <w:szCs w:val="24"/>
        </w:rPr>
        <w:t>ed</w:t>
      </w:r>
      <w:r w:rsidR="00DA19DB" w:rsidRPr="00AF1A9F">
        <w:rPr>
          <w:rFonts w:ascii="Arial" w:hAnsi="Arial" w:cs="Arial"/>
          <w:bCs/>
          <w:szCs w:val="24"/>
        </w:rPr>
        <w:t xml:space="preserve"> the CARES Act by providing approximately $900 billion in additional federal aid</w:t>
      </w:r>
      <w:r w:rsidR="00DA19DB">
        <w:rPr>
          <w:rFonts w:ascii="Arial" w:hAnsi="Arial" w:cs="Arial"/>
          <w:bCs/>
          <w:szCs w:val="24"/>
        </w:rPr>
        <w:t>.</w:t>
      </w:r>
      <w:r w:rsidR="006078C5">
        <w:rPr>
          <w:rStyle w:val="FootnoteReference"/>
          <w:rFonts w:ascii="Arial" w:hAnsi="Arial" w:cs="Arial"/>
          <w:bCs/>
          <w:szCs w:val="24"/>
        </w:rPr>
        <w:footnoteReference w:id="3"/>
      </w:r>
      <w:r w:rsidR="006078C5">
        <w:rPr>
          <w:rFonts w:ascii="Arial" w:hAnsi="Arial" w:cs="Arial"/>
          <w:bCs/>
          <w:szCs w:val="24"/>
        </w:rPr>
        <w:t xml:space="preserve"> </w:t>
      </w:r>
      <w:r w:rsidR="00365B91">
        <w:rPr>
          <w:rFonts w:ascii="Arial" w:hAnsi="Arial" w:cs="Arial"/>
          <w:bCs/>
          <w:szCs w:val="24"/>
        </w:rPr>
        <w:t xml:space="preserve">Notable for the county, the </w:t>
      </w:r>
      <w:r w:rsidR="006078C5">
        <w:rPr>
          <w:rFonts w:ascii="Arial" w:hAnsi="Arial" w:cs="Arial"/>
          <w:bCs/>
          <w:szCs w:val="24"/>
        </w:rPr>
        <w:t>C</w:t>
      </w:r>
      <w:r w:rsidR="00813E31">
        <w:rPr>
          <w:rFonts w:ascii="Arial" w:hAnsi="Arial" w:cs="Arial"/>
          <w:bCs/>
          <w:szCs w:val="24"/>
        </w:rPr>
        <w:t>RSS</w:t>
      </w:r>
      <w:r w:rsidR="00766942">
        <w:rPr>
          <w:rFonts w:ascii="Arial" w:hAnsi="Arial" w:cs="Arial"/>
          <w:bCs/>
          <w:szCs w:val="24"/>
        </w:rPr>
        <w:t>A</w:t>
      </w:r>
      <w:r w:rsidR="00813E31">
        <w:rPr>
          <w:rFonts w:ascii="Arial" w:hAnsi="Arial" w:cs="Arial"/>
          <w:bCs/>
          <w:szCs w:val="24"/>
        </w:rPr>
        <w:t>A</w:t>
      </w:r>
      <w:r w:rsidR="00365B91">
        <w:rPr>
          <w:rFonts w:ascii="Arial" w:hAnsi="Arial" w:cs="Arial"/>
          <w:bCs/>
          <w:szCs w:val="24"/>
        </w:rPr>
        <w:t xml:space="preserve"> provided the </w:t>
      </w:r>
      <w:r w:rsidR="002B779C">
        <w:rPr>
          <w:rFonts w:ascii="Arial" w:hAnsi="Arial" w:cs="Arial"/>
          <w:bCs/>
          <w:szCs w:val="24"/>
        </w:rPr>
        <w:t>county $</w:t>
      </w:r>
      <w:r w:rsidR="00365B91">
        <w:rPr>
          <w:rFonts w:ascii="Arial" w:hAnsi="Arial" w:cs="Arial"/>
          <w:bCs/>
          <w:szCs w:val="24"/>
        </w:rPr>
        <w:t>45 million of</w:t>
      </w:r>
      <w:r w:rsidR="006078C5">
        <w:rPr>
          <w:rFonts w:ascii="Arial" w:hAnsi="Arial" w:cs="Arial"/>
          <w:bCs/>
          <w:szCs w:val="24"/>
        </w:rPr>
        <w:t xml:space="preserve"> </w:t>
      </w:r>
      <w:r w:rsidR="00365B91">
        <w:rPr>
          <w:rFonts w:ascii="Arial" w:hAnsi="Arial" w:cs="Arial"/>
          <w:bCs/>
          <w:szCs w:val="24"/>
        </w:rPr>
        <w:t>Department of Treasury grants to support emergency rental assistance and it also extended the</w:t>
      </w:r>
      <w:r w:rsidR="00365B91" w:rsidRPr="00325CA0">
        <w:rPr>
          <w:rFonts w:ascii="Arial" w:hAnsi="Arial" w:cs="Arial"/>
          <w:bCs/>
          <w:szCs w:val="24"/>
        </w:rPr>
        <w:t xml:space="preserve"> deadline to spend </w:t>
      </w:r>
      <w:r w:rsidR="00365B91">
        <w:rPr>
          <w:rFonts w:ascii="Arial" w:hAnsi="Arial" w:cs="Arial"/>
          <w:bCs/>
          <w:szCs w:val="24"/>
        </w:rPr>
        <w:t xml:space="preserve">the </w:t>
      </w:r>
      <w:r w:rsidR="006078C5">
        <w:rPr>
          <w:rFonts w:ascii="Arial" w:hAnsi="Arial" w:cs="Arial"/>
          <w:bCs/>
          <w:szCs w:val="24"/>
        </w:rPr>
        <w:t xml:space="preserve">CARES Act’s </w:t>
      </w:r>
      <w:r w:rsidR="002B779C">
        <w:rPr>
          <w:rFonts w:ascii="Arial" w:hAnsi="Arial" w:cs="Arial"/>
          <w:bCs/>
          <w:szCs w:val="24"/>
        </w:rPr>
        <w:t>CRF</w:t>
      </w:r>
      <w:r w:rsidR="00365B91">
        <w:rPr>
          <w:rFonts w:ascii="Arial" w:hAnsi="Arial" w:cs="Arial"/>
          <w:bCs/>
          <w:szCs w:val="24"/>
        </w:rPr>
        <w:t xml:space="preserve"> moneys to December 31, 2021.</w:t>
      </w:r>
      <w:r w:rsidR="006078C5" w:rsidRPr="006078C5">
        <w:rPr>
          <w:rFonts w:ascii="Arial" w:hAnsi="Arial" w:cs="Arial"/>
          <w:szCs w:val="24"/>
        </w:rPr>
        <w:t xml:space="preserve"> </w:t>
      </w:r>
      <w:r w:rsidR="0046663C">
        <w:rPr>
          <w:rFonts w:ascii="Arial" w:hAnsi="Arial" w:cs="Arial"/>
          <w:szCs w:val="24"/>
        </w:rPr>
        <w:t>Lastly, the appropriations were also funded by other county revenue sources for those expenditures that were not eligible for CARES Act funding.</w:t>
      </w:r>
    </w:p>
    <w:p w14:paraId="291F9A3C" w14:textId="37B934DB" w:rsidR="00DD5647" w:rsidRDefault="00DD5647" w:rsidP="00813E31">
      <w:pPr>
        <w:spacing w:line="264" w:lineRule="auto"/>
        <w:jc w:val="both"/>
        <w:rPr>
          <w:rFonts w:ascii="Arial" w:hAnsi="Arial" w:cs="Arial"/>
          <w:szCs w:val="24"/>
        </w:rPr>
      </w:pPr>
    </w:p>
    <w:p w14:paraId="572D83C8" w14:textId="7493DD14" w:rsidR="00DD5647" w:rsidRDefault="0052000F" w:rsidP="00EC0911">
      <w:pPr>
        <w:spacing w:line="264" w:lineRule="auto"/>
        <w:jc w:val="both"/>
        <w:rPr>
          <w:rFonts w:ascii="Arial" w:hAnsi="Arial" w:cs="Arial"/>
        </w:rPr>
      </w:pPr>
      <w:r w:rsidRPr="00EC0911">
        <w:rPr>
          <w:rFonts w:ascii="Arial" w:hAnsi="Arial" w:cs="Arial"/>
          <w:i/>
          <w:iCs/>
          <w:szCs w:val="24"/>
        </w:rPr>
        <w:t>COVID 7</w:t>
      </w:r>
      <w:r w:rsidR="00EC0911" w:rsidRPr="00EC0911">
        <w:rPr>
          <w:rFonts w:ascii="Arial" w:hAnsi="Arial" w:cs="Arial"/>
          <w:i/>
          <w:iCs/>
          <w:szCs w:val="24"/>
        </w:rPr>
        <w:t xml:space="preserve"> </w:t>
      </w:r>
      <w:r w:rsidR="00EC0911">
        <w:rPr>
          <w:rFonts w:ascii="Arial" w:hAnsi="Arial" w:cs="Arial"/>
          <w:i/>
          <w:iCs/>
          <w:szCs w:val="24"/>
        </w:rPr>
        <w:t>and</w:t>
      </w:r>
      <w:r w:rsidR="00EC0911" w:rsidRPr="00EC0911">
        <w:rPr>
          <w:rFonts w:ascii="Arial" w:hAnsi="Arial" w:cs="Arial"/>
          <w:i/>
          <w:iCs/>
          <w:szCs w:val="24"/>
        </w:rPr>
        <w:t xml:space="preserve"> </w:t>
      </w:r>
      <w:r w:rsidR="00EC0911" w:rsidRPr="00EC0911">
        <w:rPr>
          <w:rFonts w:ascii="Arial" w:hAnsi="Arial" w:cs="Arial"/>
          <w:i/>
          <w:iCs/>
        </w:rPr>
        <w:t>American Rescue Plan Act of 2021.</w:t>
      </w:r>
      <w:r w:rsidR="00EC0911">
        <w:rPr>
          <w:rFonts w:ascii="Arial" w:hAnsi="Arial" w:cs="Arial"/>
          <w:b/>
          <w:bCs/>
        </w:rPr>
        <w:t xml:space="preserve">  </w:t>
      </w:r>
      <w:r w:rsidR="00321174">
        <w:rPr>
          <w:rFonts w:ascii="Arial" w:hAnsi="Arial" w:cs="Arial"/>
          <w:szCs w:val="24"/>
        </w:rPr>
        <w:t>The</w:t>
      </w:r>
      <w:r w:rsidR="0046663C">
        <w:rPr>
          <w:rFonts w:ascii="Arial" w:hAnsi="Arial" w:cs="Arial"/>
          <w:szCs w:val="24"/>
        </w:rPr>
        <w:t xml:space="preserve"> COVID 7 supplemental appropriations ordinance, </w:t>
      </w:r>
      <w:r w:rsidR="00426BFF">
        <w:rPr>
          <w:rFonts w:ascii="Arial" w:hAnsi="Arial" w:cs="Arial"/>
          <w:szCs w:val="24"/>
        </w:rPr>
        <w:t xml:space="preserve">adopted on May 25, 2021, </w:t>
      </w:r>
      <w:r w:rsidR="00321174">
        <w:rPr>
          <w:rFonts w:ascii="Arial" w:hAnsi="Arial" w:cs="Arial"/>
          <w:szCs w:val="24"/>
        </w:rPr>
        <w:t xml:space="preserve">is the largest </w:t>
      </w:r>
      <w:r w:rsidR="002379B7">
        <w:rPr>
          <w:rFonts w:ascii="Arial" w:hAnsi="Arial" w:cs="Arial"/>
          <w:szCs w:val="24"/>
        </w:rPr>
        <w:t xml:space="preserve">COVID-19 </w:t>
      </w:r>
      <w:r w:rsidR="00321174">
        <w:rPr>
          <w:rFonts w:ascii="Arial" w:hAnsi="Arial" w:cs="Arial"/>
          <w:szCs w:val="24"/>
        </w:rPr>
        <w:t>supplemental appropriations ordinan</w:t>
      </w:r>
      <w:r w:rsidR="00A029C4">
        <w:rPr>
          <w:rFonts w:ascii="Arial" w:hAnsi="Arial" w:cs="Arial"/>
          <w:szCs w:val="24"/>
        </w:rPr>
        <w:t xml:space="preserve">ce adopted to-date. </w:t>
      </w:r>
      <w:r w:rsidR="002355E9">
        <w:rPr>
          <w:rFonts w:ascii="Arial" w:hAnsi="Arial" w:cs="Arial"/>
          <w:szCs w:val="24"/>
        </w:rPr>
        <w:t xml:space="preserve">Of the $631 million appropriated, </w:t>
      </w:r>
      <w:r w:rsidR="00CD6F72">
        <w:rPr>
          <w:rFonts w:ascii="Arial" w:hAnsi="Arial" w:cs="Arial"/>
          <w:szCs w:val="24"/>
        </w:rPr>
        <w:t xml:space="preserve">$367 million of the </w:t>
      </w:r>
      <w:r w:rsidR="00A029C4">
        <w:rPr>
          <w:rFonts w:ascii="Arial" w:hAnsi="Arial" w:cs="Arial"/>
          <w:szCs w:val="24"/>
        </w:rPr>
        <w:t xml:space="preserve">COVID 7 </w:t>
      </w:r>
      <w:r w:rsidR="00676E92">
        <w:rPr>
          <w:rFonts w:ascii="Arial" w:hAnsi="Arial" w:cs="Arial"/>
          <w:szCs w:val="24"/>
        </w:rPr>
        <w:t>is expected</w:t>
      </w:r>
      <w:r w:rsidR="00CD6F72">
        <w:rPr>
          <w:rStyle w:val="FootnoteReference"/>
          <w:rFonts w:ascii="Arial" w:hAnsi="Arial" w:cs="Arial"/>
          <w:szCs w:val="24"/>
        </w:rPr>
        <w:footnoteReference w:id="4"/>
      </w:r>
      <w:r w:rsidR="00676E92">
        <w:rPr>
          <w:rFonts w:ascii="Arial" w:hAnsi="Arial" w:cs="Arial"/>
          <w:szCs w:val="24"/>
        </w:rPr>
        <w:t xml:space="preserve"> to be</w:t>
      </w:r>
      <w:r w:rsidR="00A029C4">
        <w:rPr>
          <w:rFonts w:ascii="Arial" w:hAnsi="Arial" w:cs="Arial"/>
          <w:szCs w:val="24"/>
        </w:rPr>
        <w:t xml:space="preserve"> primarily funded </w:t>
      </w:r>
      <w:r w:rsidR="00CF1788">
        <w:rPr>
          <w:rFonts w:ascii="Arial" w:hAnsi="Arial" w:cs="Arial"/>
          <w:szCs w:val="24"/>
        </w:rPr>
        <w:t>by</w:t>
      </w:r>
      <w:r w:rsidR="00676E92">
        <w:rPr>
          <w:rFonts w:ascii="Arial" w:hAnsi="Arial" w:cs="Arial"/>
          <w:szCs w:val="24"/>
        </w:rPr>
        <w:t xml:space="preserve"> the county’s allocation of the </w:t>
      </w:r>
      <w:r w:rsidR="00676E92">
        <w:rPr>
          <w:rFonts w:ascii="Arial" w:hAnsi="Arial" w:cs="Arial"/>
        </w:rPr>
        <w:t xml:space="preserve">American Rescue Plan Act (ARPA) </w:t>
      </w:r>
      <w:r w:rsidR="00676E92" w:rsidRPr="00D9136A">
        <w:rPr>
          <w:rFonts w:ascii="Arial" w:hAnsi="Arial" w:cs="Arial"/>
        </w:rPr>
        <w:t>Coronavirus Local Fiscal Recovery</w:t>
      </w:r>
      <w:r w:rsidR="00676E92">
        <w:rPr>
          <w:rFonts w:ascii="Arial" w:hAnsi="Arial" w:cs="Arial"/>
        </w:rPr>
        <w:t xml:space="preserve"> </w:t>
      </w:r>
      <w:r w:rsidR="00676E92" w:rsidRPr="00D9136A">
        <w:rPr>
          <w:rFonts w:ascii="Arial" w:hAnsi="Arial" w:cs="Arial"/>
        </w:rPr>
        <w:t>Fund</w:t>
      </w:r>
      <w:r w:rsidR="00676E92">
        <w:rPr>
          <w:rFonts w:ascii="Arial" w:hAnsi="Arial" w:cs="Arial"/>
        </w:rPr>
        <w:t xml:space="preserve"> (CLFRF) moneys</w:t>
      </w:r>
      <w:r w:rsidR="00CD6F72">
        <w:rPr>
          <w:rFonts w:ascii="Arial" w:hAnsi="Arial" w:cs="Arial"/>
        </w:rPr>
        <w:t>.</w:t>
      </w:r>
      <w:r w:rsidR="00A456B8">
        <w:rPr>
          <w:rFonts w:ascii="Arial" w:hAnsi="Arial" w:cs="Arial"/>
        </w:rPr>
        <w:t xml:space="preserve"> The remaining appropriation</w:t>
      </w:r>
      <w:r w:rsidR="002355E9">
        <w:rPr>
          <w:rFonts w:ascii="Arial" w:hAnsi="Arial" w:cs="Arial"/>
        </w:rPr>
        <w:t>s</w:t>
      </w:r>
      <w:r w:rsidR="00A456B8">
        <w:rPr>
          <w:rFonts w:ascii="Arial" w:hAnsi="Arial" w:cs="Arial"/>
        </w:rPr>
        <w:t xml:space="preserve"> </w:t>
      </w:r>
      <w:r w:rsidR="00555172">
        <w:rPr>
          <w:rFonts w:ascii="Arial" w:hAnsi="Arial" w:cs="Arial"/>
        </w:rPr>
        <w:t>will</w:t>
      </w:r>
      <w:r w:rsidR="00A456B8">
        <w:rPr>
          <w:rFonts w:ascii="Arial" w:hAnsi="Arial" w:cs="Arial"/>
        </w:rPr>
        <w:t xml:space="preserve"> be funded by various </w:t>
      </w:r>
      <w:r w:rsidR="004318BC">
        <w:rPr>
          <w:rFonts w:ascii="Arial" w:hAnsi="Arial" w:cs="Arial"/>
        </w:rPr>
        <w:t xml:space="preserve">state and federal grants </w:t>
      </w:r>
      <w:r w:rsidR="00CA175F">
        <w:rPr>
          <w:rFonts w:ascii="Arial" w:hAnsi="Arial" w:cs="Arial"/>
        </w:rPr>
        <w:t xml:space="preserve">also supported by ARPA. </w:t>
      </w:r>
    </w:p>
    <w:p w14:paraId="3F12FC76" w14:textId="77777777" w:rsidR="005875F3" w:rsidRDefault="005875F3" w:rsidP="00EC0911">
      <w:pPr>
        <w:spacing w:line="264" w:lineRule="auto"/>
        <w:jc w:val="both"/>
        <w:rPr>
          <w:rFonts w:ascii="Arial" w:hAnsi="Arial" w:cs="Arial"/>
          <w:szCs w:val="24"/>
        </w:rPr>
      </w:pPr>
    </w:p>
    <w:p w14:paraId="61D0FE75" w14:textId="746F03BB" w:rsidR="008809CF" w:rsidRDefault="008809CF" w:rsidP="008809CF">
      <w:pPr>
        <w:spacing w:line="264" w:lineRule="auto"/>
        <w:jc w:val="both"/>
        <w:rPr>
          <w:rFonts w:ascii="Arial" w:hAnsi="Arial" w:cs="Arial"/>
        </w:rPr>
      </w:pPr>
      <w:r>
        <w:rPr>
          <w:rFonts w:ascii="Arial" w:hAnsi="Arial" w:cs="Arial"/>
        </w:rPr>
        <w:t>On March 11, 2021, the American Rescue Plan Act of 2021</w:t>
      </w:r>
      <w:r>
        <w:rPr>
          <w:rStyle w:val="FootnoteReference"/>
          <w:rFonts w:ascii="Arial" w:hAnsi="Arial" w:cs="Arial"/>
        </w:rPr>
        <w:footnoteReference w:id="5"/>
      </w:r>
      <w:r>
        <w:rPr>
          <w:rFonts w:ascii="Arial" w:hAnsi="Arial" w:cs="Arial"/>
        </w:rPr>
        <w:t xml:space="preserve"> (ARPA), which appropriated $1.9 trillion to mitigate the impacts of the COVID-19 pandemic, became law. Along with individual stimulus payments and expansion of unemployment benefits and public health measures, the bill also included direct allocations to counties through the Department of Treasury’s Coronavirus Local Fiscal Recovery Fund (CLFR</w:t>
      </w:r>
      <w:r w:rsidR="0014557F">
        <w:rPr>
          <w:rFonts w:ascii="Arial" w:hAnsi="Arial" w:cs="Arial"/>
        </w:rPr>
        <w:t>F</w:t>
      </w:r>
      <w:r>
        <w:rPr>
          <w:rFonts w:ascii="Arial" w:hAnsi="Arial" w:cs="Arial"/>
        </w:rPr>
        <w:t xml:space="preserve">). The county’s direct allocation is approximately </w:t>
      </w:r>
      <w:r w:rsidRPr="00A75A1E">
        <w:rPr>
          <w:rFonts w:ascii="Arial" w:hAnsi="Arial" w:cs="Arial"/>
          <w:b/>
          <w:bCs/>
        </w:rPr>
        <w:t>$437 million</w:t>
      </w:r>
      <w:r w:rsidRPr="00A75A1E">
        <w:rPr>
          <w:rFonts w:ascii="Arial" w:hAnsi="Arial" w:cs="Arial"/>
        </w:rPr>
        <w:t xml:space="preserve"> </w:t>
      </w:r>
      <w:r>
        <w:rPr>
          <w:rFonts w:ascii="Arial" w:hAnsi="Arial" w:cs="Arial"/>
        </w:rPr>
        <w:t>and can be used for the following expenses:</w:t>
      </w:r>
    </w:p>
    <w:p w14:paraId="29BEA9EB" w14:textId="77777777" w:rsidR="008809CF" w:rsidRPr="00A75A1E" w:rsidRDefault="008809CF" w:rsidP="008809CF">
      <w:pPr>
        <w:pStyle w:val="ListParagraph0"/>
        <w:numPr>
          <w:ilvl w:val="0"/>
          <w:numId w:val="20"/>
        </w:numPr>
        <w:spacing w:line="264" w:lineRule="auto"/>
        <w:jc w:val="both"/>
        <w:rPr>
          <w:rFonts w:ascii="Arial" w:hAnsi="Arial" w:cs="Arial"/>
          <w:i/>
          <w:iCs/>
        </w:rPr>
      </w:pPr>
      <w:r>
        <w:rPr>
          <w:rFonts w:ascii="Arial" w:hAnsi="Arial" w:cs="Arial"/>
          <w:i/>
          <w:iCs/>
        </w:rPr>
        <w:t>R</w:t>
      </w:r>
      <w:r w:rsidRPr="00A75A1E">
        <w:rPr>
          <w:rFonts w:ascii="Arial" w:hAnsi="Arial" w:cs="Arial"/>
          <w:i/>
          <w:iCs/>
        </w:rPr>
        <w:t>espond to the public health emergency with respect to COVID–19 or its negative economic impacts, including assistance to households, small businesses, and nonprofits, or aid to impacted industries such as tourism, travel, and hospitality</w:t>
      </w:r>
      <w:r>
        <w:rPr>
          <w:rFonts w:ascii="Arial" w:hAnsi="Arial" w:cs="Arial"/>
          <w:i/>
          <w:iCs/>
        </w:rPr>
        <w:t>,</w:t>
      </w:r>
    </w:p>
    <w:p w14:paraId="128966EE" w14:textId="77777777" w:rsidR="008809CF" w:rsidRPr="00A75A1E" w:rsidRDefault="008809CF" w:rsidP="008809CF">
      <w:pPr>
        <w:pStyle w:val="ListParagraph0"/>
        <w:numPr>
          <w:ilvl w:val="0"/>
          <w:numId w:val="20"/>
        </w:numPr>
        <w:spacing w:line="264" w:lineRule="auto"/>
        <w:jc w:val="both"/>
        <w:rPr>
          <w:rFonts w:ascii="Arial" w:hAnsi="Arial" w:cs="Arial"/>
          <w:i/>
          <w:iCs/>
        </w:rPr>
      </w:pPr>
      <w:r>
        <w:rPr>
          <w:rFonts w:ascii="Arial" w:hAnsi="Arial" w:cs="Arial"/>
          <w:i/>
          <w:iCs/>
        </w:rPr>
        <w:t>R</w:t>
      </w:r>
      <w:r w:rsidRPr="00A75A1E">
        <w:rPr>
          <w:rFonts w:ascii="Arial" w:hAnsi="Arial" w:cs="Arial"/>
          <w:i/>
          <w:iCs/>
        </w:rPr>
        <w:t xml:space="preserve">espond to workers performing essential work during the COVID–19 public health emergency by providing premium pay to eligible workers </w:t>
      </w:r>
      <w:r>
        <w:rPr>
          <w:rFonts w:ascii="Arial" w:hAnsi="Arial" w:cs="Arial"/>
          <w:i/>
          <w:iCs/>
        </w:rPr>
        <w:t>of the</w:t>
      </w:r>
      <w:r w:rsidRPr="00A75A1E">
        <w:rPr>
          <w:rFonts w:ascii="Arial" w:hAnsi="Arial" w:cs="Arial"/>
          <w:i/>
          <w:iCs/>
        </w:rPr>
        <w:t xml:space="preserve"> county that are performing such essential work, or by providing grants to eligible employers that have eligible workers who perform essential work</w:t>
      </w:r>
      <w:r>
        <w:rPr>
          <w:rFonts w:ascii="Arial" w:hAnsi="Arial" w:cs="Arial"/>
          <w:i/>
          <w:iCs/>
        </w:rPr>
        <w:t>,</w:t>
      </w:r>
    </w:p>
    <w:p w14:paraId="3C3E61AC" w14:textId="77777777" w:rsidR="008809CF" w:rsidRPr="00A75A1E" w:rsidRDefault="008809CF" w:rsidP="008809CF">
      <w:pPr>
        <w:pStyle w:val="ListParagraph0"/>
        <w:numPr>
          <w:ilvl w:val="0"/>
          <w:numId w:val="20"/>
        </w:numPr>
        <w:spacing w:line="264" w:lineRule="auto"/>
        <w:jc w:val="both"/>
        <w:rPr>
          <w:rFonts w:ascii="Arial" w:hAnsi="Arial" w:cs="Arial"/>
          <w:i/>
          <w:iCs/>
        </w:rPr>
      </w:pPr>
      <w:r>
        <w:rPr>
          <w:rFonts w:ascii="Arial" w:hAnsi="Arial" w:cs="Arial"/>
          <w:i/>
          <w:iCs/>
        </w:rPr>
        <w:t>F</w:t>
      </w:r>
      <w:r w:rsidRPr="00A75A1E">
        <w:rPr>
          <w:rFonts w:ascii="Arial" w:hAnsi="Arial" w:cs="Arial"/>
          <w:i/>
          <w:iCs/>
        </w:rPr>
        <w:t xml:space="preserve">or the provision of government services to the extent of the reduction in revenue of </w:t>
      </w:r>
      <w:r>
        <w:rPr>
          <w:rFonts w:ascii="Arial" w:hAnsi="Arial" w:cs="Arial"/>
          <w:i/>
          <w:iCs/>
        </w:rPr>
        <w:t>such</w:t>
      </w:r>
      <w:r w:rsidRPr="00A75A1E">
        <w:rPr>
          <w:rFonts w:ascii="Arial" w:hAnsi="Arial" w:cs="Arial"/>
          <w:i/>
          <w:iCs/>
        </w:rPr>
        <w:t xml:space="preserve"> county due to the COVID–19 public health emergency relative to revenues collected in the most recent full fiscal year of the county prior to the emergency</w:t>
      </w:r>
      <w:r>
        <w:rPr>
          <w:rFonts w:ascii="Arial" w:hAnsi="Arial" w:cs="Arial"/>
          <w:i/>
          <w:iCs/>
        </w:rPr>
        <w:t>,</w:t>
      </w:r>
      <w:r w:rsidRPr="00A75A1E">
        <w:rPr>
          <w:rFonts w:ascii="Arial" w:hAnsi="Arial" w:cs="Arial"/>
          <w:i/>
          <w:iCs/>
        </w:rPr>
        <w:t xml:space="preserve"> or</w:t>
      </w:r>
    </w:p>
    <w:p w14:paraId="4035D994" w14:textId="77777777" w:rsidR="008809CF" w:rsidRPr="00EB4BDB" w:rsidRDefault="008809CF" w:rsidP="008809CF">
      <w:pPr>
        <w:pStyle w:val="ListParagraph0"/>
        <w:numPr>
          <w:ilvl w:val="0"/>
          <w:numId w:val="20"/>
        </w:numPr>
        <w:spacing w:line="264" w:lineRule="auto"/>
        <w:jc w:val="both"/>
        <w:rPr>
          <w:rFonts w:ascii="Arial" w:hAnsi="Arial" w:cs="Arial"/>
          <w:i/>
          <w:iCs/>
        </w:rPr>
      </w:pPr>
      <w:r>
        <w:rPr>
          <w:rFonts w:ascii="Arial" w:hAnsi="Arial" w:cs="Arial"/>
          <w:i/>
          <w:iCs/>
        </w:rPr>
        <w:t>M</w:t>
      </w:r>
      <w:r w:rsidRPr="00A75A1E">
        <w:rPr>
          <w:rFonts w:ascii="Arial" w:hAnsi="Arial" w:cs="Arial"/>
          <w:i/>
          <w:iCs/>
        </w:rPr>
        <w:t>ake necessary investments in water, sewer, or broadband infrastructure.</w:t>
      </w:r>
    </w:p>
    <w:p w14:paraId="6CE8D14A" w14:textId="77777777" w:rsidR="008809CF" w:rsidRDefault="008809CF" w:rsidP="008809CF">
      <w:pPr>
        <w:spacing w:line="264" w:lineRule="auto"/>
        <w:jc w:val="both"/>
        <w:rPr>
          <w:rFonts w:ascii="Arial" w:hAnsi="Arial" w:cs="Arial"/>
        </w:rPr>
      </w:pPr>
    </w:p>
    <w:p w14:paraId="466E87F1" w14:textId="12E272F2" w:rsidR="007D6492" w:rsidRDefault="008809CF" w:rsidP="008809CF">
      <w:pPr>
        <w:spacing w:line="264" w:lineRule="auto"/>
        <w:jc w:val="both"/>
        <w:rPr>
          <w:rFonts w:ascii="Arial" w:hAnsi="Arial" w:cs="Arial"/>
        </w:rPr>
      </w:pPr>
      <w:r>
        <w:rPr>
          <w:rFonts w:ascii="Arial" w:hAnsi="Arial" w:cs="Arial"/>
        </w:rPr>
        <w:t>ARPA requires that the Department of Treasury provide the CLFR</w:t>
      </w:r>
      <w:r w:rsidR="0014557F">
        <w:rPr>
          <w:rFonts w:ascii="Arial" w:hAnsi="Arial" w:cs="Arial"/>
        </w:rPr>
        <w:t>F</w:t>
      </w:r>
      <w:r>
        <w:rPr>
          <w:rFonts w:ascii="Arial" w:hAnsi="Arial" w:cs="Arial"/>
        </w:rPr>
        <w:t xml:space="preserve"> to the county in two portions where the first half would be allocated within 60 days of the county p</w:t>
      </w:r>
      <w:r w:rsidRPr="002B69DE">
        <w:rPr>
          <w:rFonts w:ascii="Arial" w:hAnsi="Arial" w:cs="Arial"/>
        </w:rPr>
        <w:t>rovid</w:t>
      </w:r>
      <w:r>
        <w:rPr>
          <w:rFonts w:ascii="Arial" w:hAnsi="Arial" w:cs="Arial"/>
        </w:rPr>
        <w:t>ing</w:t>
      </w:r>
      <w:r w:rsidRPr="002B69DE">
        <w:rPr>
          <w:rFonts w:ascii="Arial" w:hAnsi="Arial" w:cs="Arial"/>
        </w:rPr>
        <w:t xml:space="preserve"> a certification on the use or need of these funds to the </w:t>
      </w:r>
      <w:r>
        <w:rPr>
          <w:rFonts w:ascii="Arial" w:hAnsi="Arial" w:cs="Arial"/>
        </w:rPr>
        <w:t xml:space="preserve">Department of Treasury.  The second half would be allocated one year later. </w:t>
      </w:r>
      <w:r w:rsidR="00890197">
        <w:rPr>
          <w:rFonts w:ascii="Arial" w:hAnsi="Arial" w:cs="Arial"/>
        </w:rPr>
        <w:t xml:space="preserve">According to executive staff, the county received </w:t>
      </w:r>
      <w:r w:rsidR="00890197">
        <w:rPr>
          <w:rFonts w:ascii="Arial" w:hAnsi="Arial" w:cs="Arial"/>
        </w:rPr>
        <w:lastRenderedPageBreak/>
        <w:t xml:space="preserve">$218.8 million </w:t>
      </w:r>
      <w:r w:rsidR="007D6492">
        <w:rPr>
          <w:rFonts w:ascii="Arial" w:hAnsi="Arial" w:cs="Arial"/>
        </w:rPr>
        <w:t xml:space="preserve">(50% of $437 million) </w:t>
      </w:r>
      <w:r w:rsidR="00890197">
        <w:rPr>
          <w:rFonts w:ascii="Arial" w:hAnsi="Arial" w:cs="Arial"/>
        </w:rPr>
        <w:t>from the Department of Treasury in May 2021</w:t>
      </w:r>
      <w:r w:rsidR="007D6492">
        <w:rPr>
          <w:rFonts w:ascii="Arial" w:hAnsi="Arial" w:cs="Arial"/>
        </w:rPr>
        <w:t xml:space="preserve"> and is </w:t>
      </w:r>
      <w:r w:rsidR="0058270E">
        <w:rPr>
          <w:rFonts w:ascii="Arial" w:hAnsi="Arial" w:cs="Arial"/>
        </w:rPr>
        <w:t>expected</w:t>
      </w:r>
      <w:r w:rsidR="007D6492">
        <w:rPr>
          <w:rFonts w:ascii="Arial" w:hAnsi="Arial" w:cs="Arial"/>
        </w:rPr>
        <w:t xml:space="preserve"> to receive the remainder </w:t>
      </w:r>
      <w:r w:rsidR="00783555">
        <w:rPr>
          <w:rFonts w:ascii="Arial" w:hAnsi="Arial" w:cs="Arial"/>
        </w:rPr>
        <w:t>i</w:t>
      </w:r>
      <w:r w:rsidR="00D579EB">
        <w:rPr>
          <w:rFonts w:ascii="Arial" w:hAnsi="Arial" w:cs="Arial"/>
        </w:rPr>
        <w:t>n May 2022</w:t>
      </w:r>
      <w:r w:rsidR="007D6492">
        <w:rPr>
          <w:rFonts w:ascii="Arial" w:hAnsi="Arial" w:cs="Arial"/>
        </w:rPr>
        <w:t xml:space="preserve">. </w:t>
      </w:r>
    </w:p>
    <w:p w14:paraId="61139BB6" w14:textId="77777777" w:rsidR="007D6492" w:rsidRDefault="007D6492" w:rsidP="008809CF">
      <w:pPr>
        <w:spacing w:line="264" w:lineRule="auto"/>
        <w:jc w:val="both"/>
        <w:rPr>
          <w:rFonts w:ascii="Arial" w:hAnsi="Arial" w:cs="Arial"/>
        </w:rPr>
      </w:pPr>
    </w:p>
    <w:p w14:paraId="3AB1EB82" w14:textId="31D17852" w:rsidR="008809CF" w:rsidRDefault="007D6492" w:rsidP="008809CF">
      <w:pPr>
        <w:spacing w:line="264" w:lineRule="auto"/>
        <w:jc w:val="both"/>
        <w:rPr>
          <w:rFonts w:ascii="Arial" w:hAnsi="Arial" w:cs="Arial"/>
        </w:rPr>
      </w:pPr>
      <w:r>
        <w:rPr>
          <w:rFonts w:ascii="Arial" w:hAnsi="Arial" w:cs="Arial"/>
        </w:rPr>
        <w:t xml:space="preserve">As noted above, COVID 7 included the use of $367 million of the $437 million </w:t>
      </w:r>
      <w:r w:rsidR="004F5FD2">
        <w:rPr>
          <w:rFonts w:ascii="Arial" w:hAnsi="Arial" w:cs="Arial"/>
        </w:rPr>
        <w:t xml:space="preserve">ARPA CLFRF </w:t>
      </w:r>
      <w:r>
        <w:rPr>
          <w:rFonts w:ascii="Arial" w:hAnsi="Arial" w:cs="Arial"/>
        </w:rPr>
        <w:t>designated for the county</w:t>
      </w:r>
      <w:r w:rsidR="00C6138E">
        <w:rPr>
          <w:rFonts w:ascii="Arial" w:hAnsi="Arial" w:cs="Arial"/>
        </w:rPr>
        <w:t>. The CO</w:t>
      </w:r>
      <w:r>
        <w:rPr>
          <w:rFonts w:ascii="Arial" w:hAnsi="Arial" w:cs="Arial"/>
        </w:rPr>
        <w:t>VID 8</w:t>
      </w:r>
      <w:r w:rsidR="004F5FD2">
        <w:rPr>
          <w:rFonts w:ascii="Arial" w:hAnsi="Arial" w:cs="Arial"/>
        </w:rPr>
        <w:t xml:space="preserve"> supplemental appropriations ordinance</w:t>
      </w:r>
      <w:r>
        <w:rPr>
          <w:rFonts w:ascii="Arial" w:hAnsi="Arial" w:cs="Arial"/>
        </w:rPr>
        <w:t xml:space="preserve"> proposes</w:t>
      </w:r>
      <w:r w:rsidR="009D15B4">
        <w:rPr>
          <w:rFonts w:ascii="Arial" w:hAnsi="Arial" w:cs="Arial"/>
        </w:rPr>
        <w:t xml:space="preserve"> to allocate </w:t>
      </w:r>
      <w:r w:rsidR="009D15B4" w:rsidRPr="001D1A7E">
        <w:rPr>
          <w:rFonts w:ascii="Arial" w:hAnsi="Arial" w:cs="Arial"/>
          <w:strike/>
          <w:color w:val="C0504D" w:themeColor="accent2"/>
        </w:rPr>
        <w:t>$68.2 million of the</w:t>
      </w:r>
      <w:r w:rsidR="009D15B4" w:rsidRPr="001D1A7E">
        <w:rPr>
          <w:rFonts w:ascii="Arial" w:hAnsi="Arial" w:cs="Arial"/>
          <w:color w:val="C0504D" w:themeColor="accent2"/>
        </w:rPr>
        <w:t xml:space="preserve"> </w:t>
      </w:r>
      <w:r w:rsidR="009D15B4">
        <w:rPr>
          <w:rFonts w:ascii="Arial" w:hAnsi="Arial" w:cs="Arial"/>
        </w:rPr>
        <w:t>$70 million</w:t>
      </w:r>
      <w:r w:rsidR="00050AE3">
        <w:rPr>
          <w:rFonts w:ascii="Arial" w:hAnsi="Arial" w:cs="Arial"/>
        </w:rPr>
        <w:t xml:space="preserve"> of</w:t>
      </w:r>
      <w:r w:rsidR="00DC1D6F">
        <w:rPr>
          <w:rFonts w:ascii="Arial" w:hAnsi="Arial" w:cs="Arial"/>
        </w:rPr>
        <w:t xml:space="preserve"> the</w:t>
      </w:r>
      <w:r>
        <w:rPr>
          <w:rFonts w:ascii="Arial" w:hAnsi="Arial" w:cs="Arial"/>
        </w:rPr>
        <w:t xml:space="preserve"> </w:t>
      </w:r>
      <w:r w:rsidR="004F5FD2">
        <w:rPr>
          <w:rFonts w:ascii="Arial" w:hAnsi="Arial" w:cs="Arial"/>
        </w:rPr>
        <w:t xml:space="preserve">remaining ARPA CLFRF moneys. </w:t>
      </w:r>
      <w:r w:rsidR="008809CF">
        <w:rPr>
          <w:rFonts w:ascii="Arial" w:hAnsi="Arial" w:cs="Arial"/>
        </w:rPr>
        <w:t>Executive staff note that the county’s high cash balance and positive cash flow would allow the county to expend now without having to wait for receipt of the second half of the CLFR</w:t>
      </w:r>
      <w:r w:rsidR="0014557F">
        <w:rPr>
          <w:rFonts w:ascii="Arial" w:hAnsi="Arial" w:cs="Arial"/>
        </w:rPr>
        <w:t>F</w:t>
      </w:r>
      <w:r w:rsidR="008809CF">
        <w:rPr>
          <w:rFonts w:ascii="Arial" w:hAnsi="Arial" w:cs="Arial"/>
        </w:rPr>
        <w:t xml:space="preserve"> allocation next year.</w:t>
      </w:r>
    </w:p>
    <w:p w14:paraId="1FC33FC5" w14:textId="20723EA9" w:rsidR="006078C5" w:rsidRDefault="006078C5" w:rsidP="00365B91">
      <w:pPr>
        <w:spacing w:line="264" w:lineRule="auto"/>
        <w:jc w:val="both"/>
        <w:rPr>
          <w:rFonts w:ascii="Arial" w:hAnsi="Arial" w:cs="Arial"/>
          <w:bCs/>
          <w:szCs w:val="24"/>
        </w:rPr>
      </w:pPr>
    </w:p>
    <w:p w14:paraId="3C73A0F1" w14:textId="47A32723" w:rsidR="004E0E67" w:rsidRDefault="0000661A" w:rsidP="00ED350A">
      <w:pPr>
        <w:spacing w:line="264" w:lineRule="auto"/>
        <w:jc w:val="both"/>
        <w:rPr>
          <w:rFonts w:ascii="Arial" w:hAnsi="Arial" w:cs="Arial"/>
          <w:szCs w:val="24"/>
        </w:rPr>
      </w:pPr>
      <w:r w:rsidRPr="007654DD">
        <w:rPr>
          <w:rFonts w:ascii="Arial" w:hAnsi="Arial" w:cs="Arial"/>
          <w:b/>
          <w:szCs w:val="24"/>
        </w:rPr>
        <w:t xml:space="preserve">Status of </w:t>
      </w:r>
      <w:r>
        <w:rPr>
          <w:rFonts w:ascii="Arial" w:hAnsi="Arial" w:cs="Arial"/>
          <w:b/>
          <w:szCs w:val="24"/>
        </w:rPr>
        <w:t>the General Fund</w:t>
      </w:r>
      <w:r w:rsidRPr="007654DD">
        <w:rPr>
          <w:rFonts w:ascii="Arial" w:hAnsi="Arial" w:cs="Arial"/>
          <w:b/>
          <w:szCs w:val="24"/>
        </w:rPr>
        <w:t>.</w:t>
      </w:r>
      <w:r w:rsidR="0072749E">
        <w:rPr>
          <w:rFonts w:ascii="Arial" w:hAnsi="Arial" w:cs="Arial"/>
          <w:b/>
          <w:szCs w:val="24"/>
        </w:rPr>
        <w:t xml:space="preserve"> </w:t>
      </w:r>
      <w:r w:rsidRPr="007654DD">
        <w:rPr>
          <w:rFonts w:ascii="Arial" w:hAnsi="Arial" w:cs="Arial"/>
          <w:b/>
          <w:szCs w:val="24"/>
        </w:rPr>
        <w:t xml:space="preserve">  </w:t>
      </w:r>
      <w:r w:rsidR="00B5713A">
        <w:rPr>
          <w:rFonts w:ascii="Arial" w:hAnsi="Arial" w:cs="Arial"/>
          <w:bCs/>
          <w:szCs w:val="24"/>
        </w:rPr>
        <w:t>At the request of council staff, the</w:t>
      </w:r>
      <w:r w:rsidR="00305A64">
        <w:rPr>
          <w:rFonts w:ascii="Arial" w:hAnsi="Arial" w:cs="Arial"/>
          <w:bCs/>
          <w:szCs w:val="24"/>
        </w:rPr>
        <w:t xml:space="preserve"> Office of Performance, Strategy and Budget (PSB) provided an updated</w:t>
      </w:r>
      <w:r w:rsidR="00F46205">
        <w:rPr>
          <w:rFonts w:ascii="Arial" w:hAnsi="Arial" w:cs="Arial"/>
          <w:bCs/>
          <w:szCs w:val="24"/>
        </w:rPr>
        <w:t xml:space="preserve"> General Fund Financial Plan</w:t>
      </w:r>
      <w:r w:rsidR="00B5713A">
        <w:rPr>
          <w:rFonts w:ascii="Arial" w:hAnsi="Arial" w:cs="Arial"/>
          <w:bCs/>
          <w:szCs w:val="24"/>
        </w:rPr>
        <w:t xml:space="preserve"> (</w:t>
      </w:r>
      <w:r w:rsidR="00305A64">
        <w:rPr>
          <w:rFonts w:ascii="Arial" w:hAnsi="Arial" w:cs="Arial"/>
          <w:bCs/>
          <w:szCs w:val="24"/>
        </w:rPr>
        <w:t xml:space="preserve">Attachment </w:t>
      </w:r>
      <w:r w:rsidR="00B5713A">
        <w:rPr>
          <w:rFonts w:ascii="Arial" w:hAnsi="Arial" w:cs="Arial"/>
          <w:bCs/>
          <w:szCs w:val="24"/>
        </w:rPr>
        <w:t>5 to this staff report). According to the financial plan, the</w:t>
      </w:r>
      <w:r w:rsidR="008A22CB">
        <w:rPr>
          <w:rFonts w:ascii="Arial" w:hAnsi="Arial" w:cs="Arial"/>
          <w:bCs/>
          <w:szCs w:val="24"/>
        </w:rPr>
        <w:t xml:space="preserve"> </w:t>
      </w:r>
      <w:r w:rsidR="00DE7F80" w:rsidRPr="00C25153">
        <w:rPr>
          <w:rFonts w:ascii="Arial" w:hAnsi="Arial" w:cs="Arial"/>
          <w:bCs/>
          <w:szCs w:val="24"/>
          <w:u w:val="single"/>
        </w:rPr>
        <w:t xml:space="preserve">Ending Undesignated </w:t>
      </w:r>
      <w:r w:rsidR="00A00332" w:rsidRPr="00C25153">
        <w:rPr>
          <w:rFonts w:ascii="Arial" w:hAnsi="Arial" w:cs="Arial"/>
          <w:bCs/>
          <w:szCs w:val="24"/>
          <w:u w:val="single"/>
        </w:rPr>
        <w:t>Fund Balance</w:t>
      </w:r>
      <w:r w:rsidR="00950073">
        <w:rPr>
          <w:rFonts w:ascii="Arial" w:hAnsi="Arial" w:cs="Arial"/>
          <w:bCs/>
          <w:szCs w:val="24"/>
        </w:rPr>
        <w:t xml:space="preserve"> for the remainder of the 2021-2022 biennium</w:t>
      </w:r>
      <w:r w:rsidR="00A00332">
        <w:rPr>
          <w:rFonts w:ascii="Arial" w:hAnsi="Arial" w:cs="Arial"/>
          <w:bCs/>
          <w:szCs w:val="24"/>
        </w:rPr>
        <w:t xml:space="preserve"> is est</w:t>
      </w:r>
      <w:r w:rsidR="00096C77">
        <w:rPr>
          <w:rFonts w:ascii="Arial" w:hAnsi="Arial" w:cs="Arial"/>
          <w:bCs/>
          <w:szCs w:val="24"/>
        </w:rPr>
        <w:t xml:space="preserve">imated to be </w:t>
      </w:r>
      <w:r w:rsidR="00950073">
        <w:rPr>
          <w:rFonts w:ascii="Arial" w:hAnsi="Arial" w:cs="Arial"/>
          <w:bCs/>
          <w:szCs w:val="24"/>
        </w:rPr>
        <w:t xml:space="preserve">$46.4 million, which </w:t>
      </w:r>
      <w:r w:rsidR="00DC1D6F" w:rsidRPr="001D1A7E">
        <w:rPr>
          <w:rFonts w:ascii="Arial" w:hAnsi="Arial" w:cs="Arial"/>
          <w:bCs/>
          <w:color w:val="C0504D" w:themeColor="accent2"/>
          <w:szCs w:val="24"/>
        </w:rPr>
        <w:t xml:space="preserve">would be </w:t>
      </w:r>
      <w:r w:rsidR="00ED350A" w:rsidRPr="001D1A7E">
        <w:rPr>
          <w:rFonts w:ascii="Arial" w:hAnsi="Arial" w:cs="Arial"/>
          <w:color w:val="C0504D" w:themeColor="accent2"/>
          <w:szCs w:val="24"/>
        </w:rPr>
        <w:t xml:space="preserve">6% </w:t>
      </w:r>
      <w:r w:rsidR="00ED350A">
        <w:rPr>
          <w:rFonts w:ascii="Arial" w:hAnsi="Arial" w:cs="Arial"/>
          <w:szCs w:val="24"/>
        </w:rPr>
        <w:t>of</w:t>
      </w:r>
      <w:r w:rsidR="00ED350A" w:rsidRPr="00637CAA">
        <w:rPr>
          <w:rFonts w:ascii="Arial" w:hAnsi="Arial" w:cs="Arial"/>
          <w:szCs w:val="24"/>
        </w:rPr>
        <w:t xml:space="preserve"> revenues, less intergov</w:t>
      </w:r>
      <w:r w:rsidR="00ED350A">
        <w:rPr>
          <w:rFonts w:ascii="Arial" w:hAnsi="Arial" w:cs="Arial"/>
          <w:szCs w:val="24"/>
        </w:rPr>
        <w:t xml:space="preserve">ernmental </w:t>
      </w:r>
      <w:r w:rsidR="00006345">
        <w:rPr>
          <w:rFonts w:ascii="Arial" w:hAnsi="Arial" w:cs="Arial"/>
          <w:szCs w:val="24"/>
        </w:rPr>
        <w:t>receipts,</w:t>
      </w:r>
      <w:r w:rsidR="00ED350A">
        <w:rPr>
          <w:rFonts w:ascii="Arial" w:hAnsi="Arial" w:cs="Arial"/>
          <w:szCs w:val="24"/>
        </w:rPr>
        <w:t xml:space="preserve"> and </w:t>
      </w:r>
      <w:r w:rsidR="00ED350A" w:rsidRPr="00637CAA">
        <w:rPr>
          <w:rFonts w:ascii="Arial" w:hAnsi="Arial" w:cs="Arial"/>
          <w:szCs w:val="24"/>
        </w:rPr>
        <w:t>inter-fund trans</w:t>
      </w:r>
      <w:r w:rsidR="00ED350A">
        <w:rPr>
          <w:rFonts w:ascii="Arial" w:hAnsi="Arial" w:cs="Arial"/>
          <w:szCs w:val="24"/>
        </w:rPr>
        <w:t>fers</w:t>
      </w:r>
      <w:r w:rsidR="00284EE3">
        <w:rPr>
          <w:rFonts w:ascii="Arial" w:hAnsi="Arial" w:cs="Arial"/>
          <w:szCs w:val="24"/>
        </w:rPr>
        <w:t xml:space="preserve">. </w:t>
      </w:r>
      <w:r w:rsidR="00284EE3" w:rsidRPr="001D1A7E">
        <w:rPr>
          <w:rFonts w:ascii="Arial" w:hAnsi="Arial" w:cs="Arial"/>
          <w:color w:val="C0504D" w:themeColor="accent2"/>
          <w:szCs w:val="24"/>
        </w:rPr>
        <w:t xml:space="preserve">This would </w:t>
      </w:r>
      <w:r w:rsidR="00284EE3" w:rsidRPr="001D1A7E">
        <w:rPr>
          <w:rFonts w:ascii="Arial" w:hAnsi="Arial" w:cs="Arial"/>
          <w:bCs/>
          <w:color w:val="C0504D" w:themeColor="accent2"/>
          <w:szCs w:val="24"/>
        </w:rPr>
        <w:t xml:space="preserve">meet the 6%-8% target as </w:t>
      </w:r>
      <w:r w:rsidR="00284EE3" w:rsidRPr="001D1A7E">
        <w:rPr>
          <w:rFonts w:ascii="Arial" w:hAnsi="Arial" w:cs="Arial"/>
          <w:color w:val="C0504D" w:themeColor="accent2"/>
          <w:szCs w:val="24"/>
        </w:rPr>
        <w:t>suggested by the County’s Comprehensive Financial Management Policies</w:t>
      </w:r>
      <w:r w:rsidR="00284EE3" w:rsidRPr="001D1A7E">
        <w:rPr>
          <w:rStyle w:val="FootnoteReference"/>
          <w:rFonts w:ascii="Arial" w:hAnsi="Arial" w:cs="Arial"/>
          <w:color w:val="C0504D" w:themeColor="accent2"/>
          <w:szCs w:val="24"/>
        </w:rPr>
        <w:footnoteReference w:id="6"/>
      </w:r>
      <w:r w:rsidR="00284EE3" w:rsidRPr="001D1A7E">
        <w:rPr>
          <w:rFonts w:ascii="Arial" w:hAnsi="Arial" w:cs="Arial"/>
          <w:color w:val="C0504D" w:themeColor="accent2"/>
          <w:szCs w:val="24"/>
        </w:rPr>
        <w:t xml:space="preserve"> </w:t>
      </w:r>
      <w:r w:rsidR="00ED350A">
        <w:rPr>
          <w:rFonts w:ascii="Arial" w:hAnsi="Arial" w:cs="Arial"/>
          <w:szCs w:val="24"/>
        </w:rPr>
        <w:t>to maintain the c</w:t>
      </w:r>
      <w:r w:rsidR="00ED350A" w:rsidRPr="00637CAA">
        <w:rPr>
          <w:rFonts w:ascii="Arial" w:hAnsi="Arial" w:cs="Arial"/>
          <w:szCs w:val="24"/>
        </w:rPr>
        <w:t>ounty's credit rating, meet seasonal cash flow shortfalls, help maintain services during short periods of economic decline, and meet emergency conditions.</w:t>
      </w:r>
      <w:r w:rsidR="004E0E67">
        <w:rPr>
          <w:rFonts w:ascii="Arial" w:hAnsi="Arial" w:cs="Arial"/>
          <w:szCs w:val="24"/>
        </w:rPr>
        <w:t xml:space="preserve"> It should be noted that </w:t>
      </w:r>
      <w:r w:rsidR="00D16DA7">
        <w:rPr>
          <w:rFonts w:ascii="Arial" w:hAnsi="Arial" w:cs="Arial"/>
          <w:szCs w:val="24"/>
        </w:rPr>
        <w:t>this</w:t>
      </w:r>
      <w:r w:rsidR="00AA03E8">
        <w:rPr>
          <w:rFonts w:ascii="Arial" w:hAnsi="Arial" w:cs="Arial"/>
          <w:szCs w:val="24"/>
        </w:rPr>
        <w:t xml:space="preserve"> estimate</w:t>
      </w:r>
      <w:r w:rsidR="00D16DA7">
        <w:rPr>
          <w:rFonts w:ascii="Arial" w:hAnsi="Arial" w:cs="Arial"/>
          <w:szCs w:val="24"/>
        </w:rPr>
        <w:t xml:space="preserve"> </w:t>
      </w:r>
      <w:r w:rsidR="00327FEB">
        <w:rPr>
          <w:rFonts w:ascii="Arial" w:hAnsi="Arial" w:cs="Arial"/>
          <w:szCs w:val="24"/>
        </w:rPr>
        <w:t>maintains the same level of Ending Undesignated Fund Balance at the adoption of the 2021-2022 Biennial Budget last fall.</w:t>
      </w:r>
    </w:p>
    <w:p w14:paraId="5D04DA3C" w14:textId="64043973" w:rsidR="00327FEB" w:rsidRDefault="00327FEB" w:rsidP="00ED350A">
      <w:pPr>
        <w:spacing w:line="264" w:lineRule="auto"/>
        <w:jc w:val="both"/>
        <w:rPr>
          <w:rFonts w:ascii="Arial" w:hAnsi="Arial" w:cs="Arial"/>
          <w:szCs w:val="24"/>
        </w:rPr>
      </w:pPr>
    </w:p>
    <w:p w14:paraId="111CCAC5" w14:textId="42B36D48" w:rsidR="006F048F" w:rsidRPr="009A4750" w:rsidRDefault="006F048F" w:rsidP="00ED350A">
      <w:pPr>
        <w:spacing w:line="264" w:lineRule="auto"/>
        <w:jc w:val="both"/>
        <w:rPr>
          <w:rFonts w:ascii="Arial" w:hAnsi="Arial" w:cs="Arial"/>
          <w:color w:val="FF0000"/>
          <w:szCs w:val="24"/>
        </w:rPr>
      </w:pPr>
      <w:r>
        <w:rPr>
          <w:rFonts w:ascii="Arial" w:hAnsi="Arial" w:cs="Arial"/>
          <w:szCs w:val="24"/>
        </w:rPr>
        <w:t>The staff report for the COVID 7 supplemental appropriations ordinance</w:t>
      </w:r>
      <w:r w:rsidR="00917D9B">
        <w:rPr>
          <w:rStyle w:val="FootnoteReference"/>
          <w:rFonts w:ascii="Arial" w:hAnsi="Arial" w:cs="Arial"/>
          <w:szCs w:val="24"/>
        </w:rPr>
        <w:footnoteReference w:id="7"/>
      </w:r>
      <w:r>
        <w:rPr>
          <w:rFonts w:ascii="Arial" w:hAnsi="Arial" w:cs="Arial"/>
          <w:szCs w:val="24"/>
        </w:rPr>
        <w:t xml:space="preserve"> noted that t</w:t>
      </w:r>
      <w:r w:rsidR="00A5765D">
        <w:rPr>
          <w:rFonts w:ascii="Arial" w:hAnsi="Arial" w:cs="Arial"/>
          <w:szCs w:val="24"/>
        </w:rPr>
        <w:t xml:space="preserve">he General Fund would add $83 million to its </w:t>
      </w:r>
      <w:r w:rsidR="00C25153" w:rsidRPr="00917D9B">
        <w:rPr>
          <w:rFonts w:ascii="Arial" w:hAnsi="Arial" w:cs="Arial"/>
          <w:szCs w:val="24"/>
          <w:u w:val="single"/>
        </w:rPr>
        <w:t>Ending Fund Balance</w:t>
      </w:r>
      <w:r w:rsidR="008A23C9">
        <w:rPr>
          <w:rFonts w:ascii="Arial" w:hAnsi="Arial" w:cs="Arial"/>
          <w:szCs w:val="24"/>
        </w:rPr>
        <w:t xml:space="preserve"> compared to the </w:t>
      </w:r>
      <w:r w:rsidR="00797C57">
        <w:rPr>
          <w:rFonts w:ascii="Arial" w:hAnsi="Arial" w:cs="Arial"/>
          <w:szCs w:val="24"/>
        </w:rPr>
        <w:t>General Fund Financial Plan adopted during the 2021-2022 Biennial Budget. The updated Financial Plan (Attachment 5 to this staff report)</w:t>
      </w:r>
      <w:r w:rsidR="00CB102D">
        <w:rPr>
          <w:rFonts w:ascii="Arial" w:hAnsi="Arial" w:cs="Arial"/>
          <w:szCs w:val="24"/>
        </w:rPr>
        <w:t xml:space="preserve"> </w:t>
      </w:r>
      <w:r w:rsidR="00DC3A7F">
        <w:rPr>
          <w:rFonts w:ascii="Arial" w:hAnsi="Arial" w:cs="Arial"/>
          <w:szCs w:val="24"/>
        </w:rPr>
        <w:t>shows</w:t>
      </w:r>
      <w:r w:rsidR="00CB102D">
        <w:rPr>
          <w:rFonts w:ascii="Arial" w:hAnsi="Arial" w:cs="Arial"/>
          <w:szCs w:val="24"/>
        </w:rPr>
        <w:t xml:space="preserve"> that this has been reduced to $60 million. </w:t>
      </w:r>
      <w:r w:rsidR="008E7D72">
        <w:rPr>
          <w:rFonts w:ascii="Arial" w:hAnsi="Arial" w:cs="Arial"/>
          <w:szCs w:val="24"/>
        </w:rPr>
        <w:t xml:space="preserve">The reduction accounts for </w:t>
      </w:r>
      <w:r w:rsidR="00321D85">
        <w:rPr>
          <w:rFonts w:ascii="Arial" w:hAnsi="Arial" w:cs="Arial"/>
          <w:szCs w:val="24"/>
        </w:rPr>
        <w:t xml:space="preserve">additional spending </w:t>
      </w:r>
      <w:r w:rsidR="005613B0">
        <w:rPr>
          <w:rFonts w:ascii="Arial" w:hAnsi="Arial" w:cs="Arial"/>
          <w:szCs w:val="24"/>
        </w:rPr>
        <w:t>that would be included in future supplemental appropriations ordinances including costs associated with State v. Blake</w:t>
      </w:r>
      <w:r w:rsidR="00BF5B9A">
        <w:rPr>
          <w:rStyle w:val="FootnoteReference"/>
          <w:rFonts w:ascii="Arial" w:hAnsi="Arial" w:cs="Arial"/>
          <w:szCs w:val="24"/>
        </w:rPr>
        <w:footnoteReference w:id="8"/>
      </w:r>
      <w:r w:rsidR="00EC50F8" w:rsidRPr="008D5990">
        <w:rPr>
          <w:rFonts w:ascii="Arial" w:hAnsi="Arial" w:cs="Arial"/>
          <w:szCs w:val="24"/>
          <w:vertAlign w:val="superscript"/>
        </w:rPr>
        <w:t>,</w:t>
      </w:r>
      <w:r w:rsidR="00EC50F8">
        <w:rPr>
          <w:rStyle w:val="FootnoteReference"/>
          <w:rFonts w:ascii="Arial" w:hAnsi="Arial" w:cs="Arial"/>
          <w:szCs w:val="24"/>
        </w:rPr>
        <w:footnoteReference w:id="9"/>
      </w:r>
      <w:r w:rsidR="005613B0">
        <w:rPr>
          <w:rFonts w:ascii="Arial" w:hAnsi="Arial" w:cs="Arial"/>
          <w:szCs w:val="24"/>
        </w:rPr>
        <w:t xml:space="preserve"> and the 2</w:t>
      </w:r>
      <w:r w:rsidR="005613B0" w:rsidRPr="005613B0">
        <w:rPr>
          <w:rFonts w:ascii="Arial" w:hAnsi="Arial" w:cs="Arial"/>
          <w:szCs w:val="24"/>
          <w:vertAlign w:val="superscript"/>
        </w:rPr>
        <w:t>nd</w:t>
      </w:r>
      <w:r w:rsidR="005613B0">
        <w:rPr>
          <w:rFonts w:ascii="Arial" w:hAnsi="Arial" w:cs="Arial"/>
          <w:szCs w:val="24"/>
        </w:rPr>
        <w:t xml:space="preserve"> Omnibus (Mid-bi</w:t>
      </w:r>
      <w:r w:rsidR="00E671AA">
        <w:rPr>
          <w:rFonts w:ascii="Arial" w:hAnsi="Arial" w:cs="Arial"/>
          <w:szCs w:val="24"/>
        </w:rPr>
        <w:t>ennial budget</w:t>
      </w:r>
      <w:r w:rsidR="005613B0">
        <w:rPr>
          <w:rFonts w:ascii="Arial" w:hAnsi="Arial" w:cs="Arial"/>
          <w:szCs w:val="24"/>
        </w:rPr>
        <w:t>)</w:t>
      </w:r>
      <w:r w:rsidR="008D5990">
        <w:rPr>
          <w:rFonts w:ascii="Arial" w:hAnsi="Arial" w:cs="Arial"/>
          <w:szCs w:val="24"/>
        </w:rPr>
        <w:t>, which is scheduled to be transmitted in September 202</w:t>
      </w:r>
      <w:r w:rsidR="00E1485C">
        <w:rPr>
          <w:rFonts w:ascii="Arial" w:hAnsi="Arial" w:cs="Arial"/>
          <w:szCs w:val="24"/>
        </w:rPr>
        <w:t>1</w:t>
      </w:r>
      <w:r w:rsidR="005613B0">
        <w:rPr>
          <w:rFonts w:ascii="Arial" w:hAnsi="Arial" w:cs="Arial"/>
          <w:szCs w:val="24"/>
        </w:rPr>
        <w:t>.</w:t>
      </w:r>
    </w:p>
    <w:p w14:paraId="64F14D71" w14:textId="1834D406" w:rsidR="00DC3A7F" w:rsidRDefault="00DC3A7F" w:rsidP="00ED350A">
      <w:pPr>
        <w:spacing w:line="264" w:lineRule="auto"/>
        <w:jc w:val="both"/>
        <w:rPr>
          <w:rFonts w:ascii="Arial" w:hAnsi="Arial" w:cs="Arial"/>
          <w:szCs w:val="24"/>
        </w:rPr>
      </w:pPr>
    </w:p>
    <w:p w14:paraId="0D5FBBFB" w14:textId="54923908" w:rsidR="00DB0732" w:rsidRPr="00175D5F" w:rsidRDefault="00DC3A7F" w:rsidP="00DB0732">
      <w:pPr>
        <w:spacing w:line="264" w:lineRule="auto"/>
        <w:jc w:val="both"/>
        <w:rPr>
          <w:rFonts w:ascii="Arial" w:hAnsi="Arial" w:cs="Arial"/>
          <w:szCs w:val="24"/>
        </w:rPr>
      </w:pPr>
      <w:r>
        <w:rPr>
          <w:rFonts w:ascii="Arial" w:hAnsi="Arial" w:cs="Arial"/>
          <w:szCs w:val="24"/>
        </w:rPr>
        <w:t xml:space="preserve">Of the $60 million of the additional </w:t>
      </w:r>
      <w:r w:rsidRPr="00A25488">
        <w:rPr>
          <w:rFonts w:ascii="Arial" w:hAnsi="Arial" w:cs="Arial"/>
          <w:szCs w:val="24"/>
          <w:u w:val="single"/>
        </w:rPr>
        <w:t>Ending Fund Balance</w:t>
      </w:r>
      <w:r>
        <w:rPr>
          <w:rFonts w:ascii="Arial" w:hAnsi="Arial" w:cs="Arial"/>
          <w:szCs w:val="24"/>
        </w:rPr>
        <w:t xml:space="preserve">, </w:t>
      </w:r>
      <w:r w:rsidR="00AF0D6B">
        <w:rPr>
          <w:rFonts w:ascii="Arial" w:hAnsi="Arial" w:cs="Arial"/>
          <w:szCs w:val="24"/>
        </w:rPr>
        <w:t xml:space="preserve">the executive </w:t>
      </w:r>
      <w:r w:rsidR="007803F8">
        <w:rPr>
          <w:rFonts w:ascii="Arial" w:hAnsi="Arial" w:cs="Arial"/>
          <w:szCs w:val="24"/>
        </w:rPr>
        <w:t xml:space="preserve">has designated </w:t>
      </w:r>
      <w:r>
        <w:rPr>
          <w:rFonts w:ascii="Arial" w:hAnsi="Arial" w:cs="Arial"/>
          <w:szCs w:val="24"/>
        </w:rPr>
        <w:t>$</w:t>
      </w:r>
      <w:r w:rsidR="00AF0D6B">
        <w:rPr>
          <w:rFonts w:ascii="Arial" w:hAnsi="Arial" w:cs="Arial"/>
          <w:szCs w:val="24"/>
        </w:rPr>
        <w:t>31 million</w:t>
      </w:r>
      <w:r>
        <w:rPr>
          <w:rFonts w:ascii="Arial" w:hAnsi="Arial" w:cs="Arial"/>
          <w:szCs w:val="24"/>
        </w:rPr>
        <w:t xml:space="preserve"> </w:t>
      </w:r>
      <w:r w:rsidR="00884962">
        <w:rPr>
          <w:rFonts w:ascii="Arial" w:hAnsi="Arial" w:cs="Arial"/>
          <w:szCs w:val="24"/>
        </w:rPr>
        <w:t>to</w:t>
      </w:r>
      <w:r w:rsidR="007803F8">
        <w:rPr>
          <w:rFonts w:ascii="Arial" w:hAnsi="Arial" w:cs="Arial"/>
          <w:szCs w:val="24"/>
        </w:rPr>
        <w:t xml:space="preserve"> the </w:t>
      </w:r>
      <w:r w:rsidR="00884962">
        <w:rPr>
          <w:rFonts w:ascii="Arial" w:hAnsi="Arial" w:cs="Arial"/>
          <w:szCs w:val="24"/>
        </w:rPr>
        <w:t xml:space="preserve">new </w:t>
      </w:r>
      <w:r w:rsidR="007803F8">
        <w:rPr>
          <w:rFonts w:ascii="Arial" w:hAnsi="Arial" w:cs="Arial"/>
          <w:szCs w:val="24"/>
        </w:rPr>
        <w:t xml:space="preserve">COVID-19 </w:t>
      </w:r>
      <w:r w:rsidR="00CE1FF9">
        <w:rPr>
          <w:rFonts w:ascii="Arial" w:hAnsi="Arial" w:cs="Arial"/>
          <w:szCs w:val="24"/>
        </w:rPr>
        <w:t xml:space="preserve">Response Reserve </w:t>
      </w:r>
      <w:r w:rsidR="00884962" w:rsidRPr="006064FA">
        <w:rPr>
          <w:rFonts w:ascii="Arial" w:hAnsi="Arial" w:cs="Arial"/>
        </w:rPr>
        <w:t>to pay for the costs of recovering from the pandemic</w:t>
      </w:r>
      <w:r w:rsidR="00884962">
        <w:rPr>
          <w:rFonts w:ascii="Arial" w:hAnsi="Arial" w:cs="Arial"/>
          <w:szCs w:val="24"/>
        </w:rPr>
        <w:t xml:space="preserve"> </w:t>
      </w:r>
      <w:r w:rsidR="00CE1FF9">
        <w:rPr>
          <w:rFonts w:ascii="Arial" w:hAnsi="Arial" w:cs="Arial"/>
          <w:szCs w:val="24"/>
        </w:rPr>
        <w:t>and the remaining $29 million to the Risk Reserve</w:t>
      </w:r>
      <w:r w:rsidR="00884962" w:rsidRPr="006064FA">
        <w:rPr>
          <w:rFonts w:ascii="Arial" w:hAnsi="Arial" w:cs="Arial"/>
        </w:rPr>
        <w:t xml:space="preserve"> </w:t>
      </w:r>
      <w:r w:rsidR="00884962">
        <w:rPr>
          <w:rFonts w:ascii="Arial" w:hAnsi="Arial" w:cs="Arial"/>
        </w:rPr>
        <w:t xml:space="preserve">to alleviate </w:t>
      </w:r>
      <w:r w:rsidR="00884962" w:rsidRPr="006064FA">
        <w:rPr>
          <w:rFonts w:ascii="Arial" w:hAnsi="Arial" w:cs="Arial"/>
        </w:rPr>
        <w:t>future risks to the General Fund’s financial health</w:t>
      </w:r>
      <w:r w:rsidR="0065010F">
        <w:rPr>
          <w:rFonts w:ascii="Arial" w:hAnsi="Arial" w:cs="Arial"/>
        </w:rPr>
        <w:t xml:space="preserve"> </w:t>
      </w:r>
      <w:r w:rsidR="0065010F" w:rsidRPr="001D1A7E">
        <w:rPr>
          <w:rFonts w:ascii="Arial" w:hAnsi="Arial" w:cs="Arial"/>
          <w:color w:val="C0504D" w:themeColor="accent2"/>
        </w:rPr>
        <w:t xml:space="preserve">including </w:t>
      </w:r>
      <w:r w:rsidR="0065010F" w:rsidRPr="001D1A7E">
        <w:rPr>
          <w:rFonts w:ascii="Arial" w:hAnsi="Arial" w:cs="Arial"/>
          <w:color w:val="C0504D" w:themeColor="accent2"/>
          <w:szCs w:val="24"/>
        </w:rPr>
        <w:t>set aside to cover ineligible federal expenses</w:t>
      </w:r>
      <w:r w:rsidR="00B15988" w:rsidRPr="001D1A7E">
        <w:rPr>
          <w:rFonts w:ascii="Arial" w:hAnsi="Arial" w:cs="Arial"/>
          <w:color w:val="C0504D" w:themeColor="accent2"/>
        </w:rPr>
        <w:t>.</w:t>
      </w:r>
      <w:r w:rsidR="001A61D4" w:rsidRPr="001D1A7E">
        <w:rPr>
          <w:rFonts w:ascii="Arial" w:hAnsi="Arial" w:cs="Arial"/>
          <w:color w:val="C0504D" w:themeColor="accent2"/>
        </w:rPr>
        <w:t xml:space="preserve"> </w:t>
      </w:r>
      <w:r w:rsidR="00DB0732" w:rsidRPr="001D1A7E">
        <w:rPr>
          <w:rFonts w:ascii="Arial" w:hAnsi="Arial" w:cs="Arial"/>
          <w:color w:val="C0504D" w:themeColor="accent2"/>
        </w:rPr>
        <w:t>Executive staff state that the COVID-19 Response Reserve i</w:t>
      </w:r>
      <w:r w:rsidR="00DB0732" w:rsidRPr="001D1A7E">
        <w:rPr>
          <w:rFonts w:ascii="Arial" w:hAnsi="Arial" w:cs="Arial"/>
          <w:color w:val="C0504D" w:themeColor="accent2"/>
          <w:szCs w:val="24"/>
        </w:rPr>
        <w:t xml:space="preserve">s primarily held for </w:t>
      </w:r>
      <w:r w:rsidR="00556911" w:rsidRPr="001D1A7E">
        <w:rPr>
          <w:rFonts w:ascii="Arial" w:hAnsi="Arial" w:cs="Arial"/>
          <w:color w:val="C0504D" w:themeColor="accent2"/>
          <w:szCs w:val="24"/>
        </w:rPr>
        <w:t xml:space="preserve">future needs for the </w:t>
      </w:r>
      <w:r w:rsidR="00DB0732" w:rsidRPr="001D1A7E">
        <w:rPr>
          <w:rFonts w:ascii="Arial" w:hAnsi="Arial" w:cs="Arial"/>
          <w:color w:val="C0504D" w:themeColor="accent2"/>
          <w:szCs w:val="24"/>
        </w:rPr>
        <w:t>Public Health</w:t>
      </w:r>
      <w:r w:rsidR="00BF54F5" w:rsidRPr="001D1A7E">
        <w:rPr>
          <w:rFonts w:ascii="Arial" w:hAnsi="Arial" w:cs="Arial"/>
          <w:color w:val="C0504D" w:themeColor="accent2"/>
          <w:szCs w:val="24"/>
        </w:rPr>
        <w:t xml:space="preserve"> – </w:t>
      </w:r>
      <w:r w:rsidR="001B67DA" w:rsidRPr="001D1A7E">
        <w:rPr>
          <w:rFonts w:ascii="Arial" w:hAnsi="Arial" w:cs="Arial"/>
          <w:color w:val="C0504D" w:themeColor="accent2"/>
          <w:szCs w:val="24"/>
        </w:rPr>
        <w:t>Seattle</w:t>
      </w:r>
      <w:r w:rsidR="00BF54F5" w:rsidRPr="001D1A7E">
        <w:rPr>
          <w:rFonts w:ascii="Arial" w:hAnsi="Arial" w:cs="Arial"/>
          <w:color w:val="C0504D" w:themeColor="accent2"/>
          <w:szCs w:val="24"/>
        </w:rPr>
        <w:t xml:space="preserve"> &amp; </w:t>
      </w:r>
      <w:r w:rsidR="001B67DA" w:rsidRPr="001D1A7E">
        <w:rPr>
          <w:rFonts w:ascii="Arial" w:hAnsi="Arial" w:cs="Arial"/>
          <w:color w:val="C0504D" w:themeColor="accent2"/>
          <w:szCs w:val="24"/>
        </w:rPr>
        <w:t xml:space="preserve">King County </w:t>
      </w:r>
      <w:r w:rsidR="00DB0732" w:rsidRPr="001D1A7E">
        <w:rPr>
          <w:rFonts w:ascii="Arial" w:hAnsi="Arial" w:cs="Arial"/>
          <w:color w:val="C0504D" w:themeColor="accent2"/>
          <w:szCs w:val="24"/>
        </w:rPr>
        <w:t xml:space="preserve">and </w:t>
      </w:r>
      <w:r w:rsidR="00BF54F5" w:rsidRPr="001D1A7E">
        <w:rPr>
          <w:rFonts w:ascii="Arial" w:hAnsi="Arial" w:cs="Arial"/>
          <w:color w:val="C0504D" w:themeColor="accent2"/>
          <w:szCs w:val="24"/>
        </w:rPr>
        <w:t xml:space="preserve">the </w:t>
      </w:r>
      <w:r w:rsidR="001B67DA" w:rsidRPr="001D1A7E">
        <w:rPr>
          <w:rFonts w:ascii="Arial" w:hAnsi="Arial" w:cs="Arial"/>
          <w:color w:val="C0504D" w:themeColor="accent2"/>
          <w:szCs w:val="24"/>
        </w:rPr>
        <w:t>Department of Community and Human Service</w:t>
      </w:r>
      <w:r w:rsidR="00BF54F5" w:rsidRPr="001D1A7E">
        <w:rPr>
          <w:rFonts w:ascii="Arial" w:hAnsi="Arial" w:cs="Arial"/>
          <w:color w:val="C0504D" w:themeColor="accent2"/>
          <w:szCs w:val="24"/>
        </w:rPr>
        <w:t>s’</w:t>
      </w:r>
      <w:r w:rsidR="00DB0732" w:rsidRPr="001D1A7E">
        <w:rPr>
          <w:rFonts w:ascii="Arial" w:hAnsi="Arial" w:cs="Arial"/>
          <w:color w:val="C0504D" w:themeColor="accent2"/>
          <w:szCs w:val="24"/>
        </w:rPr>
        <w:t xml:space="preserve"> </w:t>
      </w:r>
      <w:r w:rsidR="00556911" w:rsidRPr="001D1A7E">
        <w:rPr>
          <w:rFonts w:ascii="Arial" w:hAnsi="Arial" w:cs="Arial"/>
          <w:color w:val="C0504D" w:themeColor="accent2"/>
          <w:szCs w:val="24"/>
        </w:rPr>
        <w:t xml:space="preserve">COVID-19 pandemic </w:t>
      </w:r>
      <w:r w:rsidR="00DB0732" w:rsidRPr="001D1A7E">
        <w:rPr>
          <w:rFonts w:ascii="Arial" w:hAnsi="Arial" w:cs="Arial"/>
          <w:color w:val="C0504D" w:themeColor="accent2"/>
          <w:szCs w:val="24"/>
        </w:rPr>
        <w:t xml:space="preserve">response </w:t>
      </w:r>
      <w:r w:rsidR="007561AE" w:rsidRPr="001D1A7E">
        <w:rPr>
          <w:rFonts w:ascii="Arial" w:hAnsi="Arial" w:cs="Arial"/>
          <w:color w:val="C0504D" w:themeColor="accent2"/>
          <w:szCs w:val="24"/>
        </w:rPr>
        <w:t xml:space="preserve">such as </w:t>
      </w:r>
      <w:r w:rsidR="00DB0732" w:rsidRPr="001D1A7E">
        <w:rPr>
          <w:rFonts w:ascii="Arial" w:hAnsi="Arial" w:cs="Arial"/>
          <w:color w:val="C0504D" w:themeColor="accent2"/>
          <w:szCs w:val="24"/>
        </w:rPr>
        <w:t>testing, tracing, deintensification, sheltering, isolation and quarantine</w:t>
      </w:r>
      <w:r w:rsidR="007561AE" w:rsidRPr="001D1A7E">
        <w:rPr>
          <w:rFonts w:ascii="Arial" w:hAnsi="Arial" w:cs="Arial"/>
          <w:color w:val="C0504D" w:themeColor="accent2"/>
          <w:szCs w:val="24"/>
        </w:rPr>
        <w:t>.</w:t>
      </w:r>
    </w:p>
    <w:p w14:paraId="32E24DAB" w14:textId="2CBB41E9" w:rsidR="00DB0732" w:rsidRDefault="00DB0732" w:rsidP="00ED350A">
      <w:pPr>
        <w:spacing w:line="264" w:lineRule="auto"/>
        <w:jc w:val="both"/>
        <w:rPr>
          <w:rFonts w:ascii="Arial" w:hAnsi="Arial" w:cs="Arial"/>
        </w:rPr>
      </w:pPr>
    </w:p>
    <w:p w14:paraId="5DE62DCF" w14:textId="2ECA75BC" w:rsidR="00887537" w:rsidRPr="00887537" w:rsidRDefault="001A61D4" w:rsidP="00ED350A">
      <w:pPr>
        <w:spacing w:line="264" w:lineRule="auto"/>
        <w:jc w:val="both"/>
        <w:rPr>
          <w:rFonts w:ascii="Arial" w:hAnsi="Arial" w:cs="Arial"/>
        </w:rPr>
      </w:pPr>
      <w:r>
        <w:rPr>
          <w:rFonts w:ascii="Arial" w:hAnsi="Arial" w:cs="Arial"/>
        </w:rPr>
        <w:t xml:space="preserve">It should be noted that </w:t>
      </w:r>
      <w:r w:rsidR="00F91C8B">
        <w:rPr>
          <w:rFonts w:ascii="Arial" w:hAnsi="Arial" w:cs="Arial"/>
        </w:rPr>
        <w:t xml:space="preserve">moneys designated in reserves have not been appropriated by council and would need council </w:t>
      </w:r>
      <w:r w:rsidR="00A61BF2">
        <w:rPr>
          <w:rFonts w:ascii="Arial" w:hAnsi="Arial" w:cs="Arial"/>
        </w:rPr>
        <w:t>approval to be expended.</w:t>
      </w:r>
      <w:r w:rsidR="00887537">
        <w:rPr>
          <w:rFonts w:ascii="Arial" w:hAnsi="Arial" w:cs="Arial"/>
        </w:rPr>
        <w:t xml:space="preserve"> </w:t>
      </w:r>
      <w:r w:rsidR="00887537" w:rsidRPr="001D1A7E">
        <w:rPr>
          <w:rFonts w:ascii="Arial" w:hAnsi="Arial" w:cs="Arial"/>
          <w:color w:val="C0504D" w:themeColor="accent2"/>
        </w:rPr>
        <w:t xml:space="preserve">It should be reiterated that </w:t>
      </w:r>
      <w:r w:rsidR="00274F36" w:rsidRPr="001D1A7E">
        <w:rPr>
          <w:rFonts w:ascii="Arial" w:hAnsi="Arial" w:cs="Arial"/>
          <w:color w:val="C0504D" w:themeColor="accent2"/>
        </w:rPr>
        <w:t>t</w:t>
      </w:r>
      <w:r w:rsidR="00887537" w:rsidRPr="001D1A7E">
        <w:rPr>
          <w:rFonts w:ascii="Arial" w:hAnsi="Arial" w:cs="Arial"/>
          <w:color w:val="C0504D" w:themeColor="accent2"/>
        </w:rPr>
        <w:t xml:space="preserve">he </w:t>
      </w:r>
      <w:r w:rsidR="00C52FCD" w:rsidRPr="001D1A7E">
        <w:rPr>
          <w:rFonts w:ascii="Arial" w:hAnsi="Arial" w:cs="Arial"/>
          <w:color w:val="C0504D" w:themeColor="accent2"/>
        </w:rPr>
        <w:t xml:space="preserve">$45.6 million of Ending </w:t>
      </w:r>
      <w:r w:rsidR="00C52FCD" w:rsidRPr="001D1A7E">
        <w:rPr>
          <w:rFonts w:ascii="Arial" w:hAnsi="Arial" w:cs="Arial"/>
          <w:color w:val="C0504D" w:themeColor="accent2"/>
          <w:u w:val="single"/>
        </w:rPr>
        <w:t>Undesignated</w:t>
      </w:r>
      <w:r w:rsidR="00C52FCD" w:rsidRPr="001D1A7E">
        <w:rPr>
          <w:rFonts w:ascii="Arial" w:hAnsi="Arial" w:cs="Arial"/>
          <w:color w:val="C0504D" w:themeColor="accent2"/>
        </w:rPr>
        <w:t xml:space="preserve"> Fund Balance</w:t>
      </w:r>
      <w:r w:rsidR="00274F36" w:rsidRPr="001D1A7E">
        <w:rPr>
          <w:rFonts w:ascii="Arial" w:hAnsi="Arial" w:cs="Arial"/>
          <w:color w:val="C0504D" w:themeColor="accent2"/>
        </w:rPr>
        <w:t xml:space="preserve"> </w:t>
      </w:r>
      <w:r w:rsidR="00EF0181" w:rsidRPr="001D1A7E">
        <w:rPr>
          <w:rFonts w:ascii="Arial" w:hAnsi="Arial" w:cs="Arial"/>
          <w:color w:val="C0504D" w:themeColor="accent2"/>
          <w:u w:val="single"/>
        </w:rPr>
        <w:t>accounts</w:t>
      </w:r>
      <w:r w:rsidR="00C52FCD" w:rsidRPr="001D1A7E">
        <w:rPr>
          <w:rFonts w:ascii="Arial" w:hAnsi="Arial" w:cs="Arial"/>
          <w:color w:val="C0504D" w:themeColor="accent2"/>
        </w:rPr>
        <w:t xml:space="preserve"> for the $60 million that would be designated for these two reserves.</w:t>
      </w:r>
    </w:p>
    <w:p w14:paraId="1A323E89" w14:textId="77777777" w:rsidR="0065010F" w:rsidRDefault="0065010F" w:rsidP="00AE6A3C">
      <w:pPr>
        <w:spacing w:line="264" w:lineRule="auto"/>
        <w:jc w:val="both"/>
        <w:rPr>
          <w:rFonts w:ascii="Arial" w:hAnsi="Arial" w:cs="Arial"/>
          <w:szCs w:val="24"/>
        </w:rPr>
      </w:pPr>
    </w:p>
    <w:p w14:paraId="57C97A1C" w14:textId="4C595582" w:rsidR="00773FED" w:rsidRDefault="003A6214" w:rsidP="00AE6A3C">
      <w:pPr>
        <w:spacing w:line="264" w:lineRule="auto"/>
        <w:jc w:val="both"/>
        <w:rPr>
          <w:rFonts w:ascii="Arial" w:hAnsi="Arial" w:cs="Arial"/>
        </w:rPr>
      </w:pPr>
      <w:r>
        <w:rPr>
          <w:rFonts w:ascii="Arial" w:hAnsi="Arial" w:cs="Arial"/>
          <w:b/>
          <w:bCs/>
        </w:rPr>
        <w:t>COVID-19 Priorities for 2021.</w:t>
      </w:r>
      <w:r>
        <w:rPr>
          <w:rFonts w:ascii="Arial" w:hAnsi="Arial" w:cs="Arial"/>
        </w:rPr>
        <w:t xml:space="preserve">  </w:t>
      </w:r>
      <w:r w:rsidR="0072749E">
        <w:rPr>
          <w:rFonts w:ascii="Arial" w:hAnsi="Arial" w:cs="Arial"/>
        </w:rPr>
        <w:t xml:space="preserve"> </w:t>
      </w:r>
      <w:r>
        <w:rPr>
          <w:rFonts w:ascii="Arial" w:hAnsi="Arial" w:cs="Arial"/>
        </w:rPr>
        <w:t>On February 9, 2021, the council adopted Motion 15816</w:t>
      </w:r>
      <w:r w:rsidR="00650242">
        <w:rPr>
          <w:rFonts w:ascii="Arial" w:hAnsi="Arial" w:cs="Arial"/>
        </w:rPr>
        <w:t>,</w:t>
      </w:r>
      <w:r>
        <w:rPr>
          <w:rFonts w:ascii="Arial" w:hAnsi="Arial" w:cs="Arial"/>
        </w:rPr>
        <w:t xml:space="preserve"> which set</w:t>
      </w:r>
      <w:r w:rsidRPr="003A6214">
        <w:rPr>
          <w:rFonts w:ascii="Arial" w:hAnsi="Arial" w:cs="Arial"/>
        </w:rPr>
        <w:t xml:space="preserve"> the county's priorities for allocation of federal and state COVID-19 relief moneys available in 2021</w:t>
      </w:r>
      <w:r w:rsidR="00773FED">
        <w:rPr>
          <w:rFonts w:ascii="Arial" w:hAnsi="Arial" w:cs="Arial"/>
        </w:rPr>
        <w:t xml:space="preserve">. The motion requested the executive to make </w:t>
      </w:r>
      <w:r w:rsidR="00773FED" w:rsidRPr="00773FED">
        <w:rPr>
          <w:rFonts w:ascii="Arial" w:hAnsi="Arial" w:cs="Arial"/>
        </w:rPr>
        <w:t>proposals allocating COVID-19 relief moneys</w:t>
      </w:r>
      <w:r w:rsidR="00773FED">
        <w:rPr>
          <w:rFonts w:ascii="Arial" w:hAnsi="Arial" w:cs="Arial"/>
        </w:rPr>
        <w:t xml:space="preserve"> based on the </w:t>
      </w:r>
      <w:r w:rsidR="006539F5">
        <w:rPr>
          <w:rFonts w:ascii="Arial" w:hAnsi="Arial" w:cs="Arial"/>
        </w:rPr>
        <w:t xml:space="preserve">following </w:t>
      </w:r>
      <w:r w:rsidR="00773FED">
        <w:rPr>
          <w:rFonts w:ascii="Arial" w:hAnsi="Arial" w:cs="Arial"/>
        </w:rPr>
        <w:t>priorities:</w:t>
      </w:r>
    </w:p>
    <w:p w14:paraId="3E2E4B06" w14:textId="72AB4A57" w:rsidR="00773FED" w:rsidRDefault="00773FED" w:rsidP="00773FED">
      <w:pPr>
        <w:pStyle w:val="ListParagraph0"/>
        <w:numPr>
          <w:ilvl w:val="0"/>
          <w:numId w:val="31"/>
        </w:numPr>
        <w:spacing w:line="264" w:lineRule="auto"/>
        <w:jc w:val="both"/>
        <w:rPr>
          <w:rFonts w:ascii="Arial" w:hAnsi="Arial" w:cs="Arial"/>
        </w:rPr>
      </w:pPr>
      <w:r>
        <w:rPr>
          <w:rFonts w:ascii="Arial" w:hAnsi="Arial" w:cs="Arial"/>
        </w:rPr>
        <w:t>County’s public health response to the pandemic including vaccination efforts,</w:t>
      </w:r>
    </w:p>
    <w:p w14:paraId="304FDB7A" w14:textId="66D26DE9" w:rsidR="00773FED" w:rsidRDefault="00773FED" w:rsidP="00773FED">
      <w:pPr>
        <w:pStyle w:val="ListParagraph0"/>
        <w:numPr>
          <w:ilvl w:val="0"/>
          <w:numId w:val="31"/>
        </w:numPr>
        <w:spacing w:line="264" w:lineRule="auto"/>
        <w:jc w:val="both"/>
        <w:rPr>
          <w:rFonts w:ascii="Arial" w:hAnsi="Arial" w:cs="Arial"/>
        </w:rPr>
      </w:pPr>
      <w:r>
        <w:rPr>
          <w:rFonts w:ascii="Arial" w:hAnsi="Arial" w:cs="Arial"/>
        </w:rPr>
        <w:t>U</w:t>
      </w:r>
      <w:r w:rsidRPr="00773FED">
        <w:rPr>
          <w:rFonts w:ascii="Arial" w:hAnsi="Arial" w:cs="Arial"/>
        </w:rPr>
        <w:t xml:space="preserve">se a principled approach based on equity and social justice values and in promoting antiracist outcomes in </w:t>
      </w:r>
      <w:r>
        <w:rPr>
          <w:rFonts w:ascii="Arial" w:hAnsi="Arial" w:cs="Arial"/>
        </w:rPr>
        <w:t>allocating the relief moneys,</w:t>
      </w:r>
    </w:p>
    <w:p w14:paraId="31CF63EE" w14:textId="03EEC3E8" w:rsidR="00773FED" w:rsidRDefault="00773FED" w:rsidP="00773FED">
      <w:pPr>
        <w:pStyle w:val="ListParagraph0"/>
        <w:numPr>
          <w:ilvl w:val="0"/>
          <w:numId w:val="31"/>
        </w:numPr>
        <w:spacing w:line="264" w:lineRule="auto"/>
        <w:jc w:val="both"/>
        <w:rPr>
          <w:rFonts w:ascii="Arial" w:hAnsi="Arial" w:cs="Arial"/>
        </w:rPr>
      </w:pPr>
      <w:r>
        <w:rPr>
          <w:rFonts w:ascii="Arial" w:hAnsi="Arial" w:cs="Arial"/>
        </w:rPr>
        <w:t>Narrow</w:t>
      </w:r>
      <w:r w:rsidRPr="00773FED">
        <w:rPr>
          <w:rFonts w:ascii="Arial" w:hAnsi="Arial" w:cs="Arial"/>
        </w:rPr>
        <w:t xml:space="preserve"> range of services to ensure that limited relief moneys have the most-effective recovery impact and avoid duplication of services</w:t>
      </w:r>
      <w:r>
        <w:rPr>
          <w:rFonts w:ascii="Arial" w:hAnsi="Arial" w:cs="Arial"/>
        </w:rPr>
        <w:t>,</w:t>
      </w:r>
    </w:p>
    <w:p w14:paraId="3393F48F" w14:textId="2DD27965" w:rsidR="00773FED" w:rsidRDefault="00773FED" w:rsidP="00773FED">
      <w:pPr>
        <w:pStyle w:val="ListParagraph0"/>
        <w:numPr>
          <w:ilvl w:val="0"/>
          <w:numId w:val="31"/>
        </w:numPr>
        <w:spacing w:line="264" w:lineRule="auto"/>
        <w:jc w:val="both"/>
        <w:rPr>
          <w:rFonts w:ascii="Arial" w:hAnsi="Arial" w:cs="Arial"/>
        </w:rPr>
      </w:pPr>
      <w:r>
        <w:rPr>
          <w:rFonts w:ascii="Arial" w:hAnsi="Arial" w:cs="Arial"/>
        </w:rPr>
        <w:t>Alleviate</w:t>
      </w:r>
      <w:r w:rsidRPr="00773FED">
        <w:rPr>
          <w:rFonts w:ascii="Arial" w:hAnsi="Arial" w:cs="Arial"/>
        </w:rPr>
        <w:t xml:space="preserve"> administrative burdens </w:t>
      </w:r>
      <w:r>
        <w:rPr>
          <w:rFonts w:ascii="Arial" w:hAnsi="Arial" w:cs="Arial"/>
        </w:rPr>
        <w:t>for organizations in applying for and receiving relief moneys, and</w:t>
      </w:r>
    </w:p>
    <w:p w14:paraId="3DAB2E0D" w14:textId="2028010D" w:rsidR="00773FED" w:rsidRPr="00773FED" w:rsidRDefault="00773FED" w:rsidP="00773FED">
      <w:pPr>
        <w:pStyle w:val="ListParagraph0"/>
        <w:numPr>
          <w:ilvl w:val="0"/>
          <w:numId w:val="31"/>
        </w:numPr>
        <w:spacing w:line="264" w:lineRule="auto"/>
        <w:jc w:val="both"/>
        <w:rPr>
          <w:rFonts w:ascii="Arial" w:hAnsi="Arial" w:cs="Arial"/>
        </w:rPr>
      </w:pPr>
      <w:r>
        <w:rPr>
          <w:rFonts w:ascii="Arial" w:hAnsi="Arial" w:cs="Arial"/>
        </w:rPr>
        <w:t xml:space="preserve">Provide direct emergency response for the following </w:t>
      </w:r>
      <w:r w:rsidR="003B578C">
        <w:rPr>
          <w:rFonts w:ascii="Arial" w:hAnsi="Arial" w:cs="Arial"/>
        </w:rPr>
        <w:t>services</w:t>
      </w:r>
      <w:r>
        <w:rPr>
          <w:rFonts w:ascii="Arial" w:hAnsi="Arial" w:cs="Arial"/>
        </w:rPr>
        <w:t>: f</w:t>
      </w:r>
      <w:r w:rsidRPr="00773FED">
        <w:rPr>
          <w:rFonts w:ascii="Arial" w:hAnsi="Arial" w:cs="Arial"/>
        </w:rPr>
        <w:t>ood security and access</w:t>
      </w:r>
      <w:r>
        <w:rPr>
          <w:rFonts w:ascii="Arial" w:hAnsi="Arial" w:cs="Arial"/>
        </w:rPr>
        <w:t>; h</w:t>
      </w:r>
      <w:r w:rsidRPr="00773FED">
        <w:rPr>
          <w:rFonts w:ascii="Arial" w:hAnsi="Arial" w:cs="Arial"/>
        </w:rPr>
        <w:t>ousing stability and homelessness</w:t>
      </w:r>
      <w:r>
        <w:rPr>
          <w:rFonts w:ascii="Arial" w:hAnsi="Arial" w:cs="Arial"/>
        </w:rPr>
        <w:t>; c</w:t>
      </w:r>
      <w:r w:rsidRPr="00773FED">
        <w:rPr>
          <w:rFonts w:ascii="Arial" w:hAnsi="Arial" w:cs="Arial"/>
        </w:rPr>
        <w:t>hild care and workforce support</w:t>
      </w:r>
      <w:r>
        <w:rPr>
          <w:rFonts w:ascii="Arial" w:hAnsi="Arial" w:cs="Arial"/>
        </w:rPr>
        <w:t xml:space="preserve">; </w:t>
      </w:r>
      <w:r w:rsidR="003B578C">
        <w:rPr>
          <w:rFonts w:ascii="Arial" w:hAnsi="Arial" w:cs="Arial"/>
        </w:rPr>
        <w:t>e</w:t>
      </w:r>
      <w:r w:rsidRPr="00773FED">
        <w:rPr>
          <w:rFonts w:ascii="Arial" w:hAnsi="Arial" w:cs="Arial"/>
        </w:rPr>
        <w:t>conomic recovery</w:t>
      </w:r>
      <w:r>
        <w:rPr>
          <w:rFonts w:ascii="Arial" w:hAnsi="Arial" w:cs="Arial"/>
        </w:rPr>
        <w:t>;</w:t>
      </w:r>
      <w:r w:rsidRPr="00773FED">
        <w:t xml:space="preserve"> </w:t>
      </w:r>
      <w:r w:rsidR="003B578C">
        <w:rPr>
          <w:rFonts w:ascii="Arial" w:hAnsi="Arial" w:cs="Arial"/>
        </w:rPr>
        <w:t>m</w:t>
      </w:r>
      <w:r w:rsidRPr="00773FED">
        <w:rPr>
          <w:rFonts w:ascii="Arial" w:hAnsi="Arial" w:cs="Arial"/>
        </w:rPr>
        <w:t xml:space="preserve">ental health, behavioral health, substance use disorder, </w:t>
      </w:r>
      <w:r w:rsidR="00006345" w:rsidRPr="00773FED">
        <w:rPr>
          <w:rFonts w:ascii="Arial" w:hAnsi="Arial" w:cs="Arial"/>
        </w:rPr>
        <w:t>safety,</w:t>
      </w:r>
      <w:r w:rsidRPr="00773FED">
        <w:rPr>
          <w:rFonts w:ascii="Arial" w:hAnsi="Arial" w:cs="Arial"/>
        </w:rPr>
        <w:t xml:space="preserve"> and security</w:t>
      </w:r>
      <w:r w:rsidR="003B578C">
        <w:rPr>
          <w:rFonts w:ascii="Arial" w:hAnsi="Arial" w:cs="Arial"/>
        </w:rPr>
        <w:t xml:space="preserve">; and </w:t>
      </w:r>
      <w:r w:rsidR="00833297">
        <w:rPr>
          <w:rFonts w:ascii="Arial" w:hAnsi="Arial" w:cs="Arial"/>
        </w:rPr>
        <w:t xml:space="preserve">the </w:t>
      </w:r>
      <w:r w:rsidR="003B578C">
        <w:rPr>
          <w:rFonts w:ascii="Arial" w:hAnsi="Arial" w:cs="Arial"/>
        </w:rPr>
        <w:t>judicial system.</w:t>
      </w:r>
    </w:p>
    <w:p w14:paraId="7381C71C" w14:textId="77777777" w:rsidR="001A2A64" w:rsidRPr="006064FA" w:rsidRDefault="001A2A64" w:rsidP="00AF2F03">
      <w:pPr>
        <w:spacing w:line="264" w:lineRule="auto"/>
        <w:jc w:val="both"/>
        <w:rPr>
          <w:rFonts w:ascii="Arial" w:hAnsi="Arial" w:cs="Arial"/>
        </w:rPr>
      </w:pPr>
    </w:p>
    <w:p w14:paraId="5356C322" w14:textId="6BC693C2" w:rsidR="0072221E" w:rsidRDefault="0072221E" w:rsidP="0072221E">
      <w:pPr>
        <w:keepNext/>
        <w:spacing w:line="264" w:lineRule="auto"/>
        <w:jc w:val="both"/>
        <w:rPr>
          <w:rFonts w:ascii="Arial" w:hAnsi="Arial" w:cs="Arial"/>
          <w:b/>
          <w:smallCaps/>
          <w:szCs w:val="24"/>
          <w:u w:val="single"/>
        </w:rPr>
      </w:pPr>
      <w:r>
        <w:rPr>
          <w:rFonts w:ascii="Arial" w:hAnsi="Arial" w:cs="Arial"/>
          <w:b/>
          <w:smallCaps/>
          <w:szCs w:val="24"/>
          <w:u w:val="single"/>
        </w:rPr>
        <w:t>ANALYSIS</w:t>
      </w:r>
    </w:p>
    <w:p w14:paraId="5694470E" w14:textId="77777777" w:rsidR="00642124" w:rsidRPr="005B7B09" w:rsidRDefault="00642124" w:rsidP="00AE6A3C">
      <w:pPr>
        <w:spacing w:line="264" w:lineRule="auto"/>
        <w:jc w:val="both"/>
        <w:rPr>
          <w:rFonts w:ascii="Arial" w:hAnsi="Arial" w:cs="Arial"/>
          <w:bCs/>
          <w:szCs w:val="24"/>
        </w:rPr>
      </w:pPr>
    </w:p>
    <w:p w14:paraId="4E66F4BE" w14:textId="071AF433" w:rsidR="00602155" w:rsidRDefault="00E47644" w:rsidP="00AF2F03">
      <w:pPr>
        <w:spacing w:line="264" w:lineRule="auto"/>
        <w:jc w:val="both"/>
        <w:rPr>
          <w:rFonts w:ascii="Arial" w:hAnsi="Arial" w:cs="Arial"/>
        </w:rPr>
      </w:pPr>
      <w:r>
        <w:rPr>
          <w:rFonts w:ascii="Arial" w:hAnsi="Arial" w:cs="Arial"/>
        </w:rPr>
        <w:t>Th</w:t>
      </w:r>
      <w:r w:rsidR="00D371FF">
        <w:rPr>
          <w:rFonts w:ascii="Arial" w:hAnsi="Arial" w:cs="Arial"/>
        </w:rPr>
        <w:t>e</w:t>
      </w:r>
      <w:r>
        <w:rPr>
          <w:rFonts w:ascii="Arial" w:hAnsi="Arial" w:cs="Arial"/>
        </w:rPr>
        <w:t xml:space="preserve"> proposed ordinance</w:t>
      </w:r>
      <w:r w:rsidR="000E2E7D">
        <w:rPr>
          <w:rFonts w:ascii="Arial" w:hAnsi="Arial" w:cs="Arial"/>
        </w:rPr>
        <w:t xml:space="preserve"> </w:t>
      </w:r>
      <w:r w:rsidR="004113E3">
        <w:rPr>
          <w:rFonts w:ascii="Arial" w:hAnsi="Arial" w:cs="Arial"/>
        </w:rPr>
        <w:t xml:space="preserve">(COVID </w:t>
      </w:r>
      <w:r w:rsidR="0086000C">
        <w:rPr>
          <w:rFonts w:ascii="Arial" w:hAnsi="Arial" w:cs="Arial"/>
        </w:rPr>
        <w:t>8</w:t>
      </w:r>
      <w:r w:rsidR="004113E3">
        <w:rPr>
          <w:rFonts w:ascii="Arial" w:hAnsi="Arial" w:cs="Arial"/>
        </w:rPr>
        <w:t xml:space="preserve">) would </w:t>
      </w:r>
      <w:r w:rsidR="00D371FF">
        <w:rPr>
          <w:rFonts w:ascii="Arial" w:hAnsi="Arial" w:cs="Arial"/>
        </w:rPr>
        <w:t xml:space="preserve">appropriate approximately </w:t>
      </w:r>
      <w:r w:rsidR="00D371FF" w:rsidRPr="00C4057C">
        <w:rPr>
          <w:rFonts w:ascii="Arial" w:hAnsi="Arial" w:cs="Arial"/>
          <w:u w:val="single"/>
        </w:rPr>
        <w:t>$</w:t>
      </w:r>
      <w:r w:rsidR="00602155" w:rsidRPr="00C4057C">
        <w:rPr>
          <w:rFonts w:ascii="Arial" w:hAnsi="Arial" w:cs="Arial"/>
          <w:u w:val="single"/>
        </w:rPr>
        <w:t>20</w:t>
      </w:r>
      <w:r w:rsidR="003811DB">
        <w:rPr>
          <w:rFonts w:ascii="Arial" w:hAnsi="Arial" w:cs="Arial"/>
          <w:u w:val="single"/>
        </w:rPr>
        <w:t>2.6</w:t>
      </w:r>
      <w:r w:rsidR="00D371FF" w:rsidRPr="00C4057C">
        <w:rPr>
          <w:rFonts w:ascii="Arial" w:hAnsi="Arial" w:cs="Arial"/>
          <w:u w:val="single"/>
        </w:rPr>
        <w:t xml:space="preserve"> million</w:t>
      </w:r>
      <w:r w:rsidR="00D371FF">
        <w:rPr>
          <w:rFonts w:ascii="Arial" w:hAnsi="Arial" w:cs="Arial"/>
        </w:rPr>
        <w:t xml:space="preserve"> </w:t>
      </w:r>
      <w:r w:rsidR="0020241B">
        <w:rPr>
          <w:rFonts w:ascii="Arial" w:hAnsi="Arial" w:cs="Arial"/>
        </w:rPr>
        <w:t xml:space="preserve">and </w:t>
      </w:r>
      <w:r w:rsidR="0020241B" w:rsidRPr="000D3DA1">
        <w:rPr>
          <w:rFonts w:ascii="Arial" w:hAnsi="Arial" w:cs="Arial"/>
          <w:u w:val="single"/>
        </w:rPr>
        <w:t>25.5 FTEs</w:t>
      </w:r>
      <w:r w:rsidR="0020241B">
        <w:rPr>
          <w:rFonts w:ascii="Arial" w:hAnsi="Arial" w:cs="Arial"/>
        </w:rPr>
        <w:t xml:space="preserve"> </w:t>
      </w:r>
      <w:r w:rsidR="007E38AB">
        <w:rPr>
          <w:rFonts w:ascii="Arial" w:hAnsi="Arial" w:cs="Arial"/>
        </w:rPr>
        <w:t>in response to the COVID-19 pandemic</w:t>
      </w:r>
      <w:r w:rsidR="00697D46">
        <w:rPr>
          <w:rFonts w:ascii="Arial" w:hAnsi="Arial" w:cs="Arial"/>
        </w:rPr>
        <w:t xml:space="preserve"> and </w:t>
      </w:r>
      <w:r w:rsidR="00467B5A">
        <w:rPr>
          <w:rFonts w:ascii="Arial" w:hAnsi="Arial" w:cs="Arial"/>
        </w:rPr>
        <w:t xml:space="preserve">support </w:t>
      </w:r>
      <w:r w:rsidR="00162378">
        <w:rPr>
          <w:rFonts w:ascii="Arial" w:hAnsi="Arial" w:cs="Arial"/>
        </w:rPr>
        <w:t>130.3 short-term</w:t>
      </w:r>
      <w:r w:rsidR="00467B5A">
        <w:rPr>
          <w:rFonts w:ascii="Arial" w:hAnsi="Arial" w:cs="Arial"/>
        </w:rPr>
        <w:t xml:space="preserve"> </w:t>
      </w:r>
      <w:r w:rsidR="00C36BE3">
        <w:rPr>
          <w:rFonts w:ascii="Arial" w:hAnsi="Arial" w:cs="Arial"/>
        </w:rPr>
        <w:t xml:space="preserve">temporary </w:t>
      </w:r>
      <w:r w:rsidR="00162378">
        <w:rPr>
          <w:rFonts w:ascii="Arial" w:hAnsi="Arial" w:cs="Arial"/>
        </w:rPr>
        <w:t>(STT) / term-limited temporary (TLT) c</w:t>
      </w:r>
      <w:r w:rsidR="00467B5A">
        <w:rPr>
          <w:rFonts w:ascii="Arial" w:hAnsi="Arial" w:cs="Arial"/>
        </w:rPr>
        <w:t>ounty positions.</w:t>
      </w:r>
    </w:p>
    <w:p w14:paraId="366E587E" w14:textId="77777777" w:rsidR="00602155" w:rsidRDefault="00602155" w:rsidP="00602155">
      <w:pPr>
        <w:spacing w:line="264" w:lineRule="auto"/>
        <w:jc w:val="both"/>
        <w:rPr>
          <w:rFonts w:ascii="Arial" w:hAnsi="Arial" w:cs="Arial"/>
        </w:rPr>
      </w:pPr>
    </w:p>
    <w:p w14:paraId="4245ADD8" w14:textId="5ABD3046" w:rsidR="00602155" w:rsidRDefault="00C4057C" w:rsidP="00602155">
      <w:pPr>
        <w:spacing w:line="264" w:lineRule="auto"/>
        <w:jc w:val="both"/>
        <w:rPr>
          <w:rFonts w:ascii="Arial" w:hAnsi="Arial" w:cs="Arial"/>
        </w:rPr>
      </w:pPr>
      <w:r>
        <w:rPr>
          <w:rFonts w:ascii="Arial" w:hAnsi="Arial" w:cs="Arial"/>
        </w:rPr>
        <w:t xml:space="preserve">Of the total proposed, </w:t>
      </w:r>
      <w:r w:rsidR="00602155">
        <w:rPr>
          <w:rFonts w:ascii="Arial" w:hAnsi="Arial" w:cs="Arial"/>
        </w:rPr>
        <w:t xml:space="preserve">COVID 8 would appropriate </w:t>
      </w:r>
      <w:r w:rsidR="00602155" w:rsidRPr="001D1A7E">
        <w:rPr>
          <w:rFonts w:ascii="Arial" w:hAnsi="Arial" w:cs="Arial"/>
          <w:strike/>
          <w:color w:val="C0504D" w:themeColor="accent2"/>
        </w:rPr>
        <w:t>$68</w:t>
      </w:r>
      <w:r w:rsidR="00133A3D" w:rsidRPr="001D1A7E">
        <w:rPr>
          <w:rFonts w:ascii="Arial" w:hAnsi="Arial" w:cs="Arial"/>
          <w:strike/>
          <w:color w:val="C0504D" w:themeColor="accent2"/>
        </w:rPr>
        <w:t>.2</w:t>
      </w:r>
      <w:r w:rsidR="00602155" w:rsidRPr="001D1A7E">
        <w:rPr>
          <w:rFonts w:ascii="Arial" w:hAnsi="Arial" w:cs="Arial"/>
          <w:strike/>
          <w:color w:val="C0504D" w:themeColor="accent2"/>
        </w:rPr>
        <w:t xml:space="preserve"> million of</w:t>
      </w:r>
      <w:r w:rsidR="00602155" w:rsidRPr="001D1A7E">
        <w:rPr>
          <w:rFonts w:ascii="Arial" w:hAnsi="Arial" w:cs="Arial"/>
          <w:color w:val="C0504D" w:themeColor="accent2"/>
        </w:rPr>
        <w:t xml:space="preserve"> </w:t>
      </w:r>
      <w:r w:rsidR="00602155">
        <w:rPr>
          <w:rFonts w:ascii="Arial" w:hAnsi="Arial" w:cs="Arial"/>
        </w:rPr>
        <w:t>the remaining $70 million of the county’s</w:t>
      </w:r>
      <w:r>
        <w:rPr>
          <w:rFonts w:ascii="Arial" w:hAnsi="Arial" w:cs="Arial"/>
        </w:rPr>
        <w:t xml:space="preserve"> ARPA</w:t>
      </w:r>
      <w:r w:rsidR="00602155">
        <w:rPr>
          <w:rFonts w:ascii="Arial" w:hAnsi="Arial" w:cs="Arial"/>
        </w:rPr>
        <w:t xml:space="preserve"> CLFRF allocation for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1790"/>
      </w:tblGrid>
      <w:tr w:rsidR="00602155" w14:paraId="7E4F460D" w14:textId="77777777" w:rsidTr="00A329A2">
        <w:tc>
          <w:tcPr>
            <w:tcW w:w="7560" w:type="dxa"/>
          </w:tcPr>
          <w:p w14:paraId="062B09AB" w14:textId="77777777" w:rsidR="00602155" w:rsidRDefault="00602155" w:rsidP="00A329A2">
            <w:pPr>
              <w:pStyle w:val="ListParagraph0"/>
              <w:numPr>
                <w:ilvl w:val="0"/>
                <w:numId w:val="28"/>
              </w:numPr>
              <w:tabs>
                <w:tab w:val="left" w:pos="8010"/>
              </w:tabs>
              <w:spacing w:line="264" w:lineRule="auto"/>
              <w:jc w:val="both"/>
              <w:rPr>
                <w:rFonts w:ascii="Arial" w:hAnsi="Arial" w:cs="Arial"/>
              </w:rPr>
            </w:pPr>
            <w:r>
              <w:rPr>
                <w:rFonts w:ascii="Arial" w:hAnsi="Arial" w:cs="Arial"/>
              </w:rPr>
              <w:t>Legal System Backlog</w:t>
            </w:r>
          </w:p>
        </w:tc>
        <w:tc>
          <w:tcPr>
            <w:tcW w:w="1790" w:type="dxa"/>
          </w:tcPr>
          <w:p w14:paraId="3C1EA290" w14:textId="77777777" w:rsidR="00602155" w:rsidRDefault="00602155" w:rsidP="00A329A2">
            <w:pPr>
              <w:tabs>
                <w:tab w:val="left" w:pos="8010"/>
              </w:tabs>
              <w:spacing w:line="264" w:lineRule="auto"/>
              <w:jc w:val="right"/>
              <w:rPr>
                <w:rFonts w:ascii="Arial" w:hAnsi="Arial" w:cs="Arial"/>
              </w:rPr>
            </w:pPr>
            <w:r>
              <w:rPr>
                <w:rFonts w:ascii="Arial" w:hAnsi="Arial" w:cs="Arial"/>
              </w:rPr>
              <w:t>$30.8 million</w:t>
            </w:r>
          </w:p>
        </w:tc>
      </w:tr>
      <w:tr w:rsidR="00602155" w14:paraId="2DEA166D" w14:textId="77777777" w:rsidTr="00A329A2">
        <w:tc>
          <w:tcPr>
            <w:tcW w:w="7560" w:type="dxa"/>
          </w:tcPr>
          <w:p w14:paraId="423F5576" w14:textId="77777777" w:rsidR="00602155" w:rsidRDefault="00602155" w:rsidP="00A329A2">
            <w:pPr>
              <w:pStyle w:val="ListParagraph0"/>
              <w:numPr>
                <w:ilvl w:val="0"/>
                <w:numId w:val="28"/>
              </w:numPr>
              <w:tabs>
                <w:tab w:val="left" w:pos="8010"/>
              </w:tabs>
              <w:spacing w:line="264" w:lineRule="auto"/>
              <w:jc w:val="both"/>
              <w:rPr>
                <w:rFonts w:ascii="Arial" w:hAnsi="Arial" w:cs="Arial"/>
              </w:rPr>
            </w:pPr>
            <w:r w:rsidRPr="005F41CF">
              <w:rPr>
                <w:rFonts w:ascii="Arial" w:hAnsi="Arial" w:cs="Arial"/>
              </w:rPr>
              <w:t>Public Health Response to the pandemic</w:t>
            </w:r>
          </w:p>
        </w:tc>
        <w:tc>
          <w:tcPr>
            <w:tcW w:w="1790" w:type="dxa"/>
          </w:tcPr>
          <w:p w14:paraId="12BE69B6" w14:textId="6E2BFC07" w:rsidR="00602155" w:rsidRDefault="00602155" w:rsidP="00A329A2">
            <w:pPr>
              <w:tabs>
                <w:tab w:val="left" w:pos="8010"/>
              </w:tabs>
              <w:spacing w:line="264" w:lineRule="auto"/>
              <w:jc w:val="right"/>
              <w:rPr>
                <w:rFonts w:ascii="Arial" w:hAnsi="Arial" w:cs="Arial"/>
              </w:rPr>
            </w:pPr>
            <w:r>
              <w:rPr>
                <w:rFonts w:ascii="Arial" w:hAnsi="Arial" w:cs="Arial"/>
              </w:rPr>
              <w:t>$</w:t>
            </w:r>
            <w:r w:rsidR="0053750F" w:rsidRPr="001D1A7E">
              <w:rPr>
                <w:rFonts w:ascii="Arial" w:hAnsi="Arial" w:cs="Arial"/>
                <w:color w:val="C0504D" w:themeColor="accent2"/>
              </w:rPr>
              <w:t>19.5</w:t>
            </w:r>
            <w:r w:rsidRPr="001D1A7E">
              <w:rPr>
                <w:rFonts w:ascii="Arial" w:hAnsi="Arial" w:cs="Arial"/>
                <w:color w:val="C0504D" w:themeColor="accent2"/>
              </w:rPr>
              <w:t xml:space="preserve"> </w:t>
            </w:r>
            <w:r>
              <w:rPr>
                <w:rFonts w:ascii="Arial" w:hAnsi="Arial" w:cs="Arial"/>
              </w:rPr>
              <w:t>million</w:t>
            </w:r>
          </w:p>
        </w:tc>
      </w:tr>
      <w:tr w:rsidR="00602155" w14:paraId="13706E78" w14:textId="77777777" w:rsidTr="00A329A2">
        <w:tc>
          <w:tcPr>
            <w:tcW w:w="7560" w:type="dxa"/>
          </w:tcPr>
          <w:p w14:paraId="086B2CFE" w14:textId="77777777" w:rsidR="00602155" w:rsidRPr="005F41CF" w:rsidRDefault="00602155" w:rsidP="00A329A2">
            <w:pPr>
              <w:pStyle w:val="ListParagraph0"/>
              <w:numPr>
                <w:ilvl w:val="0"/>
                <w:numId w:val="28"/>
              </w:numPr>
              <w:tabs>
                <w:tab w:val="left" w:pos="8010"/>
              </w:tabs>
              <w:spacing w:line="264" w:lineRule="auto"/>
              <w:jc w:val="both"/>
              <w:rPr>
                <w:rFonts w:ascii="Arial" w:hAnsi="Arial" w:cs="Arial"/>
              </w:rPr>
            </w:pPr>
            <w:r>
              <w:rPr>
                <w:rFonts w:ascii="Arial" w:hAnsi="Arial" w:cs="Arial"/>
              </w:rPr>
              <w:t>Civil Legal Aid and Immigrant Community Supports</w:t>
            </w:r>
          </w:p>
        </w:tc>
        <w:tc>
          <w:tcPr>
            <w:tcW w:w="1790" w:type="dxa"/>
          </w:tcPr>
          <w:p w14:paraId="12A9B423" w14:textId="77777777" w:rsidR="00602155" w:rsidRDefault="00602155" w:rsidP="00A329A2">
            <w:pPr>
              <w:tabs>
                <w:tab w:val="left" w:pos="8010"/>
              </w:tabs>
              <w:spacing w:line="264" w:lineRule="auto"/>
              <w:jc w:val="right"/>
              <w:rPr>
                <w:rFonts w:ascii="Arial" w:hAnsi="Arial" w:cs="Arial"/>
              </w:rPr>
            </w:pPr>
            <w:r>
              <w:rPr>
                <w:rFonts w:ascii="Arial" w:hAnsi="Arial" w:cs="Arial"/>
              </w:rPr>
              <w:t>$13.2 million</w:t>
            </w:r>
          </w:p>
        </w:tc>
      </w:tr>
      <w:tr w:rsidR="00602155" w14:paraId="7DADB440" w14:textId="77777777" w:rsidTr="00A329A2">
        <w:tc>
          <w:tcPr>
            <w:tcW w:w="7560" w:type="dxa"/>
          </w:tcPr>
          <w:p w14:paraId="5B4ABD92" w14:textId="77777777" w:rsidR="00602155" w:rsidRPr="000657A4" w:rsidRDefault="00602155" w:rsidP="00A329A2">
            <w:pPr>
              <w:pStyle w:val="ListParagraph0"/>
              <w:numPr>
                <w:ilvl w:val="0"/>
                <w:numId w:val="28"/>
              </w:numPr>
              <w:tabs>
                <w:tab w:val="left" w:pos="8010"/>
              </w:tabs>
              <w:spacing w:line="264" w:lineRule="auto"/>
              <w:jc w:val="both"/>
              <w:rPr>
                <w:rFonts w:ascii="Arial" w:hAnsi="Arial" w:cs="Arial"/>
              </w:rPr>
            </w:pPr>
            <w:r>
              <w:rPr>
                <w:rFonts w:ascii="Arial" w:hAnsi="Arial" w:cs="Arial"/>
              </w:rPr>
              <w:t>Economic Recovery / Workforce Development</w:t>
            </w:r>
          </w:p>
        </w:tc>
        <w:tc>
          <w:tcPr>
            <w:tcW w:w="1790" w:type="dxa"/>
          </w:tcPr>
          <w:p w14:paraId="5D576AEB" w14:textId="77777777" w:rsidR="00602155" w:rsidRDefault="00602155" w:rsidP="00A329A2">
            <w:pPr>
              <w:tabs>
                <w:tab w:val="left" w:pos="8010"/>
              </w:tabs>
              <w:spacing w:line="264" w:lineRule="auto"/>
              <w:jc w:val="right"/>
              <w:rPr>
                <w:rFonts w:ascii="Arial" w:hAnsi="Arial" w:cs="Arial"/>
              </w:rPr>
            </w:pPr>
            <w:r>
              <w:rPr>
                <w:rFonts w:ascii="Arial" w:hAnsi="Arial" w:cs="Arial"/>
              </w:rPr>
              <w:t>$5.6 million</w:t>
            </w:r>
          </w:p>
        </w:tc>
      </w:tr>
      <w:tr w:rsidR="00602155" w14:paraId="718E54F1" w14:textId="77777777" w:rsidTr="00A329A2">
        <w:tc>
          <w:tcPr>
            <w:tcW w:w="7560" w:type="dxa"/>
          </w:tcPr>
          <w:p w14:paraId="0BE8F743" w14:textId="77777777" w:rsidR="00602155" w:rsidRPr="000657A4" w:rsidRDefault="00602155" w:rsidP="00A329A2">
            <w:pPr>
              <w:pStyle w:val="ListParagraph0"/>
              <w:numPr>
                <w:ilvl w:val="0"/>
                <w:numId w:val="28"/>
              </w:numPr>
              <w:tabs>
                <w:tab w:val="left" w:pos="8010"/>
              </w:tabs>
              <w:spacing w:line="264" w:lineRule="auto"/>
              <w:jc w:val="both"/>
              <w:rPr>
                <w:rFonts w:ascii="Arial" w:hAnsi="Arial" w:cs="Arial"/>
              </w:rPr>
            </w:pPr>
            <w:r>
              <w:rPr>
                <w:rFonts w:ascii="Arial" w:hAnsi="Arial" w:cs="Arial"/>
              </w:rPr>
              <w:t>County Operations in response to the pandemic</w:t>
            </w:r>
          </w:p>
        </w:tc>
        <w:tc>
          <w:tcPr>
            <w:tcW w:w="1790" w:type="dxa"/>
          </w:tcPr>
          <w:p w14:paraId="03626A22" w14:textId="77777777" w:rsidR="00602155" w:rsidRDefault="00602155" w:rsidP="00A329A2">
            <w:pPr>
              <w:tabs>
                <w:tab w:val="left" w:pos="8010"/>
              </w:tabs>
              <w:spacing w:line="264" w:lineRule="auto"/>
              <w:jc w:val="right"/>
              <w:rPr>
                <w:rFonts w:ascii="Arial" w:hAnsi="Arial" w:cs="Arial"/>
              </w:rPr>
            </w:pPr>
            <w:r>
              <w:rPr>
                <w:rFonts w:ascii="Arial" w:hAnsi="Arial" w:cs="Arial"/>
              </w:rPr>
              <w:t>$0.9 million</w:t>
            </w:r>
          </w:p>
        </w:tc>
      </w:tr>
    </w:tbl>
    <w:p w14:paraId="7C5DA366" w14:textId="77777777" w:rsidR="00602155" w:rsidRDefault="00602155" w:rsidP="00602155">
      <w:pPr>
        <w:spacing w:line="264" w:lineRule="auto"/>
        <w:jc w:val="both"/>
        <w:rPr>
          <w:rFonts w:ascii="Arial" w:hAnsi="Arial" w:cs="Arial"/>
        </w:rPr>
      </w:pPr>
    </w:p>
    <w:p w14:paraId="2F527804" w14:textId="7CBAB585" w:rsidR="00602155" w:rsidRDefault="00C4057C" w:rsidP="00602155">
      <w:pPr>
        <w:spacing w:line="264" w:lineRule="auto"/>
        <w:jc w:val="both"/>
        <w:rPr>
          <w:rFonts w:ascii="Arial" w:hAnsi="Arial" w:cs="Arial"/>
        </w:rPr>
      </w:pPr>
      <w:r>
        <w:rPr>
          <w:rFonts w:ascii="Arial" w:hAnsi="Arial" w:cs="Arial"/>
        </w:rPr>
        <w:t xml:space="preserve">Of the total proposed, </w:t>
      </w:r>
      <w:r w:rsidR="00602155">
        <w:rPr>
          <w:rFonts w:ascii="Arial" w:hAnsi="Arial" w:cs="Arial"/>
        </w:rPr>
        <w:t>COVID 8 would also appropriate an additional $134.4 million, which would be funded by various federal and state grants (most of which are also supported by ARPA) for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1790"/>
      </w:tblGrid>
      <w:tr w:rsidR="00602155" w14:paraId="08DF407B" w14:textId="77777777" w:rsidTr="00A329A2">
        <w:tc>
          <w:tcPr>
            <w:tcW w:w="7560" w:type="dxa"/>
          </w:tcPr>
          <w:p w14:paraId="09D303F4" w14:textId="77777777" w:rsidR="00602155" w:rsidRDefault="00602155" w:rsidP="00A329A2">
            <w:pPr>
              <w:pStyle w:val="ListParagraph0"/>
              <w:numPr>
                <w:ilvl w:val="0"/>
                <w:numId w:val="28"/>
              </w:numPr>
              <w:tabs>
                <w:tab w:val="left" w:pos="8010"/>
              </w:tabs>
              <w:spacing w:line="264" w:lineRule="auto"/>
              <w:jc w:val="both"/>
              <w:rPr>
                <w:rFonts w:ascii="Arial" w:hAnsi="Arial" w:cs="Arial"/>
              </w:rPr>
            </w:pPr>
            <w:r>
              <w:rPr>
                <w:rFonts w:ascii="Arial" w:hAnsi="Arial" w:cs="Arial"/>
              </w:rPr>
              <w:t>Community Supports (CDBG, HOME, Rental Assistance)</w:t>
            </w:r>
          </w:p>
        </w:tc>
        <w:tc>
          <w:tcPr>
            <w:tcW w:w="1790" w:type="dxa"/>
          </w:tcPr>
          <w:p w14:paraId="7F4B5A97" w14:textId="77777777" w:rsidR="00602155" w:rsidRDefault="00602155" w:rsidP="00A329A2">
            <w:pPr>
              <w:tabs>
                <w:tab w:val="left" w:pos="8010"/>
              </w:tabs>
              <w:spacing w:line="264" w:lineRule="auto"/>
              <w:jc w:val="right"/>
              <w:rPr>
                <w:rFonts w:ascii="Arial" w:hAnsi="Arial" w:cs="Arial"/>
              </w:rPr>
            </w:pPr>
            <w:r>
              <w:rPr>
                <w:rFonts w:ascii="Arial" w:hAnsi="Arial" w:cs="Arial"/>
              </w:rPr>
              <w:t>$83.9 million</w:t>
            </w:r>
          </w:p>
        </w:tc>
      </w:tr>
      <w:tr w:rsidR="00602155" w14:paraId="61234AA5" w14:textId="77777777" w:rsidTr="00A329A2">
        <w:tc>
          <w:tcPr>
            <w:tcW w:w="7560" w:type="dxa"/>
          </w:tcPr>
          <w:p w14:paraId="77B95844" w14:textId="77777777" w:rsidR="00602155" w:rsidRPr="005F41CF" w:rsidRDefault="00602155" w:rsidP="00A329A2">
            <w:pPr>
              <w:pStyle w:val="ListParagraph0"/>
              <w:numPr>
                <w:ilvl w:val="0"/>
                <w:numId w:val="28"/>
              </w:numPr>
              <w:tabs>
                <w:tab w:val="left" w:pos="8010"/>
              </w:tabs>
              <w:spacing w:line="264" w:lineRule="auto"/>
              <w:jc w:val="both"/>
              <w:rPr>
                <w:rFonts w:ascii="Arial" w:hAnsi="Arial" w:cs="Arial"/>
              </w:rPr>
            </w:pPr>
            <w:r>
              <w:rPr>
                <w:rFonts w:ascii="Arial" w:hAnsi="Arial" w:cs="Arial"/>
              </w:rPr>
              <w:t>Vaccination Efforts (Jail Health, Mass Vaccination Program)</w:t>
            </w:r>
          </w:p>
        </w:tc>
        <w:tc>
          <w:tcPr>
            <w:tcW w:w="1790" w:type="dxa"/>
          </w:tcPr>
          <w:p w14:paraId="1C7C21A4" w14:textId="77777777" w:rsidR="00602155" w:rsidRDefault="00602155" w:rsidP="00A329A2">
            <w:pPr>
              <w:tabs>
                <w:tab w:val="left" w:pos="8010"/>
              </w:tabs>
              <w:spacing w:line="264" w:lineRule="auto"/>
              <w:jc w:val="right"/>
              <w:rPr>
                <w:rFonts w:ascii="Arial" w:hAnsi="Arial" w:cs="Arial"/>
              </w:rPr>
            </w:pPr>
            <w:r>
              <w:rPr>
                <w:rFonts w:ascii="Arial" w:hAnsi="Arial" w:cs="Arial"/>
              </w:rPr>
              <w:t>$27.7 million</w:t>
            </w:r>
          </w:p>
        </w:tc>
      </w:tr>
      <w:tr w:rsidR="00602155" w14:paraId="2ACE11B8" w14:textId="77777777" w:rsidTr="00A329A2">
        <w:tc>
          <w:tcPr>
            <w:tcW w:w="7560" w:type="dxa"/>
          </w:tcPr>
          <w:p w14:paraId="21F39361" w14:textId="77777777" w:rsidR="00602155" w:rsidRDefault="00602155" w:rsidP="00A329A2">
            <w:pPr>
              <w:pStyle w:val="ListParagraph0"/>
              <w:numPr>
                <w:ilvl w:val="0"/>
                <w:numId w:val="28"/>
              </w:numPr>
              <w:tabs>
                <w:tab w:val="left" w:pos="8010"/>
              </w:tabs>
              <w:spacing w:line="264" w:lineRule="auto"/>
              <w:jc w:val="both"/>
              <w:rPr>
                <w:rFonts w:ascii="Arial" w:hAnsi="Arial" w:cs="Arial"/>
              </w:rPr>
            </w:pPr>
            <w:r w:rsidRPr="005F41CF">
              <w:rPr>
                <w:rFonts w:ascii="Arial" w:hAnsi="Arial" w:cs="Arial"/>
              </w:rPr>
              <w:t>Public Health Response to the pandemic</w:t>
            </w:r>
          </w:p>
        </w:tc>
        <w:tc>
          <w:tcPr>
            <w:tcW w:w="1790" w:type="dxa"/>
          </w:tcPr>
          <w:p w14:paraId="1869B83F" w14:textId="77777777" w:rsidR="00602155" w:rsidRDefault="00602155" w:rsidP="00A329A2">
            <w:pPr>
              <w:tabs>
                <w:tab w:val="left" w:pos="8010"/>
              </w:tabs>
              <w:spacing w:line="264" w:lineRule="auto"/>
              <w:jc w:val="right"/>
              <w:rPr>
                <w:rFonts w:ascii="Arial" w:hAnsi="Arial" w:cs="Arial"/>
              </w:rPr>
            </w:pPr>
            <w:r>
              <w:rPr>
                <w:rFonts w:ascii="Arial" w:hAnsi="Arial" w:cs="Arial"/>
              </w:rPr>
              <w:t>$11.3 million</w:t>
            </w:r>
          </w:p>
        </w:tc>
      </w:tr>
      <w:tr w:rsidR="00602155" w14:paraId="21F81B35" w14:textId="77777777" w:rsidTr="00A329A2">
        <w:tc>
          <w:tcPr>
            <w:tcW w:w="7560" w:type="dxa"/>
          </w:tcPr>
          <w:p w14:paraId="3E8A8899" w14:textId="77777777" w:rsidR="00602155" w:rsidRPr="000657A4" w:rsidRDefault="00602155" w:rsidP="00A329A2">
            <w:pPr>
              <w:pStyle w:val="ListParagraph0"/>
              <w:numPr>
                <w:ilvl w:val="0"/>
                <w:numId w:val="28"/>
              </w:numPr>
              <w:tabs>
                <w:tab w:val="left" w:pos="8010"/>
              </w:tabs>
              <w:spacing w:line="264" w:lineRule="auto"/>
              <w:jc w:val="both"/>
              <w:rPr>
                <w:rFonts w:ascii="Arial" w:hAnsi="Arial" w:cs="Arial"/>
              </w:rPr>
            </w:pPr>
            <w:r>
              <w:rPr>
                <w:rFonts w:ascii="Arial" w:hAnsi="Arial" w:cs="Arial"/>
              </w:rPr>
              <w:t>Technical Appropriations</w:t>
            </w:r>
          </w:p>
        </w:tc>
        <w:tc>
          <w:tcPr>
            <w:tcW w:w="1790" w:type="dxa"/>
          </w:tcPr>
          <w:p w14:paraId="63A73DBB" w14:textId="0E8B3F2E" w:rsidR="00602155" w:rsidRDefault="00602155" w:rsidP="00A329A2">
            <w:pPr>
              <w:tabs>
                <w:tab w:val="left" w:pos="8010"/>
              </w:tabs>
              <w:spacing w:line="264" w:lineRule="auto"/>
              <w:jc w:val="right"/>
              <w:rPr>
                <w:rFonts w:ascii="Arial" w:hAnsi="Arial" w:cs="Arial"/>
              </w:rPr>
            </w:pPr>
            <w:r w:rsidRPr="001D1A7E">
              <w:rPr>
                <w:rFonts w:ascii="Arial" w:hAnsi="Arial" w:cs="Arial"/>
                <w:color w:val="C0504D" w:themeColor="accent2"/>
              </w:rPr>
              <w:t>$</w:t>
            </w:r>
            <w:r w:rsidR="00CF603C" w:rsidRPr="001D1A7E">
              <w:rPr>
                <w:rFonts w:ascii="Arial" w:hAnsi="Arial" w:cs="Arial"/>
                <w:color w:val="C0504D" w:themeColor="accent2"/>
              </w:rPr>
              <w:t>7</w:t>
            </w:r>
            <w:r w:rsidRPr="001D1A7E">
              <w:rPr>
                <w:rFonts w:ascii="Arial" w:hAnsi="Arial" w:cs="Arial"/>
                <w:color w:val="C0504D" w:themeColor="accent2"/>
              </w:rPr>
              <w:t>.5 million</w:t>
            </w:r>
          </w:p>
        </w:tc>
      </w:tr>
      <w:tr w:rsidR="00AF1CAC" w:rsidRPr="00AF1CAC" w14:paraId="75672958" w14:textId="77777777" w:rsidTr="00A329A2">
        <w:tc>
          <w:tcPr>
            <w:tcW w:w="7560" w:type="dxa"/>
          </w:tcPr>
          <w:p w14:paraId="463885CA" w14:textId="77777777" w:rsidR="00602155" w:rsidRPr="009272F2" w:rsidRDefault="00602155" w:rsidP="00A329A2">
            <w:pPr>
              <w:pStyle w:val="ListParagraph0"/>
              <w:numPr>
                <w:ilvl w:val="0"/>
                <w:numId w:val="28"/>
              </w:numPr>
              <w:tabs>
                <w:tab w:val="left" w:pos="8010"/>
              </w:tabs>
              <w:spacing w:line="264" w:lineRule="auto"/>
              <w:jc w:val="both"/>
              <w:rPr>
                <w:rFonts w:ascii="Arial" w:hAnsi="Arial" w:cs="Arial"/>
              </w:rPr>
            </w:pPr>
            <w:r w:rsidRPr="009272F2">
              <w:rPr>
                <w:rFonts w:ascii="Arial" w:hAnsi="Arial" w:cs="Arial"/>
              </w:rPr>
              <w:t>County Operations in response to the pandemic</w:t>
            </w:r>
          </w:p>
        </w:tc>
        <w:tc>
          <w:tcPr>
            <w:tcW w:w="1790" w:type="dxa"/>
          </w:tcPr>
          <w:p w14:paraId="01715F71" w14:textId="77777777" w:rsidR="00602155" w:rsidRPr="009272F2" w:rsidRDefault="00602155" w:rsidP="00A329A2">
            <w:pPr>
              <w:tabs>
                <w:tab w:val="left" w:pos="8010"/>
              </w:tabs>
              <w:spacing w:line="264" w:lineRule="auto"/>
              <w:jc w:val="right"/>
              <w:rPr>
                <w:rFonts w:ascii="Arial" w:hAnsi="Arial" w:cs="Arial"/>
              </w:rPr>
            </w:pPr>
            <w:r w:rsidRPr="009272F2">
              <w:rPr>
                <w:rFonts w:ascii="Arial" w:hAnsi="Arial" w:cs="Arial"/>
              </w:rPr>
              <w:t>$2.1 million</w:t>
            </w:r>
          </w:p>
        </w:tc>
      </w:tr>
    </w:tbl>
    <w:p w14:paraId="0F5F3252" w14:textId="77777777" w:rsidR="008E4DF8" w:rsidRDefault="008E4DF8" w:rsidP="008E4DF8">
      <w:pPr>
        <w:spacing w:line="264" w:lineRule="auto"/>
        <w:jc w:val="both"/>
        <w:rPr>
          <w:rFonts w:ascii="Arial" w:hAnsi="Arial" w:cs="Arial"/>
        </w:rPr>
      </w:pPr>
    </w:p>
    <w:p w14:paraId="42F75BCA" w14:textId="280DDBC5" w:rsidR="00F15320" w:rsidRDefault="008E4DF8" w:rsidP="00F15320">
      <w:pPr>
        <w:spacing w:line="264" w:lineRule="auto"/>
        <w:jc w:val="both"/>
        <w:rPr>
          <w:rFonts w:ascii="Arial" w:hAnsi="Arial" w:cs="Arial"/>
          <w:bCs/>
          <w:szCs w:val="24"/>
        </w:rPr>
      </w:pPr>
      <w:r>
        <w:rPr>
          <w:rFonts w:ascii="Arial" w:hAnsi="Arial" w:cs="Arial"/>
        </w:rPr>
        <w:t xml:space="preserve">It should be noted that revenue sources for some of the </w:t>
      </w:r>
      <w:r w:rsidR="001B600B">
        <w:rPr>
          <w:rFonts w:ascii="Arial" w:hAnsi="Arial" w:cs="Arial"/>
        </w:rPr>
        <w:t xml:space="preserve">proposed </w:t>
      </w:r>
      <w:r>
        <w:rPr>
          <w:rFonts w:ascii="Arial" w:hAnsi="Arial" w:cs="Arial"/>
        </w:rPr>
        <w:t xml:space="preserve">appropriations may change based on </w:t>
      </w:r>
      <w:r w:rsidR="00AD4C63">
        <w:rPr>
          <w:rFonts w:ascii="Arial" w:hAnsi="Arial" w:cs="Arial"/>
        </w:rPr>
        <w:t>Department of Treasury’s</w:t>
      </w:r>
      <w:r>
        <w:rPr>
          <w:rFonts w:ascii="Arial" w:hAnsi="Arial" w:cs="Arial"/>
        </w:rPr>
        <w:t xml:space="preserve"> </w:t>
      </w:r>
      <w:r w:rsidR="00841B68">
        <w:rPr>
          <w:rFonts w:ascii="Arial" w:hAnsi="Arial" w:cs="Arial"/>
        </w:rPr>
        <w:t xml:space="preserve">interim final rule on </w:t>
      </w:r>
      <w:r w:rsidR="002150CE">
        <w:rPr>
          <w:rFonts w:ascii="Arial" w:hAnsi="Arial" w:cs="Arial"/>
        </w:rPr>
        <w:t>ARPA CLFRF</w:t>
      </w:r>
      <w:r w:rsidR="00841B68">
        <w:rPr>
          <w:rStyle w:val="FootnoteReference"/>
          <w:rFonts w:ascii="Arial" w:hAnsi="Arial" w:cs="Arial"/>
        </w:rPr>
        <w:footnoteReference w:id="10"/>
      </w:r>
      <w:r>
        <w:rPr>
          <w:rFonts w:ascii="Arial" w:hAnsi="Arial" w:cs="Arial"/>
        </w:rPr>
        <w:t xml:space="preserve">. For comparison, in 2020, of the $263 million of CARES Act CRF funds appropriated, </w:t>
      </w:r>
      <w:r w:rsidRPr="00682A38">
        <w:rPr>
          <w:rFonts w:ascii="Arial" w:hAnsi="Arial" w:cs="Arial"/>
        </w:rPr>
        <w:t>approximately $7.4</w:t>
      </w:r>
      <w:r>
        <w:rPr>
          <w:rFonts w:ascii="Arial" w:hAnsi="Arial" w:cs="Arial"/>
        </w:rPr>
        <w:t xml:space="preserve"> million</w:t>
      </w:r>
      <w:r w:rsidRPr="00682A38">
        <w:rPr>
          <w:rFonts w:ascii="Arial" w:hAnsi="Arial" w:cs="Arial"/>
        </w:rPr>
        <w:t xml:space="preserve"> </w:t>
      </w:r>
      <w:r>
        <w:rPr>
          <w:rFonts w:ascii="Arial" w:hAnsi="Arial" w:cs="Arial"/>
        </w:rPr>
        <w:t>(2.8%) were</w:t>
      </w:r>
      <w:r w:rsidRPr="00682A38">
        <w:rPr>
          <w:rFonts w:ascii="Arial" w:hAnsi="Arial" w:cs="Arial"/>
        </w:rPr>
        <w:t xml:space="preserve"> </w:t>
      </w:r>
      <w:r>
        <w:rPr>
          <w:rFonts w:ascii="Arial" w:hAnsi="Arial" w:cs="Arial"/>
        </w:rPr>
        <w:t xml:space="preserve">either </w:t>
      </w:r>
      <w:r w:rsidRPr="00682A38">
        <w:rPr>
          <w:rFonts w:ascii="Arial" w:hAnsi="Arial" w:cs="Arial"/>
        </w:rPr>
        <w:t>high risk</w:t>
      </w:r>
      <w:r>
        <w:rPr>
          <w:rFonts w:ascii="Arial" w:hAnsi="Arial" w:cs="Arial"/>
        </w:rPr>
        <w:t xml:space="preserve"> for ineligibility of CRF funding</w:t>
      </w:r>
      <w:r w:rsidRPr="00682A38">
        <w:rPr>
          <w:rFonts w:ascii="Arial" w:hAnsi="Arial" w:cs="Arial"/>
        </w:rPr>
        <w:t xml:space="preserve"> or ineligible for CRF</w:t>
      </w:r>
      <w:r>
        <w:rPr>
          <w:rFonts w:ascii="Arial" w:hAnsi="Arial" w:cs="Arial"/>
        </w:rPr>
        <w:t xml:space="preserve"> funding</w:t>
      </w:r>
      <w:r w:rsidR="00FE7E83">
        <w:rPr>
          <w:rFonts w:ascii="Arial" w:hAnsi="Arial" w:cs="Arial"/>
        </w:rPr>
        <w:t xml:space="preserve">. </w:t>
      </w:r>
      <w:r w:rsidR="00647EF6">
        <w:rPr>
          <w:rFonts w:ascii="Arial" w:hAnsi="Arial" w:cs="Arial"/>
        </w:rPr>
        <w:t xml:space="preserve">As a result, </w:t>
      </w:r>
      <w:r>
        <w:rPr>
          <w:rFonts w:ascii="Arial" w:hAnsi="Arial" w:cs="Arial"/>
        </w:rPr>
        <w:t xml:space="preserve">General Fund were used to </w:t>
      </w:r>
      <w:r w:rsidR="007B24EE">
        <w:rPr>
          <w:rFonts w:ascii="Arial" w:hAnsi="Arial" w:cs="Arial"/>
        </w:rPr>
        <w:t xml:space="preserve">support these programs. </w:t>
      </w:r>
      <w:r w:rsidR="0019525F">
        <w:rPr>
          <w:rFonts w:ascii="Arial" w:hAnsi="Arial" w:cs="Arial"/>
        </w:rPr>
        <w:t>To mitigate the impacts to the General Fund, the executive used the unspent</w:t>
      </w:r>
      <w:r w:rsidR="00EE3CDF">
        <w:rPr>
          <w:rFonts w:ascii="Arial" w:hAnsi="Arial" w:cs="Arial"/>
        </w:rPr>
        <w:t xml:space="preserve"> </w:t>
      </w:r>
      <w:r w:rsidR="00AD53F8">
        <w:rPr>
          <w:rFonts w:ascii="Arial" w:hAnsi="Arial" w:cs="Arial"/>
        </w:rPr>
        <w:t>CRF</w:t>
      </w:r>
      <w:r w:rsidR="00EE3CDF">
        <w:rPr>
          <w:rFonts w:ascii="Arial" w:hAnsi="Arial" w:cs="Arial"/>
        </w:rPr>
        <w:t xml:space="preserve"> </w:t>
      </w:r>
      <w:r w:rsidR="006B7774">
        <w:rPr>
          <w:rFonts w:ascii="Arial" w:hAnsi="Arial" w:cs="Arial"/>
        </w:rPr>
        <w:t>funds</w:t>
      </w:r>
      <w:r w:rsidR="0019525F">
        <w:rPr>
          <w:rFonts w:ascii="Arial" w:hAnsi="Arial" w:cs="Arial"/>
        </w:rPr>
        <w:t xml:space="preserve"> </w:t>
      </w:r>
      <w:r w:rsidR="00C049B2">
        <w:rPr>
          <w:rFonts w:ascii="Arial" w:hAnsi="Arial" w:cs="Arial"/>
        </w:rPr>
        <w:t xml:space="preserve">to </w:t>
      </w:r>
      <w:r w:rsidR="006B7774">
        <w:rPr>
          <w:rFonts w:ascii="Arial" w:hAnsi="Arial" w:cs="Arial"/>
        </w:rPr>
        <w:t>support</w:t>
      </w:r>
      <w:r w:rsidR="00C049B2">
        <w:rPr>
          <w:rFonts w:ascii="Arial" w:hAnsi="Arial" w:cs="Arial"/>
        </w:rPr>
        <w:t xml:space="preserve"> </w:t>
      </w:r>
      <w:r w:rsidR="00380B06">
        <w:rPr>
          <w:rFonts w:ascii="Arial" w:hAnsi="Arial" w:cs="Arial"/>
          <w:bCs/>
          <w:szCs w:val="24"/>
        </w:rPr>
        <w:t xml:space="preserve">General </w:t>
      </w:r>
      <w:r w:rsidR="0019525F">
        <w:rPr>
          <w:rFonts w:ascii="Arial" w:hAnsi="Arial" w:cs="Arial"/>
          <w:bCs/>
          <w:szCs w:val="24"/>
        </w:rPr>
        <w:t>F</w:t>
      </w:r>
      <w:r w:rsidR="00380B06">
        <w:rPr>
          <w:rFonts w:ascii="Arial" w:hAnsi="Arial" w:cs="Arial"/>
          <w:bCs/>
          <w:szCs w:val="24"/>
        </w:rPr>
        <w:t>und-supported personnel costs for staff that would be redeployed to support the county’s pandemic relief effort</w:t>
      </w:r>
      <w:r w:rsidR="00914DAD">
        <w:rPr>
          <w:rFonts w:ascii="Arial" w:hAnsi="Arial" w:cs="Arial"/>
          <w:bCs/>
          <w:szCs w:val="24"/>
        </w:rPr>
        <w:t>s</w:t>
      </w:r>
      <w:r w:rsidR="00FA5717">
        <w:rPr>
          <w:rFonts w:ascii="Arial" w:hAnsi="Arial" w:cs="Arial"/>
          <w:bCs/>
          <w:szCs w:val="24"/>
        </w:rPr>
        <w:t xml:space="preserve">. Similar approaches may be considered with the use of </w:t>
      </w:r>
      <w:r w:rsidR="00566433">
        <w:rPr>
          <w:rFonts w:ascii="Arial" w:hAnsi="Arial" w:cs="Arial"/>
          <w:bCs/>
          <w:szCs w:val="24"/>
        </w:rPr>
        <w:t>ARPA</w:t>
      </w:r>
      <w:r w:rsidR="00FA5717">
        <w:rPr>
          <w:rFonts w:ascii="Arial" w:hAnsi="Arial" w:cs="Arial"/>
          <w:bCs/>
          <w:szCs w:val="24"/>
        </w:rPr>
        <w:t xml:space="preserve"> CLF</w:t>
      </w:r>
      <w:r w:rsidR="00566433">
        <w:rPr>
          <w:rFonts w:ascii="Arial" w:hAnsi="Arial" w:cs="Arial"/>
          <w:bCs/>
          <w:szCs w:val="24"/>
        </w:rPr>
        <w:t>RF</w:t>
      </w:r>
      <w:r w:rsidR="00FA5717">
        <w:rPr>
          <w:rFonts w:ascii="Arial" w:hAnsi="Arial" w:cs="Arial"/>
          <w:bCs/>
          <w:szCs w:val="24"/>
        </w:rPr>
        <w:t>.</w:t>
      </w:r>
      <w:r w:rsidR="00F15320">
        <w:rPr>
          <w:rFonts w:ascii="Arial" w:hAnsi="Arial" w:cs="Arial"/>
          <w:bCs/>
          <w:szCs w:val="24"/>
        </w:rPr>
        <w:t xml:space="preserve"> Executive staff state that ARPA also allows for</w:t>
      </w:r>
      <w:r w:rsidR="00F15320" w:rsidRPr="00F15320">
        <w:rPr>
          <w:rFonts w:ascii="Arial" w:hAnsi="Arial" w:cs="Arial"/>
          <w:bCs/>
          <w:szCs w:val="24"/>
        </w:rPr>
        <w:t xml:space="preserve"> </w:t>
      </w:r>
      <w:r w:rsidR="00F15320" w:rsidRPr="00EF5A92">
        <w:rPr>
          <w:rFonts w:ascii="Arial" w:hAnsi="Arial" w:cs="Arial"/>
          <w:bCs/>
          <w:szCs w:val="24"/>
        </w:rPr>
        <w:t>expanded reimbursement of internal administration costs</w:t>
      </w:r>
      <w:r w:rsidR="00F15320">
        <w:rPr>
          <w:rFonts w:ascii="Arial" w:hAnsi="Arial" w:cs="Arial"/>
          <w:bCs/>
          <w:szCs w:val="24"/>
        </w:rPr>
        <w:t xml:space="preserve"> </w:t>
      </w:r>
      <w:r w:rsidR="0043143D">
        <w:rPr>
          <w:rFonts w:ascii="Arial" w:hAnsi="Arial" w:cs="Arial"/>
          <w:bCs/>
          <w:szCs w:val="24"/>
        </w:rPr>
        <w:t>which may</w:t>
      </w:r>
      <w:r w:rsidR="00F15320" w:rsidRPr="00EF5A92">
        <w:rPr>
          <w:rFonts w:ascii="Arial" w:hAnsi="Arial" w:cs="Arial"/>
          <w:bCs/>
          <w:szCs w:val="24"/>
        </w:rPr>
        <w:t xml:space="preserve"> create additional funding flexibility for </w:t>
      </w:r>
      <w:r w:rsidR="0043143D">
        <w:rPr>
          <w:rFonts w:ascii="Arial" w:hAnsi="Arial" w:cs="Arial"/>
          <w:bCs/>
          <w:szCs w:val="24"/>
        </w:rPr>
        <w:t xml:space="preserve">ARPA CLFRF </w:t>
      </w:r>
      <w:r w:rsidR="00F15320" w:rsidRPr="00EF5A92">
        <w:rPr>
          <w:rFonts w:ascii="Arial" w:hAnsi="Arial" w:cs="Arial"/>
          <w:bCs/>
          <w:szCs w:val="24"/>
        </w:rPr>
        <w:t xml:space="preserve">programs that are either ineligible or whose efficacy would </w:t>
      </w:r>
      <w:r w:rsidR="00302859">
        <w:rPr>
          <w:rFonts w:ascii="Arial" w:hAnsi="Arial" w:cs="Arial"/>
          <w:bCs/>
          <w:szCs w:val="24"/>
        </w:rPr>
        <w:t xml:space="preserve">be </w:t>
      </w:r>
      <w:r w:rsidR="00F15320" w:rsidRPr="00EF5A92">
        <w:rPr>
          <w:rFonts w:ascii="Arial" w:hAnsi="Arial" w:cs="Arial"/>
          <w:bCs/>
          <w:szCs w:val="24"/>
        </w:rPr>
        <w:t xml:space="preserve">negatively impacted by compliance requirements.  </w:t>
      </w:r>
    </w:p>
    <w:p w14:paraId="381B8D9C" w14:textId="00C85A2A" w:rsidR="00703F55" w:rsidRDefault="00F15320" w:rsidP="008E4DF8">
      <w:pPr>
        <w:spacing w:line="264" w:lineRule="auto"/>
        <w:jc w:val="both"/>
        <w:rPr>
          <w:rFonts w:ascii="Arial" w:hAnsi="Arial" w:cs="Arial"/>
          <w:bCs/>
          <w:szCs w:val="24"/>
        </w:rPr>
      </w:pPr>
      <w:r>
        <w:rPr>
          <w:rFonts w:ascii="Arial" w:hAnsi="Arial" w:cs="Arial"/>
          <w:bCs/>
          <w:szCs w:val="24"/>
        </w:rPr>
        <w:t xml:space="preserve"> </w:t>
      </w:r>
    </w:p>
    <w:p w14:paraId="2FFDA742" w14:textId="325C6572" w:rsidR="00EF5A92" w:rsidRDefault="00103783" w:rsidP="004A46EB">
      <w:pPr>
        <w:spacing w:line="264" w:lineRule="auto"/>
        <w:jc w:val="both"/>
        <w:rPr>
          <w:rFonts w:ascii="Arial" w:hAnsi="Arial" w:cs="Arial"/>
          <w:bCs/>
          <w:szCs w:val="24"/>
        </w:rPr>
      </w:pPr>
      <w:r>
        <w:rPr>
          <w:rFonts w:ascii="Arial" w:hAnsi="Arial" w:cs="Arial"/>
          <w:bCs/>
          <w:szCs w:val="24"/>
        </w:rPr>
        <w:t xml:space="preserve">The COVID 7 supplemental appropriations ordinance established approximately </w:t>
      </w:r>
      <w:r w:rsidR="00AF1CAC" w:rsidRPr="001D1A7E">
        <w:rPr>
          <w:rFonts w:ascii="Arial" w:hAnsi="Arial" w:cs="Arial"/>
          <w:bCs/>
          <w:color w:val="C0504D" w:themeColor="accent2"/>
          <w:szCs w:val="24"/>
        </w:rPr>
        <w:t>40</w:t>
      </w:r>
      <w:r w:rsidRPr="001D1A7E">
        <w:rPr>
          <w:rFonts w:ascii="Arial" w:hAnsi="Arial" w:cs="Arial"/>
          <w:bCs/>
          <w:color w:val="C0504D" w:themeColor="accent2"/>
          <w:szCs w:val="24"/>
        </w:rPr>
        <w:t xml:space="preserve"> </w:t>
      </w:r>
      <w:r>
        <w:rPr>
          <w:rFonts w:ascii="Arial" w:hAnsi="Arial" w:cs="Arial"/>
          <w:bCs/>
          <w:szCs w:val="24"/>
        </w:rPr>
        <w:t xml:space="preserve">new programs. As a result, executive staff state that eligibility determination </w:t>
      </w:r>
      <w:r w:rsidR="00FF4730" w:rsidRPr="001D1A7E">
        <w:rPr>
          <w:rFonts w:ascii="Arial" w:hAnsi="Arial" w:cs="Arial"/>
          <w:bCs/>
          <w:color w:val="C0504D" w:themeColor="accent2"/>
          <w:szCs w:val="24"/>
        </w:rPr>
        <w:t xml:space="preserve">and procurement procedures </w:t>
      </w:r>
      <w:r>
        <w:rPr>
          <w:rFonts w:ascii="Arial" w:hAnsi="Arial" w:cs="Arial"/>
          <w:bCs/>
          <w:szCs w:val="24"/>
        </w:rPr>
        <w:t>for all COVID 7 appropriations, expected to be funded by ARPA CLFRF, would be ongoing through the rest of the year and possibly through to 2022. As noted above, ARPA allows CLFRF moneys to be expended through December 31, 2024</w:t>
      </w:r>
      <w:r w:rsidR="004A46EB">
        <w:rPr>
          <w:rFonts w:ascii="Arial" w:hAnsi="Arial" w:cs="Arial"/>
          <w:bCs/>
          <w:szCs w:val="24"/>
        </w:rPr>
        <w:t xml:space="preserve"> and therefore new programs established using ARPA CLFRF moneys (both in COVID 7 and COVID 8) could extend beyond the current biennium.</w:t>
      </w:r>
      <w:r w:rsidR="00C65F1C">
        <w:rPr>
          <w:rFonts w:ascii="Arial" w:hAnsi="Arial" w:cs="Arial"/>
          <w:bCs/>
          <w:szCs w:val="24"/>
        </w:rPr>
        <w:t xml:space="preserve"> </w:t>
      </w:r>
      <w:r w:rsidR="00CA6CE2">
        <w:rPr>
          <w:rFonts w:ascii="Arial" w:hAnsi="Arial" w:cs="Arial"/>
          <w:bCs/>
          <w:szCs w:val="24"/>
        </w:rPr>
        <w:t xml:space="preserve">Executive staff state that they </w:t>
      </w:r>
      <w:r w:rsidR="00C65F1C" w:rsidRPr="00C65F1C">
        <w:rPr>
          <w:rFonts w:ascii="Arial" w:hAnsi="Arial" w:cs="Arial"/>
          <w:bCs/>
          <w:szCs w:val="24"/>
        </w:rPr>
        <w:t xml:space="preserve">expect the first round of eligibility reviews </w:t>
      </w:r>
      <w:r w:rsidR="00CA6CE2">
        <w:rPr>
          <w:rFonts w:ascii="Arial" w:hAnsi="Arial" w:cs="Arial"/>
          <w:bCs/>
          <w:szCs w:val="24"/>
        </w:rPr>
        <w:t>would</w:t>
      </w:r>
      <w:r w:rsidR="00C65F1C" w:rsidRPr="00C65F1C">
        <w:rPr>
          <w:rFonts w:ascii="Arial" w:hAnsi="Arial" w:cs="Arial"/>
          <w:bCs/>
          <w:szCs w:val="24"/>
        </w:rPr>
        <w:t xml:space="preserve"> be completed around the end of July</w:t>
      </w:r>
      <w:r w:rsidR="00CA6CE2">
        <w:rPr>
          <w:rFonts w:ascii="Arial" w:hAnsi="Arial" w:cs="Arial"/>
          <w:bCs/>
          <w:szCs w:val="24"/>
        </w:rPr>
        <w:t xml:space="preserve"> 2021.</w:t>
      </w:r>
    </w:p>
    <w:p w14:paraId="47DE26A3" w14:textId="307D14FB" w:rsidR="00E2690C" w:rsidRDefault="00E2690C" w:rsidP="00894C0D">
      <w:pPr>
        <w:spacing w:line="264" w:lineRule="auto"/>
        <w:rPr>
          <w:rFonts w:ascii="Arial" w:hAnsi="Arial" w:cs="Arial"/>
          <w:b/>
          <w:szCs w:val="24"/>
        </w:rPr>
      </w:pPr>
    </w:p>
    <w:p w14:paraId="4DC100FA" w14:textId="3599BA45" w:rsidR="00E2690C" w:rsidRDefault="00E2690C" w:rsidP="00E2690C">
      <w:pPr>
        <w:spacing w:line="264" w:lineRule="auto"/>
        <w:contextualSpacing/>
        <w:jc w:val="both"/>
        <w:rPr>
          <w:rFonts w:ascii="Arial" w:hAnsi="Arial" w:cs="Arial"/>
          <w:szCs w:val="24"/>
        </w:rPr>
      </w:pPr>
      <w:r>
        <w:rPr>
          <w:rFonts w:ascii="Arial" w:hAnsi="Arial" w:cs="Arial"/>
          <w:b/>
          <w:bCs/>
          <w:szCs w:val="24"/>
        </w:rPr>
        <w:t xml:space="preserve">Legal System Backlog.  </w:t>
      </w:r>
      <w:r w:rsidR="004A46EB">
        <w:rPr>
          <w:rFonts w:ascii="Arial" w:hAnsi="Arial" w:cs="Arial"/>
          <w:szCs w:val="24"/>
        </w:rPr>
        <w:t>COVID 8</w:t>
      </w:r>
      <w:r w:rsidRPr="0085523E">
        <w:rPr>
          <w:rFonts w:ascii="Arial" w:hAnsi="Arial" w:cs="Arial"/>
          <w:szCs w:val="24"/>
        </w:rPr>
        <w:t xml:space="preserve"> </w:t>
      </w:r>
      <w:r w:rsidR="004A46EB">
        <w:rPr>
          <w:rFonts w:ascii="Arial" w:hAnsi="Arial" w:cs="Arial"/>
          <w:szCs w:val="24"/>
        </w:rPr>
        <w:t>would appropriate</w:t>
      </w:r>
      <w:r w:rsidRPr="0085523E">
        <w:rPr>
          <w:rFonts w:ascii="Arial" w:hAnsi="Arial" w:cs="Arial"/>
          <w:szCs w:val="24"/>
        </w:rPr>
        <w:t xml:space="preserve"> $30</w:t>
      </w:r>
      <w:r>
        <w:rPr>
          <w:rFonts w:ascii="Arial" w:hAnsi="Arial" w:cs="Arial"/>
          <w:szCs w:val="24"/>
        </w:rPr>
        <w:t>.8</w:t>
      </w:r>
      <w:r w:rsidRPr="0085523E">
        <w:rPr>
          <w:rFonts w:ascii="Arial" w:hAnsi="Arial" w:cs="Arial"/>
          <w:szCs w:val="24"/>
        </w:rPr>
        <w:t xml:space="preserve"> million </w:t>
      </w:r>
      <w:r w:rsidR="00443EB7">
        <w:rPr>
          <w:rFonts w:ascii="Arial" w:hAnsi="Arial" w:cs="Arial"/>
          <w:szCs w:val="24"/>
        </w:rPr>
        <w:t>of</w:t>
      </w:r>
      <w:r w:rsidRPr="0085523E">
        <w:rPr>
          <w:rFonts w:ascii="Arial" w:hAnsi="Arial" w:cs="Arial"/>
          <w:szCs w:val="24"/>
        </w:rPr>
        <w:t xml:space="preserve"> ARPA </w:t>
      </w:r>
      <w:r>
        <w:rPr>
          <w:rFonts w:ascii="Arial" w:hAnsi="Arial" w:cs="Arial"/>
          <w:szCs w:val="24"/>
        </w:rPr>
        <w:t xml:space="preserve">CLFRF </w:t>
      </w:r>
      <w:r w:rsidR="00443EB7">
        <w:rPr>
          <w:rFonts w:ascii="Arial" w:hAnsi="Arial" w:cs="Arial"/>
          <w:szCs w:val="24"/>
        </w:rPr>
        <w:t>moneys</w:t>
      </w:r>
      <w:r w:rsidRPr="0085523E">
        <w:rPr>
          <w:rFonts w:ascii="Arial" w:hAnsi="Arial" w:cs="Arial"/>
          <w:szCs w:val="24"/>
        </w:rPr>
        <w:t xml:space="preserve"> </w:t>
      </w:r>
      <w:r>
        <w:rPr>
          <w:rFonts w:ascii="Arial" w:hAnsi="Arial" w:cs="Arial"/>
          <w:szCs w:val="24"/>
        </w:rPr>
        <w:t xml:space="preserve">allocated among the King County District Court (KCDC), Department of Public Defense (DPD), Prosecuting Attorney (PAO), Department of Judicial Administration (DJA), and King County Superior Court (KCSC) </w:t>
      </w:r>
      <w:r w:rsidRPr="0085523E">
        <w:rPr>
          <w:rFonts w:ascii="Arial" w:hAnsi="Arial" w:cs="Arial"/>
          <w:szCs w:val="24"/>
        </w:rPr>
        <w:t xml:space="preserve">to address the backlog in the </w:t>
      </w:r>
      <w:r>
        <w:rPr>
          <w:rFonts w:ascii="Arial" w:hAnsi="Arial" w:cs="Arial"/>
          <w:szCs w:val="24"/>
        </w:rPr>
        <w:t xml:space="preserve">legal </w:t>
      </w:r>
      <w:r w:rsidRPr="0085523E">
        <w:rPr>
          <w:rFonts w:ascii="Arial" w:hAnsi="Arial" w:cs="Arial"/>
          <w:szCs w:val="24"/>
        </w:rPr>
        <w:t>system caused by the closure and slowdown of the judicial system as a result of the COVID-19 pandemic.</w:t>
      </w:r>
    </w:p>
    <w:p w14:paraId="004F44AD" w14:textId="77777777" w:rsidR="00E2690C" w:rsidRPr="00753E33" w:rsidRDefault="00E2690C" w:rsidP="00E2690C">
      <w:pPr>
        <w:spacing w:line="264" w:lineRule="auto"/>
        <w:contextualSpacing/>
        <w:jc w:val="both"/>
        <w:rPr>
          <w:rFonts w:ascii="Arial" w:hAnsi="Arial" w:cs="Arial"/>
          <w:b/>
          <w:bCs/>
          <w:szCs w:val="24"/>
        </w:rPr>
      </w:pPr>
    </w:p>
    <w:p w14:paraId="7C0A49C1" w14:textId="77777777" w:rsidR="00E2690C" w:rsidRDefault="00E2690C" w:rsidP="00E2690C">
      <w:pPr>
        <w:spacing w:line="264" w:lineRule="auto"/>
        <w:contextualSpacing/>
        <w:jc w:val="both"/>
        <w:rPr>
          <w:rFonts w:ascii="Arial" w:hAnsi="Arial" w:cs="Arial"/>
          <w:szCs w:val="24"/>
        </w:rPr>
      </w:pPr>
      <w:r w:rsidRPr="008A07FC">
        <w:rPr>
          <w:rFonts w:ascii="Arial" w:hAnsi="Arial" w:cs="Arial"/>
          <w:i/>
          <w:iCs/>
          <w:szCs w:val="24"/>
        </w:rPr>
        <w:t>Current Backlog</w:t>
      </w:r>
      <w:r>
        <w:rPr>
          <w:rFonts w:ascii="Arial" w:hAnsi="Arial" w:cs="Arial"/>
          <w:i/>
          <w:iCs/>
          <w:szCs w:val="24"/>
        </w:rPr>
        <w:t xml:space="preserve">.  </w:t>
      </w:r>
      <w:r>
        <w:rPr>
          <w:rFonts w:ascii="Arial" w:hAnsi="Arial" w:cs="Arial"/>
          <w:szCs w:val="24"/>
        </w:rPr>
        <w:t xml:space="preserve">While the overall level of year to date felony filings is less than in 2018 and 2019, there is a significant backlog of cases in the criminal justice system as the operational impacts from COVID-19 pandemic has prevented some cases from resolving. </w:t>
      </w:r>
      <w:r w:rsidRPr="00BA5420">
        <w:rPr>
          <w:rFonts w:ascii="Arial" w:hAnsi="Arial" w:cs="Arial"/>
          <w:szCs w:val="24"/>
        </w:rPr>
        <w:t xml:space="preserve">PAO reports there are currently </w:t>
      </w:r>
      <w:r w:rsidRPr="00EB03AF">
        <w:rPr>
          <w:rFonts w:ascii="Arial" w:hAnsi="Arial" w:cs="Arial"/>
          <w:szCs w:val="24"/>
          <w:u w:val="single"/>
        </w:rPr>
        <w:t>6,450 pending felonies</w:t>
      </w:r>
      <w:r w:rsidRPr="00BA5420">
        <w:rPr>
          <w:rFonts w:ascii="Arial" w:hAnsi="Arial" w:cs="Arial"/>
          <w:szCs w:val="24"/>
        </w:rPr>
        <w:t xml:space="preserve"> as compared to an average of 3,250 from Jan. 2019 through March 202</w:t>
      </w:r>
      <w:r>
        <w:rPr>
          <w:rFonts w:ascii="Arial" w:hAnsi="Arial" w:cs="Arial"/>
          <w:szCs w:val="24"/>
        </w:rPr>
        <w:t>0</w:t>
      </w:r>
      <w:r w:rsidRPr="00BA5420">
        <w:rPr>
          <w:rFonts w:ascii="Arial" w:hAnsi="Arial" w:cs="Arial"/>
          <w:szCs w:val="24"/>
        </w:rPr>
        <w:t xml:space="preserve">. Of these pending cases excluding Drug Court, 3,085 are in Seattle and 2,497 are at the </w:t>
      </w:r>
      <w:r>
        <w:rPr>
          <w:rFonts w:ascii="Arial" w:hAnsi="Arial" w:cs="Arial"/>
          <w:szCs w:val="24"/>
        </w:rPr>
        <w:t>Maleng Regional Justice Center (</w:t>
      </w:r>
      <w:r w:rsidRPr="00BA5420">
        <w:rPr>
          <w:rFonts w:ascii="Arial" w:hAnsi="Arial" w:cs="Arial"/>
          <w:szCs w:val="24"/>
        </w:rPr>
        <w:t>MRJC</w:t>
      </w:r>
      <w:r>
        <w:rPr>
          <w:rFonts w:ascii="Arial" w:hAnsi="Arial" w:cs="Arial"/>
          <w:szCs w:val="24"/>
        </w:rPr>
        <w:t>).</w:t>
      </w:r>
    </w:p>
    <w:p w14:paraId="31BC7810" w14:textId="77777777" w:rsidR="00E2690C" w:rsidRDefault="00E2690C" w:rsidP="00E2690C">
      <w:pPr>
        <w:spacing w:line="264" w:lineRule="auto"/>
        <w:contextualSpacing/>
        <w:jc w:val="both"/>
        <w:rPr>
          <w:rFonts w:ascii="Arial" w:hAnsi="Arial" w:cs="Arial"/>
          <w:szCs w:val="24"/>
        </w:rPr>
      </w:pPr>
    </w:p>
    <w:p w14:paraId="2656C4EC" w14:textId="25B80AF8" w:rsidR="00E2690C" w:rsidRDefault="00E2690C" w:rsidP="00E2690C">
      <w:pPr>
        <w:spacing w:line="264" w:lineRule="auto"/>
        <w:contextualSpacing/>
        <w:jc w:val="both"/>
        <w:rPr>
          <w:rFonts w:ascii="Arial" w:hAnsi="Arial" w:cs="Arial"/>
          <w:szCs w:val="24"/>
        </w:rPr>
      </w:pPr>
      <w:r w:rsidRPr="62B9A504">
        <w:rPr>
          <w:rFonts w:ascii="Arial" w:hAnsi="Arial" w:cs="Arial"/>
          <w:szCs w:val="24"/>
        </w:rPr>
        <w:t xml:space="preserve">Additionally, as shown in </w:t>
      </w:r>
      <w:r w:rsidR="00E817DC">
        <w:rPr>
          <w:rFonts w:ascii="Arial" w:hAnsi="Arial" w:cs="Arial"/>
          <w:szCs w:val="24"/>
        </w:rPr>
        <w:t xml:space="preserve">the PAO provide </w:t>
      </w:r>
      <w:r w:rsidR="000B50D8">
        <w:rPr>
          <w:rFonts w:ascii="Arial" w:hAnsi="Arial" w:cs="Arial"/>
          <w:szCs w:val="24"/>
        </w:rPr>
        <w:t xml:space="preserve">Figure 1 </w:t>
      </w:r>
      <w:r w:rsidRPr="62B9A504">
        <w:rPr>
          <w:rFonts w:ascii="Arial" w:hAnsi="Arial" w:cs="Arial"/>
          <w:szCs w:val="24"/>
        </w:rPr>
        <w:t>below</w:t>
      </w:r>
      <w:r w:rsidR="00E817DC">
        <w:rPr>
          <w:rFonts w:ascii="Arial" w:hAnsi="Arial" w:cs="Arial"/>
          <w:szCs w:val="24"/>
        </w:rPr>
        <w:t xml:space="preserve">, </w:t>
      </w:r>
      <w:r w:rsidRPr="62B9A504">
        <w:rPr>
          <w:rFonts w:ascii="Arial" w:hAnsi="Arial" w:cs="Arial"/>
          <w:szCs w:val="24"/>
        </w:rPr>
        <w:t>there has been an increase in the number of pending</w:t>
      </w:r>
      <w:r>
        <w:rPr>
          <w:rStyle w:val="FootnoteReference"/>
          <w:rFonts w:ascii="Arial" w:hAnsi="Arial" w:cs="Arial"/>
          <w:szCs w:val="24"/>
        </w:rPr>
        <w:footnoteReference w:id="11"/>
      </w:r>
      <w:r w:rsidRPr="62B9A504">
        <w:rPr>
          <w:rFonts w:ascii="Arial" w:hAnsi="Arial" w:cs="Arial"/>
          <w:szCs w:val="24"/>
        </w:rPr>
        <w:t xml:space="preserve"> more serious offenses (homicide, rape, domestic violence, robbery, shootings) from 1,700 such cases pre-COVID to an estimated 2,700 in June </w:t>
      </w:r>
      <w:r w:rsidRPr="62B9A504">
        <w:rPr>
          <w:rFonts w:ascii="Arial" w:hAnsi="Arial" w:cs="Arial"/>
          <w:szCs w:val="24"/>
        </w:rPr>
        <w:lastRenderedPageBreak/>
        <w:t xml:space="preserve">2021 (see graph below) from the PAO. </w:t>
      </w:r>
      <w:r>
        <w:rPr>
          <w:rFonts w:ascii="Arial" w:hAnsi="Arial" w:cs="Arial"/>
          <w:szCs w:val="24"/>
        </w:rPr>
        <w:t xml:space="preserve">Additionally, </w:t>
      </w:r>
      <w:r w:rsidRPr="62B9A504">
        <w:rPr>
          <w:rFonts w:ascii="Arial" w:hAnsi="Arial" w:cs="Arial"/>
          <w:szCs w:val="24"/>
        </w:rPr>
        <w:t>PAO reports there has been a</w:t>
      </w:r>
      <w:r>
        <w:rPr>
          <w:rFonts w:ascii="Arial" w:hAnsi="Arial" w:cs="Arial"/>
          <w:szCs w:val="24"/>
        </w:rPr>
        <w:t>n increase in the number of shots fired in 2020 and 2021, consistent with national trends</w:t>
      </w:r>
      <w:r w:rsidRPr="62B9A504">
        <w:rPr>
          <w:rFonts w:ascii="Arial" w:hAnsi="Arial" w:cs="Arial"/>
          <w:szCs w:val="24"/>
        </w:rPr>
        <w:t xml:space="preserve">. </w:t>
      </w:r>
    </w:p>
    <w:p w14:paraId="69CD53AB" w14:textId="77777777" w:rsidR="00E2690C" w:rsidRDefault="00E2690C" w:rsidP="00E2690C">
      <w:pPr>
        <w:spacing w:line="264" w:lineRule="auto"/>
        <w:contextualSpacing/>
        <w:jc w:val="center"/>
        <w:rPr>
          <w:rFonts w:ascii="Arial" w:hAnsi="Arial" w:cs="Arial"/>
          <w:b/>
          <w:bCs/>
          <w:szCs w:val="24"/>
        </w:rPr>
      </w:pPr>
    </w:p>
    <w:p w14:paraId="050FC155" w14:textId="412101FA" w:rsidR="00E2690C" w:rsidRDefault="00E2690C" w:rsidP="0089120A">
      <w:pPr>
        <w:keepNext/>
        <w:spacing w:line="264" w:lineRule="auto"/>
        <w:contextualSpacing/>
        <w:jc w:val="center"/>
        <w:rPr>
          <w:rFonts w:ascii="Arial" w:hAnsi="Arial" w:cs="Arial"/>
          <w:szCs w:val="24"/>
        </w:rPr>
      </w:pPr>
      <w:r w:rsidRPr="008A07FC">
        <w:rPr>
          <w:rFonts w:ascii="Arial" w:hAnsi="Arial" w:cs="Arial"/>
          <w:b/>
          <w:bCs/>
          <w:szCs w:val="24"/>
        </w:rPr>
        <w:t xml:space="preserve">Figure </w:t>
      </w:r>
      <w:r w:rsidR="000B50D8">
        <w:rPr>
          <w:rFonts w:ascii="Arial" w:hAnsi="Arial" w:cs="Arial"/>
          <w:b/>
          <w:bCs/>
          <w:szCs w:val="24"/>
        </w:rPr>
        <w:t>1</w:t>
      </w:r>
    </w:p>
    <w:p w14:paraId="68C4E7FF" w14:textId="2A55AE2F" w:rsidR="00E2690C" w:rsidRDefault="00E2690C" w:rsidP="0089120A">
      <w:pPr>
        <w:keepNext/>
        <w:spacing w:line="264" w:lineRule="auto"/>
        <w:contextualSpacing/>
        <w:jc w:val="center"/>
        <w:rPr>
          <w:rFonts w:ascii="Arial" w:hAnsi="Arial" w:cs="Arial"/>
          <w:szCs w:val="24"/>
        </w:rPr>
      </w:pPr>
      <w:r w:rsidRPr="00917EC0">
        <w:rPr>
          <w:rFonts w:ascii="Arial" w:hAnsi="Arial" w:cs="Arial"/>
          <w:b/>
          <w:bCs/>
          <w:szCs w:val="24"/>
        </w:rPr>
        <w:t>Number of Pending More Serious Offenses</w:t>
      </w:r>
      <w:r>
        <w:rPr>
          <w:rStyle w:val="FootnoteReference"/>
          <w:rFonts w:ascii="Arial" w:hAnsi="Arial" w:cs="Arial"/>
          <w:szCs w:val="24"/>
        </w:rPr>
        <w:footnoteReference w:id="12"/>
      </w:r>
      <w:r w:rsidR="000B50D8">
        <w:rPr>
          <w:rFonts w:ascii="Arial" w:hAnsi="Arial" w:cs="Arial"/>
          <w:b/>
          <w:bCs/>
          <w:szCs w:val="24"/>
        </w:rPr>
        <w:t>.</w:t>
      </w:r>
    </w:p>
    <w:p w14:paraId="650520F0" w14:textId="77777777" w:rsidR="00E2690C" w:rsidRDefault="00E2690C" w:rsidP="00E2690C">
      <w:pPr>
        <w:spacing w:line="264" w:lineRule="auto"/>
        <w:contextualSpacing/>
        <w:jc w:val="center"/>
        <w:rPr>
          <w:rFonts w:ascii="Arial" w:hAnsi="Arial" w:cs="Arial"/>
          <w:szCs w:val="24"/>
        </w:rPr>
      </w:pPr>
      <w:r>
        <w:rPr>
          <w:noProof/>
        </w:rPr>
        <w:drawing>
          <wp:inline distT="0" distB="0" distL="0" distR="0" wp14:anchorId="0DA808BC" wp14:editId="0263D736">
            <wp:extent cx="5408500" cy="2911693"/>
            <wp:effectExtent l="133350" t="114300" r="154305" b="155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54893" cy="29366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0CD8855" w14:textId="77777777" w:rsidR="00E2690C" w:rsidRDefault="00E2690C" w:rsidP="00E2690C">
      <w:pPr>
        <w:spacing w:line="264" w:lineRule="auto"/>
        <w:contextualSpacing/>
        <w:jc w:val="both"/>
        <w:rPr>
          <w:rFonts w:ascii="Arial" w:hAnsi="Arial" w:cs="Arial"/>
          <w:szCs w:val="24"/>
        </w:rPr>
      </w:pPr>
    </w:p>
    <w:p w14:paraId="37F3E2FF" w14:textId="75880D01" w:rsidR="00E2690C" w:rsidRDefault="00E2690C" w:rsidP="00E2690C">
      <w:pPr>
        <w:pStyle w:val="ListParagraph0"/>
        <w:spacing w:line="264" w:lineRule="auto"/>
        <w:ind w:left="0"/>
        <w:jc w:val="both"/>
        <w:rPr>
          <w:rFonts w:ascii="Arial" w:hAnsi="Arial" w:cs="Arial"/>
        </w:rPr>
      </w:pPr>
      <w:r>
        <w:rPr>
          <w:rFonts w:ascii="Arial" w:hAnsi="Arial" w:cs="Arial"/>
        </w:rPr>
        <w:t xml:space="preserve">Additionally, as cases take longer to resolve and as the in-custody jail population reflects a higher percentage of serious felonies, DAJD reports </w:t>
      </w:r>
      <w:r w:rsidRPr="0081213A">
        <w:rPr>
          <w:rFonts w:ascii="Arial" w:hAnsi="Arial" w:cs="Arial"/>
        </w:rPr>
        <w:t>the average length of stay for pre-trial felony defendants has increased from 41.5 days in 2019 to 88.4 days in 2021</w:t>
      </w:r>
      <w:r w:rsidRPr="005769CE">
        <w:rPr>
          <w:rFonts w:ascii="Arial" w:hAnsi="Arial" w:cs="Arial"/>
        </w:rPr>
        <w:t xml:space="preserve">. </w:t>
      </w:r>
      <w:r w:rsidRPr="00D16879">
        <w:rPr>
          <w:rFonts w:ascii="Arial" w:hAnsi="Arial" w:cs="Arial"/>
        </w:rPr>
        <w:t xml:space="preserve"> Similarly, </w:t>
      </w:r>
      <w:r>
        <w:rPr>
          <w:rFonts w:ascii="Arial" w:hAnsi="Arial" w:cs="Arial"/>
        </w:rPr>
        <w:t xml:space="preserve">PAO reports the </w:t>
      </w:r>
      <w:r w:rsidRPr="00D16879">
        <w:rPr>
          <w:rFonts w:ascii="Arial" w:hAnsi="Arial" w:cs="Arial"/>
        </w:rPr>
        <w:t xml:space="preserve">median </w:t>
      </w:r>
      <w:r>
        <w:rPr>
          <w:rFonts w:ascii="Arial" w:hAnsi="Arial" w:cs="Arial"/>
        </w:rPr>
        <w:t xml:space="preserve">age of these open cases in PAO </w:t>
      </w:r>
      <w:r w:rsidRPr="00D16879">
        <w:rPr>
          <w:rFonts w:ascii="Arial" w:hAnsi="Arial" w:cs="Arial"/>
        </w:rPr>
        <w:t>has increased from about 140 days to 286 days.</w:t>
      </w:r>
    </w:p>
    <w:p w14:paraId="7F67CB68" w14:textId="77777777" w:rsidR="000103B2" w:rsidRPr="0081213A" w:rsidRDefault="000103B2" w:rsidP="00E2690C">
      <w:pPr>
        <w:pStyle w:val="ListParagraph0"/>
        <w:spacing w:line="264" w:lineRule="auto"/>
        <w:ind w:left="0"/>
        <w:jc w:val="both"/>
        <w:rPr>
          <w:rFonts w:ascii="Arial" w:hAnsi="Arial" w:cs="Arial"/>
        </w:rPr>
      </w:pPr>
    </w:p>
    <w:p w14:paraId="28F857CD" w14:textId="13C34436" w:rsidR="00E2690C" w:rsidRDefault="00E2690C" w:rsidP="00E2690C">
      <w:pPr>
        <w:spacing w:line="264" w:lineRule="auto"/>
        <w:contextualSpacing/>
        <w:jc w:val="both"/>
        <w:rPr>
          <w:rFonts w:ascii="Arial" w:hAnsi="Arial" w:cs="Arial"/>
          <w:szCs w:val="24"/>
        </w:rPr>
      </w:pPr>
      <w:r w:rsidRPr="002C02B7">
        <w:rPr>
          <w:rFonts w:ascii="Arial" w:hAnsi="Arial" w:cs="Arial"/>
          <w:b/>
          <w:bCs/>
          <w:i/>
          <w:iCs/>
          <w:szCs w:val="24"/>
        </w:rPr>
        <w:t>COVID 8 (Proposed Ordinance 2021-0238).</w:t>
      </w:r>
      <w:r>
        <w:rPr>
          <w:rFonts w:ascii="Arial" w:hAnsi="Arial" w:cs="Arial"/>
          <w:i/>
          <w:iCs/>
          <w:szCs w:val="24"/>
        </w:rPr>
        <w:t xml:space="preserve">  </w:t>
      </w:r>
      <w:r>
        <w:rPr>
          <w:rFonts w:ascii="Arial" w:hAnsi="Arial" w:cs="Arial"/>
          <w:szCs w:val="24"/>
        </w:rPr>
        <w:t xml:space="preserve">COVID 8 would appropriate ARPA CLFRF funding as shown in </w:t>
      </w:r>
      <w:r w:rsidR="008438F5">
        <w:rPr>
          <w:rFonts w:ascii="Arial" w:hAnsi="Arial" w:cs="Arial"/>
          <w:szCs w:val="24"/>
        </w:rPr>
        <w:t xml:space="preserve">Table 2 </w:t>
      </w:r>
      <w:r>
        <w:rPr>
          <w:rFonts w:ascii="Arial" w:hAnsi="Arial" w:cs="Arial"/>
          <w:szCs w:val="24"/>
        </w:rPr>
        <w:t>below:</w:t>
      </w:r>
    </w:p>
    <w:p w14:paraId="459B9428" w14:textId="77777777" w:rsidR="002C02B7" w:rsidRDefault="002C02B7" w:rsidP="00E2690C">
      <w:pPr>
        <w:spacing w:line="264" w:lineRule="auto"/>
        <w:contextualSpacing/>
        <w:jc w:val="both"/>
        <w:rPr>
          <w:rFonts w:ascii="Arial" w:hAnsi="Arial" w:cs="Arial"/>
          <w:b/>
          <w:bCs/>
          <w:szCs w:val="24"/>
        </w:rPr>
      </w:pPr>
    </w:p>
    <w:p w14:paraId="5A4D0A2B" w14:textId="365390CD" w:rsidR="00E2690C" w:rsidRPr="0022129C" w:rsidRDefault="00E2690C" w:rsidP="002C02B7">
      <w:pPr>
        <w:keepNext/>
        <w:spacing w:line="264" w:lineRule="auto"/>
        <w:contextualSpacing/>
        <w:jc w:val="center"/>
        <w:rPr>
          <w:rFonts w:ascii="Arial" w:hAnsi="Arial" w:cs="Arial"/>
          <w:b/>
          <w:szCs w:val="24"/>
        </w:rPr>
      </w:pPr>
      <w:r w:rsidRPr="0022129C">
        <w:rPr>
          <w:rFonts w:ascii="Arial" w:hAnsi="Arial" w:cs="Arial"/>
          <w:b/>
          <w:szCs w:val="24"/>
        </w:rPr>
        <w:lastRenderedPageBreak/>
        <w:t xml:space="preserve">Table </w:t>
      </w:r>
      <w:r w:rsidR="000B50D8">
        <w:rPr>
          <w:rFonts w:ascii="Arial" w:hAnsi="Arial" w:cs="Arial"/>
          <w:b/>
          <w:szCs w:val="24"/>
        </w:rPr>
        <w:t>2</w:t>
      </w:r>
    </w:p>
    <w:p w14:paraId="588C0463" w14:textId="34081D2A" w:rsidR="00E2690C" w:rsidRDefault="00E2690C" w:rsidP="002C02B7">
      <w:pPr>
        <w:keepNext/>
        <w:spacing w:line="264" w:lineRule="auto"/>
        <w:contextualSpacing/>
        <w:jc w:val="center"/>
        <w:rPr>
          <w:rFonts w:ascii="Arial" w:hAnsi="Arial" w:cs="Arial"/>
          <w:b/>
          <w:szCs w:val="24"/>
        </w:rPr>
      </w:pPr>
      <w:r w:rsidRPr="00783E86">
        <w:rPr>
          <w:rFonts w:ascii="Arial" w:hAnsi="Arial" w:cs="Arial"/>
          <w:b/>
          <w:szCs w:val="24"/>
        </w:rPr>
        <w:t>Legal System Backlog</w:t>
      </w:r>
      <w:r w:rsidR="000B50D8">
        <w:rPr>
          <w:rFonts w:ascii="Arial" w:hAnsi="Arial" w:cs="Arial"/>
          <w:b/>
          <w:szCs w:val="24"/>
        </w:rPr>
        <w:t>.</w:t>
      </w:r>
    </w:p>
    <w:p w14:paraId="0E9131F8" w14:textId="77777777" w:rsidR="00E2690C" w:rsidRPr="00783E86" w:rsidRDefault="00E2690C" w:rsidP="002C02B7">
      <w:pPr>
        <w:keepNext/>
        <w:spacing w:line="264" w:lineRule="auto"/>
        <w:contextualSpacing/>
        <w:jc w:val="center"/>
        <w:rPr>
          <w:rFonts w:ascii="Arial" w:hAnsi="Arial" w:cs="Arial"/>
          <w:b/>
          <w:szCs w:val="24"/>
        </w:rPr>
      </w:pPr>
    </w:p>
    <w:tbl>
      <w:tblPr>
        <w:tblStyle w:val="TableGrid"/>
        <w:tblW w:w="9363" w:type="dxa"/>
        <w:tblLook w:val="04A0" w:firstRow="1" w:lastRow="0" w:firstColumn="1" w:lastColumn="0" w:noHBand="0" w:noVBand="1"/>
      </w:tblPr>
      <w:tblGrid>
        <w:gridCol w:w="4140"/>
        <w:gridCol w:w="267"/>
        <w:gridCol w:w="1803"/>
        <w:gridCol w:w="267"/>
        <w:gridCol w:w="1327"/>
        <w:gridCol w:w="236"/>
        <w:gridCol w:w="1323"/>
      </w:tblGrid>
      <w:tr w:rsidR="00E2690C" w:rsidRPr="00783E86" w14:paraId="6DCEB078" w14:textId="77777777" w:rsidTr="00A329A2">
        <w:trPr>
          <w:cantSplit/>
          <w:tblHeader/>
        </w:trPr>
        <w:tc>
          <w:tcPr>
            <w:tcW w:w="4140" w:type="dxa"/>
            <w:tcBorders>
              <w:top w:val="single" w:sz="12" w:space="0" w:color="auto"/>
              <w:left w:val="nil"/>
              <w:bottom w:val="single" w:sz="4" w:space="0" w:color="auto"/>
              <w:right w:val="nil"/>
            </w:tcBorders>
            <w:shd w:val="clear" w:color="auto" w:fill="auto"/>
            <w:vAlign w:val="bottom"/>
          </w:tcPr>
          <w:p w14:paraId="7336AF10" w14:textId="77777777" w:rsidR="00E2690C" w:rsidRPr="00783E86" w:rsidRDefault="00E2690C" w:rsidP="002C02B7">
            <w:pPr>
              <w:keepNext/>
              <w:spacing w:line="264" w:lineRule="auto"/>
              <w:contextualSpacing/>
              <w:jc w:val="both"/>
              <w:rPr>
                <w:rFonts w:ascii="Arial" w:hAnsi="Arial" w:cs="Arial"/>
                <w:b/>
                <w:szCs w:val="24"/>
              </w:rPr>
            </w:pPr>
          </w:p>
        </w:tc>
        <w:tc>
          <w:tcPr>
            <w:tcW w:w="267" w:type="dxa"/>
            <w:tcBorders>
              <w:top w:val="single" w:sz="12" w:space="0" w:color="auto"/>
              <w:left w:val="nil"/>
              <w:bottom w:val="nil"/>
              <w:right w:val="nil"/>
            </w:tcBorders>
          </w:tcPr>
          <w:p w14:paraId="13E6ECF4" w14:textId="77777777" w:rsidR="00E2690C" w:rsidRPr="00783E86" w:rsidRDefault="00E2690C" w:rsidP="002C02B7">
            <w:pPr>
              <w:keepNext/>
              <w:spacing w:line="264" w:lineRule="auto"/>
              <w:contextualSpacing/>
              <w:jc w:val="center"/>
              <w:rPr>
                <w:rFonts w:ascii="Arial" w:hAnsi="Arial" w:cs="Arial"/>
                <w:b/>
                <w:szCs w:val="24"/>
              </w:rPr>
            </w:pPr>
          </w:p>
        </w:tc>
        <w:tc>
          <w:tcPr>
            <w:tcW w:w="1803" w:type="dxa"/>
            <w:tcBorders>
              <w:top w:val="single" w:sz="12" w:space="0" w:color="auto"/>
              <w:left w:val="nil"/>
              <w:bottom w:val="single" w:sz="4" w:space="0" w:color="auto"/>
              <w:right w:val="nil"/>
            </w:tcBorders>
            <w:shd w:val="clear" w:color="auto" w:fill="auto"/>
            <w:vAlign w:val="bottom"/>
          </w:tcPr>
          <w:p w14:paraId="1D1D1519" w14:textId="77777777" w:rsidR="00E2690C" w:rsidRPr="00783E86" w:rsidRDefault="00E2690C" w:rsidP="002C02B7">
            <w:pPr>
              <w:keepNext/>
              <w:spacing w:line="264" w:lineRule="auto"/>
              <w:contextualSpacing/>
              <w:jc w:val="center"/>
              <w:rPr>
                <w:rFonts w:ascii="Arial" w:hAnsi="Arial" w:cs="Arial"/>
                <w:b/>
                <w:szCs w:val="24"/>
              </w:rPr>
            </w:pPr>
            <w:r w:rsidRPr="00783E86">
              <w:rPr>
                <w:rFonts w:ascii="Arial" w:hAnsi="Arial" w:cs="Arial"/>
                <w:b/>
                <w:szCs w:val="24"/>
              </w:rPr>
              <w:t>Proposed Appropriation</w:t>
            </w:r>
          </w:p>
        </w:tc>
        <w:tc>
          <w:tcPr>
            <w:tcW w:w="267" w:type="dxa"/>
            <w:tcBorders>
              <w:top w:val="single" w:sz="12" w:space="0" w:color="auto"/>
              <w:left w:val="nil"/>
              <w:bottom w:val="nil"/>
              <w:right w:val="nil"/>
            </w:tcBorders>
          </w:tcPr>
          <w:p w14:paraId="7FBF2C5B" w14:textId="77777777" w:rsidR="00E2690C" w:rsidRPr="00783E86" w:rsidRDefault="00E2690C" w:rsidP="002C02B7">
            <w:pPr>
              <w:keepNext/>
              <w:spacing w:line="264" w:lineRule="auto"/>
              <w:contextualSpacing/>
              <w:jc w:val="center"/>
              <w:rPr>
                <w:rFonts w:ascii="Arial" w:hAnsi="Arial" w:cs="Arial"/>
                <w:b/>
                <w:szCs w:val="24"/>
              </w:rPr>
            </w:pPr>
          </w:p>
        </w:tc>
        <w:tc>
          <w:tcPr>
            <w:tcW w:w="1327" w:type="dxa"/>
            <w:tcBorders>
              <w:top w:val="single" w:sz="12" w:space="0" w:color="auto"/>
              <w:left w:val="nil"/>
              <w:bottom w:val="single" w:sz="4" w:space="0" w:color="auto"/>
              <w:right w:val="nil"/>
            </w:tcBorders>
            <w:shd w:val="clear" w:color="auto" w:fill="auto"/>
          </w:tcPr>
          <w:p w14:paraId="64159BD0" w14:textId="77777777" w:rsidR="00E2690C" w:rsidRPr="00783E86" w:rsidRDefault="00E2690C" w:rsidP="002C02B7">
            <w:pPr>
              <w:keepNext/>
              <w:spacing w:line="264" w:lineRule="auto"/>
              <w:contextualSpacing/>
              <w:jc w:val="center"/>
              <w:rPr>
                <w:rFonts w:ascii="Arial" w:hAnsi="Arial" w:cs="Arial"/>
                <w:b/>
                <w:szCs w:val="24"/>
              </w:rPr>
            </w:pPr>
            <w:r w:rsidRPr="00783E86">
              <w:rPr>
                <w:rFonts w:ascii="Arial" w:hAnsi="Arial" w:cs="Arial"/>
                <w:b/>
                <w:szCs w:val="24"/>
              </w:rPr>
              <w:t>Proposed FTEs</w:t>
            </w:r>
          </w:p>
        </w:tc>
        <w:tc>
          <w:tcPr>
            <w:tcW w:w="236" w:type="dxa"/>
            <w:tcBorders>
              <w:top w:val="single" w:sz="12" w:space="0" w:color="auto"/>
              <w:left w:val="nil"/>
              <w:bottom w:val="nil"/>
              <w:right w:val="nil"/>
            </w:tcBorders>
          </w:tcPr>
          <w:p w14:paraId="2C07650A" w14:textId="77777777" w:rsidR="00E2690C" w:rsidRPr="00783E86" w:rsidRDefault="00E2690C" w:rsidP="002C02B7">
            <w:pPr>
              <w:keepNext/>
              <w:spacing w:line="264" w:lineRule="auto"/>
              <w:contextualSpacing/>
              <w:jc w:val="center"/>
              <w:rPr>
                <w:rFonts w:ascii="Arial" w:hAnsi="Arial" w:cs="Arial"/>
                <w:b/>
                <w:szCs w:val="24"/>
              </w:rPr>
            </w:pPr>
          </w:p>
        </w:tc>
        <w:tc>
          <w:tcPr>
            <w:tcW w:w="1323" w:type="dxa"/>
            <w:tcBorders>
              <w:top w:val="single" w:sz="12" w:space="0" w:color="auto"/>
              <w:left w:val="nil"/>
              <w:bottom w:val="single" w:sz="4" w:space="0" w:color="auto"/>
              <w:right w:val="nil"/>
            </w:tcBorders>
            <w:shd w:val="clear" w:color="auto" w:fill="auto"/>
          </w:tcPr>
          <w:p w14:paraId="32BBE861" w14:textId="77777777" w:rsidR="00E2690C" w:rsidRPr="00783E86" w:rsidRDefault="00E2690C" w:rsidP="002C02B7">
            <w:pPr>
              <w:keepNext/>
              <w:spacing w:line="264" w:lineRule="auto"/>
              <w:contextualSpacing/>
              <w:jc w:val="center"/>
              <w:rPr>
                <w:rFonts w:ascii="Arial" w:hAnsi="Arial" w:cs="Arial"/>
                <w:b/>
                <w:szCs w:val="24"/>
              </w:rPr>
            </w:pPr>
            <w:r w:rsidRPr="00783E86">
              <w:rPr>
                <w:rFonts w:ascii="Arial" w:hAnsi="Arial" w:cs="Arial"/>
                <w:b/>
                <w:szCs w:val="24"/>
              </w:rPr>
              <w:t>Proposed TLT</w:t>
            </w:r>
            <w:r>
              <w:rPr>
                <w:rFonts w:ascii="Arial" w:hAnsi="Arial" w:cs="Arial"/>
                <w:b/>
                <w:szCs w:val="24"/>
              </w:rPr>
              <w:t>s</w:t>
            </w:r>
          </w:p>
        </w:tc>
      </w:tr>
      <w:tr w:rsidR="00E2690C" w:rsidRPr="00783E86" w14:paraId="139B5DC2" w14:textId="77777777" w:rsidTr="00A329A2">
        <w:trPr>
          <w:cantSplit/>
        </w:trPr>
        <w:tc>
          <w:tcPr>
            <w:tcW w:w="4140" w:type="dxa"/>
            <w:tcBorders>
              <w:top w:val="nil"/>
              <w:left w:val="nil"/>
              <w:bottom w:val="nil"/>
              <w:right w:val="nil"/>
            </w:tcBorders>
            <w:shd w:val="clear" w:color="auto" w:fill="auto"/>
            <w:tcMar>
              <w:top w:w="43" w:type="dxa"/>
              <w:left w:w="115" w:type="dxa"/>
              <w:bottom w:w="43" w:type="dxa"/>
              <w:right w:w="115" w:type="dxa"/>
            </w:tcMar>
          </w:tcPr>
          <w:p w14:paraId="2D54E6A1" w14:textId="77777777" w:rsidR="00E2690C" w:rsidRPr="00783E86" w:rsidRDefault="00E2690C" w:rsidP="002C02B7">
            <w:pPr>
              <w:keepNext/>
              <w:spacing w:line="264" w:lineRule="auto"/>
              <w:contextualSpacing/>
              <w:rPr>
                <w:rFonts w:ascii="Arial" w:hAnsi="Arial" w:cs="Arial"/>
                <w:b/>
                <w:bCs/>
                <w:szCs w:val="24"/>
              </w:rPr>
            </w:pPr>
            <w:r>
              <w:rPr>
                <w:rFonts w:ascii="Arial" w:hAnsi="Arial" w:cs="Arial"/>
                <w:b/>
                <w:bCs/>
                <w:szCs w:val="24"/>
              </w:rPr>
              <w:t xml:space="preserve">Department of </w:t>
            </w:r>
            <w:r w:rsidRPr="00783E86">
              <w:rPr>
                <w:rFonts w:ascii="Arial" w:hAnsi="Arial" w:cs="Arial"/>
                <w:b/>
                <w:bCs/>
                <w:szCs w:val="24"/>
              </w:rPr>
              <w:t>Judicial Admi</w:t>
            </w:r>
            <w:r>
              <w:rPr>
                <w:rFonts w:ascii="Arial" w:hAnsi="Arial" w:cs="Arial"/>
                <w:b/>
                <w:bCs/>
                <w:szCs w:val="24"/>
              </w:rPr>
              <w:t>n.</w:t>
            </w:r>
            <w:r w:rsidRPr="00783E86">
              <w:rPr>
                <w:rFonts w:ascii="Arial" w:hAnsi="Arial" w:cs="Arial"/>
                <w:b/>
                <w:bCs/>
                <w:szCs w:val="24"/>
              </w:rPr>
              <w:t xml:space="preserve"> </w:t>
            </w:r>
          </w:p>
        </w:tc>
        <w:tc>
          <w:tcPr>
            <w:tcW w:w="267" w:type="dxa"/>
            <w:tcBorders>
              <w:top w:val="nil"/>
              <w:left w:val="nil"/>
              <w:bottom w:val="nil"/>
              <w:right w:val="nil"/>
            </w:tcBorders>
          </w:tcPr>
          <w:p w14:paraId="2D206BDB" w14:textId="77777777" w:rsidR="00E2690C" w:rsidRPr="00783E86" w:rsidRDefault="00E2690C" w:rsidP="002C02B7">
            <w:pPr>
              <w:keepNext/>
              <w:spacing w:line="264" w:lineRule="auto"/>
              <w:contextualSpacing/>
              <w:jc w:val="right"/>
              <w:rPr>
                <w:rFonts w:ascii="Arial" w:hAnsi="Arial" w:cs="Arial"/>
                <w:szCs w:val="24"/>
              </w:rPr>
            </w:pPr>
          </w:p>
        </w:tc>
        <w:tc>
          <w:tcPr>
            <w:tcW w:w="1803" w:type="dxa"/>
            <w:tcBorders>
              <w:top w:val="nil"/>
              <w:left w:val="nil"/>
              <w:bottom w:val="nil"/>
              <w:right w:val="nil"/>
            </w:tcBorders>
            <w:shd w:val="clear" w:color="auto" w:fill="auto"/>
            <w:tcMar>
              <w:top w:w="43" w:type="dxa"/>
              <w:left w:w="115" w:type="dxa"/>
              <w:bottom w:w="43" w:type="dxa"/>
              <w:right w:w="115" w:type="dxa"/>
            </w:tcMar>
          </w:tcPr>
          <w:p w14:paraId="4FD68155" w14:textId="77777777" w:rsidR="00E2690C" w:rsidRPr="00783E86" w:rsidRDefault="00E2690C" w:rsidP="002C02B7">
            <w:pPr>
              <w:keepNext/>
              <w:spacing w:line="264" w:lineRule="auto"/>
              <w:contextualSpacing/>
              <w:jc w:val="right"/>
              <w:rPr>
                <w:rFonts w:ascii="Arial" w:hAnsi="Arial" w:cs="Arial"/>
                <w:szCs w:val="24"/>
              </w:rPr>
            </w:pPr>
            <w:r w:rsidRPr="00783E86">
              <w:rPr>
                <w:rFonts w:ascii="Arial" w:hAnsi="Arial" w:cs="Arial"/>
                <w:szCs w:val="24"/>
              </w:rPr>
              <w:t>$1,586,000</w:t>
            </w:r>
          </w:p>
        </w:tc>
        <w:tc>
          <w:tcPr>
            <w:tcW w:w="267" w:type="dxa"/>
            <w:tcBorders>
              <w:top w:val="nil"/>
              <w:left w:val="nil"/>
              <w:bottom w:val="nil"/>
              <w:right w:val="nil"/>
            </w:tcBorders>
          </w:tcPr>
          <w:p w14:paraId="732C6C5F" w14:textId="77777777" w:rsidR="00E2690C" w:rsidRPr="003A1A63" w:rsidRDefault="00E2690C" w:rsidP="002C02B7">
            <w:pPr>
              <w:keepNext/>
              <w:spacing w:line="264" w:lineRule="auto"/>
              <w:contextualSpacing/>
              <w:jc w:val="right"/>
              <w:rPr>
                <w:rFonts w:ascii="Arial" w:hAnsi="Arial" w:cs="Arial"/>
                <w:bCs/>
                <w:szCs w:val="24"/>
              </w:rPr>
            </w:pPr>
          </w:p>
        </w:tc>
        <w:tc>
          <w:tcPr>
            <w:tcW w:w="1327" w:type="dxa"/>
            <w:tcBorders>
              <w:top w:val="nil"/>
              <w:left w:val="nil"/>
              <w:bottom w:val="nil"/>
              <w:right w:val="nil"/>
            </w:tcBorders>
            <w:shd w:val="clear" w:color="auto" w:fill="auto"/>
          </w:tcPr>
          <w:p w14:paraId="0A467831" w14:textId="77777777" w:rsidR="00E2690C" w:rsidRPr="003A1A63" w:rsidRDefault="00E2690C" w:rsidP="002C02B7">
            <w:pPr>
              <w:keepNext/>
              <w:spacing w:line="264" w:lineRule="auto"/>
              <w:contextualSpacing/>
              <w:jc w:val="right"/>
              <w:rPr>
                <w:rFonts w:ascii="Arial" w:hAnsi="Arial" w:cs="Arial"/>
                <w:bCs/>
                <w:szCs w:val="24"/>
              </w:rPr>
            </w:pPr>
            <w:r w:rsidRPr="003A1A63">
              <w:rPr>
                <w:rFonts w:ascii="Arial" w:hAnsi="Arial" w:cs="Arial"/>
                <w:bCs/>
                <w:szCs w:val="24"/>
              </w:rPr>
              <w:t>0.0</w:t>
            </w:r>
          </w:p>
        </w:tc>
        <w:tc>
          <w:tcPr>
            <w:tcW w:w="236" w:type="dxa"/>
            <w:tcBorders>
              <w:top w:val="nil"/>
              <w:left w:val="nil"/>
              <w:bottom w:val="nil"/>
              <w:right w:val="nil"/>
            </w:tcBorders>
          </w:tcPr>
          <w:p w14:paraId="4C7DB70F" w14:textId="77777777" w:rsidR="00E2690C" w:rsidRPr="001E3ABC" w:rsidRDefault="00E2690C" w:rsidP="002C02B7">
            <w:pPr>
              <w:keepNext/>
              <w:spacing w:line="264" w:lineRule="auto"/>
              <w:contextualSpacing/>
              <w:jc w:val="right"/>
              <w:rPr>
                <w:rFonts w:ascii="Arial" w:hAnsi="Arial" w:cs="Arial"/>
                <w:bCs/>
                <w:szCs w:val="24"/>
              </w:rPr>
            </w:pPr>
          </w:p>
        </w:tc>
        <w:tc>
          <w:tcPr>
            <w:tcW w:w="1323" w:type="dxa"/>
            <w:tcBorders>
              <w:top w:val="nil"/>
              <w:left w:val="nil"/>
              <w:bottom w:val="nil"/>
              <w:right w:val="nil"/>
            </w:tcBorders>
            <w:shd w:val="clear" w:color="auto" w:fill="auto"/>
            <w:tcMar>
              <w:top w:w="43" w:type="dxa"/>
              <w:bottom w:w="43" w:type="dxa"/>
            </w:tcMar>
          </w:tcPr>
          <w:p w14:paraId="0DE48A53" w14:textId="77777777" w:rsidR="00E2690C" w:rsidRPr="001E3ABC" w:rsidRDefault="00E2690C" w:rsidP="002C02B7">
            <w:pPr>
              <w:keepNext/>
              <w:spacing w:line="264" w:lineRule="auto"/>
              <w:contextualSpacing/>
              <w:jc w:val="right"/>
              <w:rPr>
                <w:rFonts w:ascii="Arial" w:hAnsi="Arial" w:cs="Arial"/>
                <w:bCs/>
                <w:szCs w:val="24"/>
              </w:rPr>
            </w:pPr>
            <w:r w:rsidRPr="001E3ABC">
              <w:rPr>
                <w:rFonts w:ascii="Arial" w:hAnsi="Arial" w:cs="Arial"/>
                <w:bCs/>
                <w:szCs w:val="24"/>
              </w:rPr>
              <w:t>13.8</w:t>
            </w:r>
          </w:p>
        </w:tc>
      </w:tr>
      <w:tr w:rsidR="00E2690C" w:rsidRPr="00783E86" w14:paraId="1E437195" w14:textId="77777777" w:rsidTr="00A329A2">
        <w:trPr>
          <w:cantSplit/>
        </w:trPr>
        <w:tc>
          <w:tcPr>
            <w:tcW w:w="4140" w:type="dxa"/>
            <w:tcBorders>
              <w:top w:val="nil"/>
              <w:left w:val="nil"/>
              <w:bottom w:val="nil"/>
              <w:right w:val="nil"/>
            </w:tcBorders>
            <w:shd w:val="clear" w:color="auto" w:fill="auto"/>
            <w:tcMar>
              <w:top w:w="43" w:type="dxa"/>
              <w:left w:w="115" w:type="dxa"/>
              <w:bottom w:w="43" w:type="dxa"/>
              <w:right w:w="115" w:type="dxa"/>
            </w:tcMar>
          </w:tcPr>
          <w:p w14:paraId="4A689984" w14:textId="77777777" w:rsidR="00E2690C" w:rsidRPr="00783E86" w:rsidRDefault="00E2690C" w:rsidP="002C02B7">
            <w:pPr>
              <w:keepNext/>
              <w:spacing w:line="264" w:lineRule="auto"/>
              <w:contextualSpacing/>
              <w:rPr>
                <w:rFonts w:ascii="Arial" w:hAnsi="Arial" w:cs="Arial"/>
                <w:b/>
                <w:bCs/>
                <w:szCs w:val="24"/>
              </w:rPr>
            </w:pPr>
            <w:r w:rsidRPr="00783E86">
              <w:rPr>
                <w:rFonts w:ascii="Arial" w:hAnsi="Arial" w:cs="Arial"/>
                <w:b/>
                <w:bCs/>
                <w:szCs w:val="24"/>
              </w:rPr>
              <w:t xml:space="preserve">Department of Public Defense </w:t>
            </w:r>
          </w:p>
        </w:tc>
        <w:tc>
          <w:tcPr>
            <w:tcW w:w="267" w:type="dxa"/>
            <w:tcBorders>
              <w:top w:val="nil"/>
              <w:left w:val="nil"/>
              <w:bottom w:val="nil"/>
              <w:right w:val="nil"/>
            </w:tcBorders>
          </w:tcPr>
          <w:p w14:paraId="29D64614" w14:textId="77777777" w:rsidR="00E2690C" w:rsidRPr="00783E86" w:rsidRDefault="00E2690C" w:rsidP="002C02B7">
            <w:pPr>
              <w:keepNext/>
              <w:spacing w:line="264" w:lineRule="auto"/>
              <w:contextualSpacing/>
              <w:jc w:val="right"/>
              <w:rPr>
                <w:rFonts w:ascii="Arial" w:hAnsi="Arial" w:cs="Arial"/>
                <w:szCs w:val="24"/>
              </w:rPr>
            </w:pPr>
          </w:p>
        </w:tc>
        <w:tc>
          <w:tcPr>
            <w:tcW w:w="1803" w:type="dxa"/>
            <w:tcBorders>
              <w:top w:val="nil"/>
              <w:left w:val="nil"/>
              <w:bottom w:val="nil"/>
              <w:right w:val="nil"/>
            </w:tcBorders>
            <w:shd w:val="clear" w:color="auto" w:fill="auto"/>
            <w:tcMar>
              <w:top w:w="43" w:type="dxa"/>
              <w:left w:w="115" w:type="dxa"/>
              <w:bottom w:w="43" w:type="dxa"/>
              <w:right w:w="115" w:type="dxa"/>
            </w:tcMar>
          </w:tcPr>
          <w:p w14:paraId="1C4B410A" w14:textId="77777777" w:rsidR="00E2690C" w:rsidRPr="00783E86" w:rsidRDefault="00E2690C" w:rsidP="002C02B7">
            <w:pPr>
              <w:keepNext/>
              <w:spacing w:line="264" w:lineRule="auto"/>
              <w:contextualSpacing/>
              <w:jc w:val="right"/>
              <w:rPr>
                <w:rFonts w:ascii="Arial" w:hAnsi="Arial" w:cs="Arial"/>
                <w:szCs w:val="24"/>
              </w:rPr>
            </w:pPr>
            <w:r w:rsidRPr="00783E86">
              <w:rPr>
                <w:rFonts w:ascii="Arial" w:hAnsi="Arial" w:cs="Arial"/>
                <w:szCs w:val="24"/>
              </w:rPr>
              <w:t>$10,661,000</w:t>
            </w:r>
          </w:p>
        </w:tc>
        <w:tc>
          <w:tcPr>
            <w:tcW w:w="267" w:type="dxa"/>
            <w:tcBorders>
              <w:top w:val="nil"/>
              <w:left w:val="nil"/>
              <w:bottom w:val="nil"/>
              <w:right w:val="nil"/>
            </w:tcBorders>
          </w:tcPr>
          <w:p w14:paraId="0E0AD2F6" w14:textId="77777777" w:rsidR="00E2690C" w:rsidRPr="003A1A63" w:rsidRDefault="00E2690C" w:rsidP="002C02B7">
            <w:pPr>
              <w:keepNext/>
              <w:spacing w:line="264" w:lineRule="auto"/>
              <w:contextualSpacing/>
              <w:jc w:val="right"/>
              <w:rPr>
                <w:rFonts w:ascii="Arial" w:hAnsi="Arial" w:cs="Arial"/>
                <w:bCs/>
                <w:szCs w:val="24"/>
              </w:rPr>
            </w:pPr>
          </w:p>
        </w:tc>
        <w:tc>
          <w:tcPr>
            <w:tcW w:w="1327" w:type="dxa"/>
            <w:tcBorders>
              <w:top w:val="nil"/>
              <w:left w:val="nil"/>
              <w:bottom w:val="nil"/>
              <w:right w:val="nil"/>
            </w:tcBorders>
            <w:shd w:val="clear" w:color="auto" w:fill="auto"/>
          </w:tcPr>
          <w:p w14:paraId="504BCEEE" w14:textId="77777777" w:rsidR="00E2690C" w:rsidRPr="003A1A63" w:rsidRDefault="00E2690C" w:rsidP="002C02B7">
            <w:pPr>
              <w:keepNext/>
              <w:spacing w:line="264" w:lineRule="auto"/>
              <w:contextualSpacing/>
              <w:jc w:val="right"/>
              <w:rPr>
                <w:rFonts w:ascii="Arial" w:hAnsi="Arial" w:cs="Arial"/>
                <w:bCs/>
                <w:szCs w:val="24"/>
              </w:rPr>
            </w:pPr>
            <w:r w:rsidRPr="003A1A63">
              <w:rPr>
                <w:rFonts w:ascii="Arial" w:hAnsi="Arial" w:cs="Arial"/>
                <w:bCs/>
                <w:szCs w:val="24"/>
              </w:rPr>
              <w:t>2</w:t>
            </w:r>
            <w:r>
              <w:rPr>
                <w:rFonts w:ascii="Arial" w:hAnsi="Arial" w:cs="Arial"/>
                <w:bCs/>
                <w:szCs w:val="24"/>
              </w:rPr>
              <w:t>5</w:t>
            </w:r>
            <w:r w:rsidRPr="003A1A63">
              <w:rPr>
                <w:rFonts w:ascii="Arial" w:hAnsi="Arial" w:cs="Arial"/>
                <w:bCs/>
                <w:szCs w:val="24"/>
              </w:rPr>
              <w:t>.5</w:t>
            </w:r>
          </w:p>
        </w:tc>
        <w:tc>
          <w:tcPr>
            <w:tcW w:w="236" w:type="dxa"/>
            <w:tcBorders>
              <w:top w:val="nil"/>
              <w:left w:val="nil"/>
              <w:bottom w:val="nil"/>
              <w:right w:val="nil"/>
            </w:tcBorders>
          </w:tcPr>
          <w:p w14:paraId="074E56B5" w14:textId="77777777" w:rsidR="00E2690C" w:rsidRPr="001E3ABC" w:rsidRDefault="00E2690C" w:rsidP="002C02B7">
            <w:pPr>
              <w:keepNext/>
              <w:spacing w:line="264" w:lineRule="auto"/>
              <w:contextualSpacing/>
              <w:jc w:val="right"/>
              <w:rPr>
                <w:rFonts w:ascii="Arial" w:hAnsi="Arial" w:cs="Arial"/>
                <w:bCs/>
                <w:szCs w:val="24"/>
              </w:rPr>
            </w:pPr>
          </w:p>
        </w:tc>
        <w:tc>
          <w:tcPr>
            <w:tcW w:w="1323" w:type="dxa"/>
            <w:tcBorders>
              <w:top w:val="nil"/>
              <w:left w:val="nil"/>
              <w:bottom w:val="nil"/>
              <w:right w:val="nil"/>
            </w:tcBorders>
            <w:shd w:val="clear" w:color="auto" w:fill="auto"/>
            <w:tcMar>
              <w:top w:w="43" w:type="dxa"/>
              <w:bottom w:w="43" w:type="dxa"/>
            </w:tcMar>
          </w:tcPr>
          <w:p w14:paraId="636113DA" w14:textId="77777777" w:rsidR="00E2690C" w:rsidRPr="001E3ABC" w:rsidRDefault="00E2690C" w:rsidP="002C02B7">
            <w:pPr>
              <w:keepNext/>
              <w:spacing w:line="264" w:lineRule="auto"/>
              <w:contextualSpacing/>
              <w:jc w:val="right"/>
              <w:rPr>
                <w:rFonts w:ascii="Arial" w:hAnsi="Arial" w:cs="Arial"/>
                <w:bCs/>
                <w:szCs w:val="24"/>
              </w:rPr>
            </w:pPr>
            <w:r w:rsidRPr="001E3ABC">
              <w:rPr>
                <w:rFonts w:ascii="Arial" w:hAnsi="Arial" w:cs="Arial"/>
                <w:bCs/>
                <w:szCs w:val="24"/>
              </w:rPr>
              <w:t>20</w:t>
            </w:r>
            <w:r>
              <w:rPr>
                <w:rFonts w:ascii="Arial" w:hAnsi="Arial" w:cs="Arial"/>
                <w:bCs/>
                <w:szCs w:val="24"/>
              </w:rPr>
              <w:t>.0</w:t>
            </w:r>
          </w:p>
        </w:tc>
      </w:tr>
      <w:tr w:rsidR="00E2690C" w:rsidRPr="00783E86" w14:paraId="0A94BB21" w14:textId="77777777" w:rsidTr="00A329A2">
        <w:trPr>
          <w:cantSplit/>
        </w:trPr>
        <w:tc>
          <w:tcPr>
            <w:tcW w:w="4140" w:type="dxa"/>
            <w:tcBorders>
              <w:top w:val="nil"/>
              <w:left w:val="nil"/>
              <w:bottom w:val="nil"/>
              <w:right w:val="nil"/>
            </w:tcBorders>
            <w:shd w:val="clear" w:color="auto" w:fill="auto"/>
            <w:tcMar>
              <w:top w:w="43" w:type="dxa"/>
              <w:left w:w="115" w:type="dxa"/>
              <w:bottom w:w="43" w:type="dxa"/>
              <w:right w:w="115" w:type="dxa"/>
            </w:tcMar>
          </w:tcPr>
          <w:p w14:paraId="1C691D60" w14:textId="77777777" w:rsidR="00E2690C" w:rsidRPr="00783E86" w:rsidRDefault="00E2690C" w:rsidP="002C02B7">
            <w:pPr>
              <w:keepNext/>
              <w:spacing w:line="264" w:lineRule="auto"/>
              <w:contextualSpacing/>
              <w:rPr>
                <w:rFonts w:ascii="Arial" w:hAnsi="Arial" w:cs="Arial"/>
                <w:b/>
                <w:bCs/>
                <w:szCs w:val="24"/>
              </w:rPr>
            </w:pPr>
            <w:r w:rsidRPr="00783E86">
              <w:rPr>
                <w:rFonts w:ascii="Arial" w:hAnsi="Arial" w:cs="Arial"/>
                <w:b/>
                <w:bCs/>
                <w:szCs w:val="24"/>
              </w:rPr>
              <w:t xml:space="preserve">District Court </w:t>
            </w:r>
          </w:p>
        </w:tc>
        <w:tc>
          <w:tcPr>
            <w:tcW w:w="267" w:type="dxa"/>
            <w:tcBorders>
              <w:top w:val="nil"/>
              <w:left w:val="nil"/>
              <w:bottom w:val="nil"/>
              <w:right w:val="nil"/>
            </w:tcBorders>
          </w:tcPr>
          <w:p w14:paraId="0798A0DA" w14:textId="77777777" w:rsidR="00E2690C" w:rsidRPr="00783E86" w:rsidRDefault="00E2690C" w:rsidP="002C02B7">
            <w:pPr>
              <w:keepNext/>
              <w:spacing w:line="264" w:lineRule="auto"/>
              <w:contextualSpacing/>
              <w:jc w:val="right"/>
              <w:rPr>
                <w:rFonts w:ascii="Arial" w:hAnsi="Arial" w:cs="Arial"/>
                <w:szCs w:val="24"/>
              </w:rPr>
            </w:pPr>
          </w:p>
        </w:tc>
        <w:tc>
          <w:tcPr>
            <w:tcW w:w="1803" w:type="dxa"/>
            <w:tcBorders>
              <w:top w:val="nil"/>
              <w:left w:val="nil"/>
              <w:bottom w:val="nil"/>
              <w:right w:val="nil"/>
            </w:tcBorders>
            <w:shd w:val="clear" w:color="auto" w:fill="auto"/>
            <w:tcMar>
              <w:top w:w="43" w:type="dxa"/>
              <w:left w:w="115" w:type="dxa"/>
              <w:bottom w:w="43" w:type="dxa"/>
              <w:right w:w="115" w:type="dxa"/>
            </w:tcMar>
          </w:tcPr>
          <w:p w14:paraId="055F8EC9" w14:textId="77777777" w:rsidR="00E2690C" w:rsidRPr="00783E86" w:rsidRDefault="00E2690C" w:rsidP="002C02B7">
            <w:pPr>
              <w:keepNext/>
              <w:spacing w:line="264" w:lineRule="auto"/>
              <w:contextualSpacing/>
              <w:jc w:val="right"/>
              <w:rPr>
                <w:rFonts w:ascii="Arial" w:hAnsi="Arial" w:cs="Arial"/>
                <w:szCs w:val="24"/>
              </w:rPr>
            </w:pPr>
            <w:r w:rsidRPr="00783E86">
              <w:rPr>
                <w:rFonts w:ascii="Arial" w:hAnsi="Arial" w:cs="Arial"/>
                <w:szCs w:val="24"/>
              </w:rPr>
              <w:t>$2,098,000</w:t>
            </w:r>
          </w:p>
        </w:tc>
        <w:tc>
          <w:tcPr>
            <w:tcW w:w="267" w:type="dxa"/>
            <w:tcBorders>
              <w:top w:val="nil"/>
              <w:left w:val="nil"/>
              <w:bottom w:val="nil"/>
              <w:right w:val="nil"/>
            </w:tcBorders>
          </w:tcPr>
          <w:p w14:paraId="3DF5625A" w14:textId="77777777" w:rsidR="00E2690C" w:rsidRPr="003A1A63" w:rsidRDefault="00E2690C" w:rsidP="002C02B7">
            <w:pPr>
              <w:keepNext/>
              <w:spacing w:line="264" w:lineRule="auto"/>
              <w:contextualSpacing/>
              <w:jc w:val="right"/>
              <w:rPr>
                <w:rFonts w:ascii="Arial" w:hAnsi="Arial" w:cs="Arial"/>
                <w:bCs/>
                <w:szCs w:val="24"/>
              </w:rPr>
            </w:pPr>
          </w:p>
        </w:tc>
        <w:tc>
          <w:tcPr>
            <w:tcW w:w="1327" w:type="dxa"/>
            <w:tcBorders>
              <w:top w:val="nil"/>
              <w:left w:val="nil"/>
              <w:bottom w:val="nil"/>
              <w:right w:val="nil"/>
            </w:tcBorders>
            <w:shd w:val="clear" w:color="auto" w:fill="auto"/>
          </w:tcPr>
          <w:p w14:paraId="09CAEC6B" w14:textId="77777777" w:rsidR="00E2690C" w:rsidRPr="003A1A63" w:rsidRDefault="00E2690C" w:rsidP="002C02B7">
            <w:pPr>
              <w:keepNext/>
              <w:spacing w:line="264" w:lineRule="auto"/>
              <w:contextualSpacing/>
              <w:jc w:val="right"/>
              <w:rPr>
                <w:rFonts w:ascii="Arial" w:hAnsi="Arial" w:cs="Arial"/>
                <w:bCs/>
                <w:szCs w:val="24"/>
              </w:rPr>
            </w:pPr>
            <w:r w:rsidRPr="003A1A63">
              <w:rPr>
                <w:rFonts w:ascii="Arial" w:hAnsi="Arial" w:cs="Arial"/>
                <w:bCs/>
                <w:szCs w:val="24"/>
              </w:rPr>
              <w:t>0.0</w:t>
            </w:r>
          </w:p>
        </w:tc>
        <w:tc>
          <w:tcPr>
            <w:tcW w:w="236" w:type="dxa"/>
            <w:tcBorders>
              <w:top w:val="nil"/>
              <w:left w:val="nil"/>
              <w:bottom w:val="nil"/>
              <w:right w:val="nil"/>
            </w:tcBorders>
          </w:tcPr>
          <w:p w14:paraId="48DC708E" w14:textId="77777777" w:rsidR="00E2690C" w:rsidRPr="001E3ABC" w:rsidRDefault="00E2690C" w:rsidP="002C02B7">
            <w:pPr>
              <w:keepNext/>
              <w:spacing w:line="264" w:lineRule="auto"/>
              <w:contextualSpacing/>
              <w:jc w:val="right"/>
              <w:rPr>
                <w:rFonts w:ascii="Arial" w:hAnsi="Arial" w:cs="Arial"/>
                <w:bCs/>
                <w:szCs w:val="24"/>
              </w:rPr>
            </w:pPr>
          </w:p>
        </w:tc>
        <w:tc>
          <w:tcPr>
            <w:tcW w:w="1323" w:type="dxa"/>
            <w:tcBorders>
              <w:top w:val="nil"/>
              <w:left w:val="nil"/>
              <w:bottom w:val="nil"/>
              <w:right w:val="nil"/>
            </w:tcBorders>
            <w:shd w:val="clear" w:color="auto" w:fill="auto"/>
            <w:tcMar>
              <w:top w:w="43" w:type="dxa"/>
              <w:bottom w:w="43" w:type="dxa"/>
            </w:tcMar>
          </w:tcPr>
          <w:p w14:paraId="4BD6CD74" w14:textId="77777777" w:rsidR="00E2690C" w:rsidRPr="001E3ABC" w:rsidRDefault="00E2690C" w:rsidP="002C02B7">
            <w:pPr>
              <w:keepNext/>
              <w:spacing w:line="264" w:lineRule="auto"/>
              <w:contextualSpacing/>
              <w:jc w:val="right"/>
              <w:rPr>
                <w:rFonts w:ascii="Arial" w:hAnsi="Arial" w:cs="Arial"/>
                <w:bCs/>
                <w:szCs w:val="24"/>
              </w:rPr>
            </w:pPr>
            <w:r w:rsidRPr="001E3ABC">
              <w:rPr>
                <w:rFonts w:ascii="Arial" w:hAnsi="Arial" w:cs="Arial"/>
                <w:bCs/>
                <w:szCs w:val="24"/>
              </w:rPr>
              <w:t>12</w:t>
            </w:r>
            <w:r>
              <w:rPr>
                <w:rFonts w:ascii="Arial" w:hAnsi="Arial" w:cs="Arial"/>
                <w:bCs/>
                <w:szCs w:val="24"/>
              </w:rPr>
              <w:t>.0</w:t>
            </w:r>
          </w:p>
        </w:tc>
      </w:tr>
      <w:tr w:rsidR="00E2690C" w:rsidRPr="00783E86" w14:paraId="2C48F9DA" w14:textId="77777777" w:rsidTr="00A329A2">
        <w:trPr>
          <w:cantSplit/>
        </w:trPr>
        <w:tc>
          <w:tcPr>
            <w:tcW w:w="4140" w:type="dxa"/>
            <w:tcBorders>
              <w:top w:val="nil"/>
              <w:left w:val="nil"/>
              <w:bottom w:val="nil"/>
              <w:right w:val="nil"/>
            </w:tcBorders>
            <w:shd w:val="clear" w:color="auto" w:fill="auto"/>
            <w:tcMar>
              <w:top w:w="43" w:type="dxa"/>
              <w:left w:w="115" w:type="dxa"/>
              <w:bottom w:w="43" w:type="dxa"/>
              <w:right w:w="115" w:type="dxa"/>
            </w:tcMar>
          </w:tcPr>
          <w:p w14:paraId="06DB8841" w14:textId="77777777" w:rsidR="00E2690C" w:rsidRPr="00783E86" w:rsidRDefault="00E2690C" w:rsidP="002C02B7">
            <w:pPr>
              <w:keepNext/>
              <w:spacing w:line="264" w:lineRule="auto"/>
              <w:contextualSpacing/>
              <w:rPr>
                <w:rFonts w:ascii="Arial" w:hAnsi="Arial" w:cs="Arial"/>
                <w:b/>
                <w:bCs/>
                <w:szCs w:val="24"/>
              </w:rPr>
            </w:pPr>
            <w:r w:rsidRPr="00783E86">
              <w:rPr>
                <w:rFonts w:ascii="Arial" w:hAnsi="Arial" w:cs="Arial"/>
                <w:b/>
                <w:bCs/>
                <w:szCs w:val="24"/>
              </w:rPr>
              <w:t xml:space="preserve">Prosecuting Attorney </w:t>
            </w:r>
          </w:p>
        </w:tc>
        <w:tc>
          <w:tcPr>
            <w:tcW w:w="267" w:type="dxa"/>
            <w:tcBorders>
              <w:top w:val="nil"/>
              <w:left w:val="nil"/>
              <w:bottom w:val="nil"/>
              <w:right w:val="nil"/>
            </w:tcBorders>
          </w:tcPr>
          <w:p w14:paraId="2F06DFFC" w14:textId="77777777" w:rsidR="00E2690C" w:rsidRPr="00783E86" w:rsidRDefault="00E2690C" w:rsidP="002C02B7">
            <w:pPr>
              <w:keepNext/>
              <w:spacing w:line="264" w:lineRule="auto"/>
              <w:contextualSpacing/>
              <w:jc w:val="right"/>
              <w:rPr>
                <w:rFonts w:ascii="Arial" w:hAnsi="Arial" w:cs="Arial"/>
                <w:szCs w:val="24"/>
              </w:rPr>
            </w:pPr>
          </w:p>
        </w:tc>
        <w:tc>
          <w:tcPr>
            <w:tcW w:w="1803" w:type="dxa"/>
            <w:tcBorders>
              <w:top w:val="nil"/>
              <w:left w:val="nil"/>
              <w:bottom w:val="nil"/>
              <w:right w:val="nil"/>
            </w:tcBorders>
            <w:shd w:val="clear" w:color="auto" w:fill="auto"/>
            <w:tcMar>
              <w:top w:w="43" w:type="dxa"/>
              <w:left w:w="115" w:type="dxa"/>
              <w:bottom w:w="43" w:type="dxa"/>
              <w:right w:w="115" w:type="dxa"/>
            </w:tcMar>
          </w:tcPr>
          <w:p w14:paraId="35CB8D21" w14:textId="77777777" w:rsidR="00E2690C" w:rsidRPr="00783E86" w:rsidRDefault="00E2690C" w:rsidP="002C02B7">
            <w:pPr>
              <w:keepNext/>
              <w:spacing w:line="264" w:lineRule="auto"/>
              <w:contextualSpacing/>
              <w:jc w:val="right"/>
              <w:rPr>
                <w:rFonts w:ascii="Arial" w:hAnsi="Arial" w:cs="Arial"/>
                <w:szCs w:val="24"/>
              </w:rPr>
            </w:pPr>
            <w:r w:rsidRPr="00783E86">
              <w:rPr>
                <w:rFonts w:ascii="Arial" w:hAnsi="Arial" w:cs="Arial"/>
                <w:szCs w:val="24"/>
              </w:rPr>
              <w:t>$12,862,000</w:t>
            </w:r>
          </w:p>
        </w:tc>
        <w:tc>
          <w:tcPr>
            <w:tcW w:w="267" w:type="dxa"/>
            <w:tcBorders>
              <w:top w:val="nil"/>
              <w:left w:val="nil"/>
              <w:bottom w:val="nil"/>
              <w:right w:val="nil"/>
            </w:tcBorders>
          </w:tcPr>
          <w:p w14:paraId="5CF208DF" w14:textId="77777777" w:rsidR="00E2690C" w:rsidRPr="003A1A63" w:rsidRDefault="00E2690C" w:rsidP="002C02B7">
            <w:pPr>
              <w:keepNext/>
              <w:spacing w:line="264" w:lineRule="auto"/>
              <w:contextualSpacing/>
              <w:jc w:val="right"/>
              <w:rPr>
                <w:rFonts w:ascii="Arial" w:hAnsi="Arial" w:cs="Arial"/>
                <w:bCs/>
                <w:szCs w:val="24"/>
              </w:rPr>
            </w:pPr>
          </w:p>
        </w:tc>
        <w:tc>
          <w:tcPr>
            <w:tcW w:w="1327" w:type="dxa"/>
            <w:tcBorders>
              <w:top w:val="nil"/>
              <w:left w:val="nil"/>
              <w:bottom w:val="nil"/>
              <w:right w:val="nil"/>
            </w:tcBorders>
            <w:shd w:val="clear" w:color="auto" w:fill="auto"/>
          </w:tcPr>
          <w:p w14:paraId="4C4B43B4" w14:textId="77777777" w:rsidR="00E2690C" w:rsidRPr="003A1A63" w:rsidRDefault="00E2690C" w:rsidP="002C02B7">
            <w:pPr>
              <w:keepNext/>
              <w:spacing w:line="264" w:lineRule="auto"/>
              <w:contextualSpacing/>
              <w:jc w:val="right"/>
              <w:rPr>
                <w:rFonts w:ascii="Arial" w:hAnsi="Arial" w:cs="Arial"/>
                <w:bCs/>
                <w:szCs w:val="24"/>
              </w:rPr>
            </w:pPr>
            <w:r w:rsidRPr="003A1A63">
              <w:rPr>
                <w:rFonts w:ascii="Arial" w:hAnsi="Arial" w:cs="Arial"/>
                <w:bCs/>
                <w:szCs w:val="24"/>
              </w:rPr>
              <w:t>0.0</w:t>
            </w:r>
          </w:p>
        </w:tc>
        <w:tc>
          <w:tcPr>
            <w:tcW w:w="236" w:type="dxa"/>
            <w:tcBorders>
              <w:top w:val="nil"/>
              <w:left w:val="nil"/>
              <w:bottom w:val="nil"/>
              <w:right w:val="nil"/>
            </w:tcBorders>
          </w:tcPr>
          <w:p w14:paraId="7E71316B" w14:textId="77777777" w:rsidR="00E2690C" w:rsidRPr="001E3ABC" w:rsidRDefault="00E2690C" w:rsidP="002C02B7">
            <w:pPr>
              <w:keepNext/>
              <w:spacing w:line="264" w:lineRule="auto"/>
              <w:contextualSpacing/>
              <w:jc w:val="right"/>
              <w:rPr>
                <w:rFonts w:ascii="Arial" w:hAnsi="Arial" w:cs="Arial"/>
                <w:bCs/>
                <w:szCs w:val="24"/>
              </w:rPr>
            </w:pPr>
          </w:p>
        </w:tc>
        <w:tc>
          <w:tcPr>
            <w:tcW w:w="1323" w:type="dxa"/>
            <w:tcBorders>
              <w:top w:val="nil"/>
              <w:left w:val="nil"/>
              <w:bottom w:val="nil"/>
              <w:right w:val="nil"/>
            </w:tcBorders>
            <w:shd w:val="clear" w:color="auto" w:fill="auto"/>
            <w:tcMar>
              <w:top w:w="43" w:type="dxa"/>
              <w:bottom w:w="43" w:type="dxa"/>
            </w:tcMar>
          </w:tcPr>
          <w:p w14:paraId="5781DEB0" w14:textId="77777777" w:rsidR="00E2690C" w:rsidRPr="001E3ABC" w:rsidRDefault="00E2690C" w:rsidP="002C02B7">
            <w:pPr>
              <w:keepNext/>
              <w:spacing w:line="264" w:lineRule="auto"/>
              <w:contextualSpacing/>
              <w:jc w:val="right"/>
              <w:rPr>
                <w:rFonts w:ascii="Arial" w:hAnsi="Arial" w:cs="Arial"/>
                <w:bCs/>
                <w:szCs w:val="24"/>
              </w:rPr>
            </w:pPr>
            <w:r w:rsidRPr="001E3ABC">
              <w:rPr>
                <w:rFonts w:ascii="Arial" w:hAnsi="Arial" w:cs="Arial"/>
                <w:bCs/>
                <w:szCs w:val="24"/>
              </w:rPr>
              <w:t>61</w:t>
            </w:r>
            <w:r>
              <w:rPr>
                <w:rFonts w:ascii="Arial" w:hAnsi="Arial" w:cs="Arial"/>
                <w:bCs/>
                <w:szCs w:val="24"/>
              </w:rPr>
              <w:t>.0</w:t>
            </w:r>
          </w:p>
        </w:tc>
      </w:tr>
      <w:tr w:rsidR="00E2690C" w:rsidRPr="00783E86" w14:paraId="4829AA17" w14:textId="77777777" w:rsidTr="00A329A2">
        <w:trPr>
          <w:cantSplit/>
        </w:trPr>
        <w:tc>
          <w:tcPr>
            <w:tcW w:w="4140" w:type="dxa"/>
            <w:tcBorders>
              <w:top w:val="nil"/>
              <w:left w:val="nil"/>
              <w:bottom w:val="single" w:sz="4" w:space="0" w:color="auto"/>
              <w:right w:val="nil"/>
            </w:tcBorders>
            <w:shd w:val="clear" w:color="auto" w:fill="auto"/>
            <w:tcMar>
              <w:top w:w="43" w:type="dxa"/>
              <w:left w:w="115" w:type="dxa"/>
              <w:bottom w:w="43" w:type="dxa"/>
              <w:right w:w="115" w:type="dxa"/>
            </w:tcMar>
          </w:tcPr>
          <w:p w14:paraId="06A5F9F7" w14:textId="77777777" w:rsidR="00E2690C" w:rsidRPr="00783E86" w:rsidRDefault="00E2690C" w:rsidP="002C02B7">
            <w:pPr>
              <w:keepNext/>
              <w:spacing w:line="264" w:lineRule="auto"/>
              <w:contextualSpacing/>
              <w:rPr>
                <w:rFonts w:ascii="Arial" w:hAnsi="Arial" w:cs="Arial"/>
                <w:b/>
                <w:bCs/>
                <w:szCs w:val="24"/>
              </w:rPr>
            </w:pPr>
            <w:r w:rsidRPr="00783E86">
              <w:rPr>
                <w:rFonts w:ascii="Arial" w:hAnsi="Arial" w:cs="Arial"/>
                <w:b/>
                <w:bCs/>
                <w:szCs w:val="24"/>
              </w:rPr>
              <w:t xml:space="preserve">Superior Court </w:t>
            </w:r>
          </w:p>
        </w:tc>
        <w:tc>
          <w:tcPr>
            <w:tcW w:w="267" w:type="dxa"/>
            <w:tcBorders>
              <w:top w:val="nil"/>
              <w:left w:val="nil"/>
              <w:bottom w:val="nil"/>
              <w:right w:val="nil"/>
            </w:tcBorders>
          </w:tcPr>
          <w:p w14:paraId="28731D13" w14:textId="77777777" w:rsidR="00E2690C" w:rsidRPr="00783E86" w:rsidRDefault="00E2690C" w:rsidP="002C02B7">
            <w:pPr>
              <w:keepNext/>
              <w:spacing w:line="264" w:lineRule="auto"/>
              <w:contextualSpacing/>
              <w:jc w:val="right"/>
              <w:rPr>
                <w:rFonts w:ascii="Arial" w:hAnsi="Arial" w:cs="Arial"/>
                <w:szCs w:val="24"/>
              </w:rPr>
            </w:pPr>
          </w:p>
        </w:tc>
        <w:tc>
          <w:tcPr>
            <w:tcW w:w="1803" w:type="dxa"/>
            <w:tcBorders>
              <w:top w:val="nil"/>
              <w:left w:val="nil"/>
              <w:bottom w:val="single" w:sz="4" w:space="0" w:color="auto"/>
              <w:right w:val="nil"/>
            </w:tcBorders>
            <w:shd w:val="clear" w:color="auto" w:fill="auto"/>
            <w:tcMar>
              <w:top w:w="43" w:type="dxa"/>
              <w:left w:w="115" w:type="dxa"/>
              <w:bottom w:w="43" w:type="dxa"/>
              <w:right w:w="115" w:type="dxa"/>
            </w:tcMar>
          </w:tcPr>
          <w:p w14:paraId="632F190C" w14:textId="77777777" w:rsidR="00E2690C" w:rsidRPr="00783E86" w:rsidRDefault="00E2690C" w:rsidP="002C02B7">
            <w:pPr>
              <w:keepNext/>
              <w:spacing w:line="264" w:lineRule="auto"/>
              <w:contextualSpacing/>
              <w:jc w:val="right"/>
              <w:rPr>
                <w:rFonts w:ascii="Arial" w:hAnsi="Arial" w:cs="Arial"/>
                <w:szCs w:val="24"/>
              </w:rPr>
            </w:pPr>
            <w:r w:rsidRPr="00783E86">
              <w:rPr>
                <w:rFonts w:ascii="Arial" w:hAnsi="Arial" w:cs="Arial"/>
                <w:szCs w:val="24"/>
              </w:rPr>
              <w:t>$3,611,00</w:t>
            </w:r>
            <w:r>
              <w:rPr>
                <w:rFonts w:ascii="Arial" w:hAnsi="Arial" w:cs="Arial"/>
                <w:szCs w:val="24"/>
              </w:rPr>
              <w:t>0</w:t>
            </w:r>
          </w:p>
        </w:tc>
        <w:tc>
          <w:tcPr>
            <w:tcW w:w="267" w:type="dxa"/>
            <w:tcBorders>
              <w:top w:val="nil"/>
              <w:left w:val="nil"/>
              <w:bottom w:val="nil"/>
              <w:right w:val="nil"/>
            </w:tcBorders>
          </w:tcPr>
          <w:p w14:paraId="20E0D593" w14:textId="77777777" w:rsidR="00E2690C" w:rsidRPr="003A1A63" w:rsidRDefault="00E2690C" w:rsidP="002C02B7">
            <w:pPr>
              <w:keepNext/>
              <w:spacing w:line="264" w:lineRule="auto"/>
              <w:contextualSpacing/>
              <w:jc w:val="right"/>
              <w:rPr>
                <w:rFonts w:ascii="Arial" w:hAnsi="Arial" w:cs="Arial"/>
                <w:bCs/>
                <w:szCs w:val="24"/>
              </w:rPr>
            </w:pPr>
          </w:p>
        </w:tc>
        <w:tc>
          <w:tcPr>
            <w:tcW w:w="1327" w:type="dxa"/>
            <w:tcBorders>
              <w:top w:val="nil"/>
              <w:left w:val="nil"/>
              <w:bottom w:val="single" w:sz="4" w:space="0" w:color="auto"/>
              <w:right w:val="nil"/>
            </w:tcBorders>
            <w:shd w:val="clear" w:color="auto" w:fill="auto"/>
          </w:tcPr>
          <w:p w14:paraId="6C6E37AD" w14:textId="77777777" w:rsidR="00E2690C" w:rsidRPr="003A1A63" w:rsidRDefault="00E2690C" w:rsidP="002C02B7">
            <w:pPr>
              <w:keepNext/>
              <w:spacing w:line="264" w:lineRule="auto"/>
              <w:contextualSpacing/>
              <w:jc w:val="right"/>
              <w:rPr>
                <w:rFonts w:ascii="Arial" w:hAnsi="Arial" w:cs="Arial"/>
                <w:bCs/>
                <w:szCs w:val="24"/>
              </w:rPr>
            </w:pPr>
            <w:r w:rsidRPr="003A1A63">
              <w:rPr>
                <w:rFonts w:ascii="Arial" w:hAnsi="Arial" w:cs="Arial"/>
                <w:bCs/>
                <w:szCs w:val="24"/>
              </w:rPr>
              <w:t>0.0</w:t>
            </w:r>
          </w:p>
        </w:tc>
        <w:tc>
          <w:tcPr>
            <w:tcW w:w="236" w:type="dxa"/>
            <w:tcBorders>
              <w:top w:val="nil"/>
              <w:left w:val="nil"/>
              <w:bottom w:val="nil"/>
              <w:right w:val="nil"/>
            </w:tcBorders>
          </w:tcPr>
          <w:p w14:paraId="5B5AC86E" w14:textId="77777777" w:rsidR="00E2690C" w:rsidRPr="001E3ABC" w:rsidRDefault="00E2690C" w:rsidP="002C02B7">
            <w:pPr>
              <w:keepNext/>
              <w:spacing w:line="264" w:lineRule="auto"/>
              <w:contextualSpacing/>
              <w:jc w:val="right"/>
              <w:rPr>
                <w:rFonts w:ascii="Arial" w:hAnsi="Arial" w:cs="Arial"/>
                <w:bCs/>
                <w:szCs w:val="24"/>
              </w:rPr>
            </w:pPr>
          </w:p>
        </w:tc>
        <w:tc>
          <w:tcPr>
            <w:tcW w:w="1323" w:type="dxa"/>
            <w:tcBorders>
              <w:top w:val="nil"/>
              <w:left w:val="nil"/>
              <w:bottom w:val="single" w:sz="4" w:space="0" w:color="auto"/>
              <w:right w:val="nil"/>
            </w:tcBorders>
            <w:shd w:val="clear" w:color="auto" w:fill="auto"/>
            <w:tcMar>
              <w:top w:w="43" w:type="dxa"/>
              <w:bottom w:w="43" w:type="dxa"/>
            </w:tcMar>
          </w:tcPr>
          <w:p w14:paraId="44C8030C" w14:textId="77777777" w:rsidR="00E2690C" w:rsidRPr="001E3ABC" w:rsidRDefault="00E2690C" w:rsidP="002C02B7">
            <w:pPr>
              <w:keepNext/>
              <w:spacing w:line="264" w:lineRule="auto"/>
              <w:contextualSpacing/>
              <w:jc w:val="right"/>
              <w:rPr>
                <w:rFonts w:ascii="Arial" w:hAnsi="Arial" w:cs="Arial"/>
                <w:bCs/>
                <w:szCs w:val="24"/>
              </w:rPr>
            </w:pPr>
            <w:r w:rsidRPr="001E3ABC">
              <w:rPr>
                <w:rFonts w:ascii="Arial" w:hAnsi="Arial" w:cs="Arial"/>
                <w:bCs/>
                <w:szCs w:val="24"/>
              </w:rPr>
              <w:t>22.5</w:t>
            </w:r>
          </w:p>
        </w:tc>
      </w:tr>
      <w:tr w:rsidR="00E2690C" w:rsidRPr="00783E86" w14:paraId="6EEADE17" w14:textId="77777777" w:rsidTr="00A329A2">
        <w:trPr>
          <w:cantSplit/>
        </w:trPr>
        <w:tc>
          <w:tcPr>
            <w:tcW w:w="4140"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tcPr>
          <w:p w14:paraId="016F202E" w14:textId="77777777" w:rsidR="00E2690C" w:rsidRPr="00783E86" w:rsidRDefault="00E2690C" w:rsidP="002C02B7">
            <w:pPr>
              <w:keepNext/>
              <w:spacing w:line="264" w:lineRule="auto"/>
              <w:contextualSpacing/>
              <w:jc w:val="right"/>
              <w:rPr>
                <w:rFonts w:ascii="Arial" w:hAnsi="Arial" w:cs="Arial"/>
                <w:b/>
                <w:bCs/>
                <w:szCs w:val="24"/>
              </w:rPr>
            </w:pPr>
            <w:r>
              <w:rPr>
                <w:rFonts w:ascii="Arial" w:hAnsi="Arial" w:cs="Arial"/>
                <w:b/>
                <w:bCs/>
                <w:szCs w:val="24"/>
              </w:rPr>
              <w:t>TOTAL</w:t>
            </w:r>
          </w:p>
        </w:tc>
        <w:tc>
          <w:tcPr>
            <w:tcW w:w="267" w:type="dxa"/>
            <w:tcBorders>
              <w:top w:val="nil"/>
              <w:left w:val="nil"/>
              <w:bottom w:val="single" w:sz="12" w:space="0" w:color="auto"/>
              <w:right w:val="nil"/>
            </w:tcBorders>
          </w:tcPr>
          <w:p w14:paraId="1F3246CD" w14:textId="77777777" w:rsidR="00E2690C" w:rsidRPr="00F874A4" w:rsidRDefault="00E2690C" w:rsidP="002C02B7">
            <w:pPr>
              <w:keepNext/>
              <w:spacing w:line="264" w:lineRule="auto"/>
              <w:contextualSpacing/>
              <w:jc w:val="right"/>
              <w:rPr>
                <w:rFonts w:ascii="Arial" w:hAnsi="Arial" w:cs="Arial"/>
                <w:b/>
                <w:bCs/>
                <w:szCs w:val="24"/>
              </w:rPr>
            </w:pPr>
          </w:p>
        </w:tc>
        <w:tc>
          <w:tcPr>
            <w:tcW w:w="1803"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tcPr>
          <w:p w14:paraId="66D2E1E4" w14:textId="77777777" w:rsidR="00E2690C" w:rsidRPr="00F874A4" w:rsidRDefault="00E2690C" w:rsidP="002C02B7">
            <w:pPr>
              <w:keepNext/>
              <w:spacing w:line="264" w:lineRule="auto"/>
              <w:contextualSpacing/>
              <w:jc w:val="right"/>
              <w:rPr>
                <w:rFonts w:ascii="Arial" w:hAnsi="Arial" w:cs="Arial"/>
                <w:b/>
                <w:bCs/>
                <w:szCs w:val="24"/>
              </w:rPr>
            </w:pPr>
            <w:r w:rsidRPr="00F874A4">
              <w:rPr>
                <w:rFonts w:ascii="Arial" w:hAnsi="Arial" w:cs="Arial"/>
                <w:b/>
                <w:bCs/>
                <w:szCs w:val="24"/>
              </w:rPr>
              <w:t>$30,818,000</w:t>
            </w:r>
          </w:p>
        </w:tc>
        <w:tc>
          <w:tcPr>
            <w:tcW w:w="267" w:type="dxa"/>
            <w:tcBorders>
              <w:top w:val="nil"/>
              <w:left w:val="nil"/>
              <w:bottom w:val="single" w:sz="12" w:space="0" w:color="auto"/>
              <w:right w:val="nil"/>
            </w:tcBorders>
          </w:tcPr>
          <w:p w14:paraId="4330CEBE" w14:textId="77777777" w:rsidR="00E2690C" w:rsidRPr="00F874A4" w:rsidRDefault="00E2690C" w:rsidP="002C02B7">
            <w:pPr>
              <w:keepNext/>
              <w:spacing w:line="264" w:lineRule="auto"/>
              <w:contextualSpacing/>
              <w:jc w:val="right"/>
              <w:rPr>
                <w:rFonts w:ascii="Arial" w:hAnsi="Arial" w:cs="Arial"/>
                <w:b/>
                <w:szCs w:val="24"/>
              </w:rPr>
            </w:pPr>
          </w:p>
        </w:tc>
        <w:tc>
          <w:tcPr>
            <w:tcW w:w="1327" w:type="dxa"/>
            <w:tcBorders>
              <w:top w:val="single" w:sz="4" w:space="0" w:color="auto"/>
              <w:left w:val="nil"/>
              <w:bottom w:val="single" w:sz="12" w:space="0" w:color="auto"/>
              <w:right w:val="nil"/>
            </w:tcBorders>
            <w:shd w:val="clear" w:color="auto" w:fill="auto"/>
          </w:tcPr>
          <w:p w14:paraId="42782830" w14:textId="77777777" w:rsidR="00E2690C" w:rsidRPr="00F874A4" w:rsidRDefault="00E2690C" w:rsidP="002C02B7">
            <w:pPr>
              <w:keepNext/>
              <w:spacing w:line="264" w:lineRule="auto"/>
              <w:contextualSpacing/>
              <w:jc w:val="right"/>
              <w:rPr>
                <w:rFonts w:ascii="Arial" w:hAnsi="Arial" w:cs="Arial"/>
                <w:b/>
                <w:szCs w:val="24"/>
              </w:rPr>
            </w:pPr>
            <w:r w:rsidRPr="00F874A4">
              <w:rPr>
                <w:rFonts w:ascii="Arial" w:hAnsi="Arial" w:cs="Arial"/>
                <w:b/>
                <w:szCs w:val="24"/>
              </w:rPr>
              <w:t>2</w:t>
            </w:r>
            <w:r>
              <w:rPr>
                <w:rFonts w:ascii="Arial" w:hAnsi="Arial" w:cs="Arial"/>
                <w:b/>
                <w:szCs w:val="24"/>
              </w:rPr>
              <w:t>5</w:t>
            </w:r>
            <w:r w:rsidRPr="00F874A4">
              <w:rPr>
                <w:rFonts w:ascii="Arial" w:hAnsi="Arial" w:cs="Arial"/>
                <w:b/>
                <w:szCs w:val="24"/>
              </w:rPr>
              <w:t>.5</w:t>
            </w:r>
          </w:p>
        </w:tc>
        <w:tc>
          <w:tcPr>
            <w:tcW w:w="236" w:type="dxa"/>
            <w:tcBorders>
              <w:top w:val="nil"/>
              <w:left w:val="nil"/>
              <w:bottom w:val="single" w:sz="12" w:space="0" w:color="auto"/>
              <w:right w:val="nil"/>
            </w:tcBorders>
          </w:tcPr>
          <w:p w14:paraId="16AA9920" w14:textId="77777777" w:rsidR="00E2690C" w:rsidRDefault="00E2690C" w:rsidP="002C02B7">
            <w:pPr>
              <w:keepNext/>
              <w:spacing w:line="264" w:lineRule="auto"/>
              <w:contextualSpacing/>
              <w:jc w:val="right"/>
              <w:rPr>
                <w:rFonts w:ascii="Arial" w:hAnsi="Arial" w:cs="Arial"/>
                <w:b/>
                <w:szCs w:val="24"/>
              </w:rPr>
            </w:pPr>
          </w:p>
        </w:tc>
        <w:tc>
          <w:tcPr>
            <w:tcW w:w="1323" w:type="dxa"/>
            <w:tcBorders>
              <w:top w:val="single" w:sz="4" w:space="0" w:color="auto"/>
              <w:left w:val="nil"/>
              <w:bottom w:val="single" w:sz="12" w:space="0" w:color="auto"/>
              <w:right w:val="nil"/>
            </w:tcBorders>
            <w:shd w:val="clear" w:color="auto" w:fill="auto"/>
            <w:tcMar>
              <w:top w:w="43" w:type="dxa"/>
              <w:bottom w:w="43" w:type="dxa"/>
            </w:tcMar>
          </w:tcPr>
          <w:p w14:paraId="29C11261" w14:textId="77777777" w:rsidR="00E2690C" w:rsidRPr="00F874A4" w:rsidRDefault="00E2690C" w:rsidP="002C02B7">
            <w:pPr>
              <w:keepNext/>
              <w:spacing w:line="264" w:lineRule="auto"/>
              <w:contextualSpacing/>
              <w:jc w:val="right"/>
              <w:rPr>
                <w:rFonts w:ascii="Arial" w:hAnsi="Arial" w:cs="Arial"/>
                <w:b/>
                <w:szCs w:val="24"/>
              </w:rPr>
            </w:pPr>
            <w:r>
              <w:rPr>
                <w:rFonts w:ascii="Arial" w:hAnsi="Arial" w:cs="Arial"/>
                <w:b/>
                <w:szCs w:val="24"/>
              </w:rPr>
              <w:t>129.3</w:t>
            </w:r>
          </w:p>
        </w:tc>
      </w:tr>
    </w:tbl>
    <w:p w14:paraId="435703CE" w14:textId="77777777" w:rsidR="00E2690C" w:rsidRPr="005B65EA" w:rsidRDefault="00E2690C" w:rsidP="00E2690C">
      <w:pPr>
        <w:spacing w:line="264" w:lineRule="auto"/>
        <w:contextualSpacing/>
        <w:jc w:val="both"/>
        <w:rPr>
          <w:rFonts w:ascii="Arial" w:hAnsi="Arial" w:cs="Arial"/>
          <w:b/>
          <w:i/>
          <w:iCs/>
          <w:szCs w:val="24"/>
        </w:rPr>
      </w:pPr>
    </w:p>
    <w:p w14:paraId="7C39BB97" w14:textId="77777777" w:rsidR="00E2690C" w:rsidRDefault="00E2690C" w:rsidP="00E2690C">
      <w:pPr>
        <w:spacing w:line="264" w:lineRule="auto"/>
        <w:contextualSpacing/>
        <w:jc w:val="both"/>
        <w:rPr>
          <w:rFonts w:ascii="Arial" w:hAnsi="Arial" w:cs="Arial"/>
          <w:szCs w:val="24"/>
        </w:rPr>
      </w:pPr>
    </w:p>
    <w:p w14:paraId="4DDE942E" w14:textId="46E8F5B3" w:rsidR="00E2690C" w:rsidRDefault="00E2690C" w:rsidP="00E2690C">
      <w:pPr>
        <w:spacing w:line="264" w:lineRule="auto"/>
        <w:contextualSpacing/>
        <w:jc w:val="both"/>
        <w:rPr>
          <w:rFonts w:ascii="Arial" w:hAnsi="Arial" w:cs="Arial"/>
          <w:szCs w:val="24"/>
        </w:rPr>
      </w:pPr>
      <w:r>
        <w:rPr>
          <w:rFonts w:ascii="Arial" w:hAnsi="Arial" w:cs="Arial"/>
          <w:szCs w:val="24"/>
        </w:rPr>
        <w:t xml:space="preserve">All of the </w:t>
      </w:r>
      <w:r w:rsidRPr="0085523E">
        <w:rPr>
          <w:rFonts w:ascii="Arial" w:hAnsi="Arial" w:cs="Arial"/>
          <w:szCs w:val="24"/>
        </w:rPr>
        <w:t xml:space="preserve">agencies requested more in funding needs than included in the </w:t>
      </w:r>
      <w:r w:rsidR="000935A8">
        <w:rPr>
          <w:rFonts w:ascii="Arial" w:hAnsi="Arial" w:cs="Arial"/>
          <w:szCs w:val="24"/>
        </w:rPr>
        <w:t>e</w:t>
      </w:r>
      <w:r w:rsidRPr="0085523E">
        <w:rPr>
          <w:rFonts w:ascii="Arial" w:hAnsi="Arial" w:cs="Arial"/>
          <w:szCs w:val="24"/>
        </w:rPr>
        <w:t>xecutive’s proposed COVID 8 supplemental</w:t>
      </w:r>
      <w:r>
        <w:rPr>
          <w:rFonts w:ascii="Arial" w:hAnsi="Arial" w:cs="Arial"/>
          <w:szCs w:val="24"/>
        </w:rPr>
        <w:t xml:space="preserve"> appropriations ordinance</w:t>
      </w:r>
      <w:r w:rsidRPr="0085523E">
        <w:rPr>
          <w:rFonts w:ascii="Arial" w:hAnsi="Arial" w:cs="Arial"/>
          <w:szCs w:val="24"/>
        </w:rPr>
        <w:t xml:space="preserve">. Notably, the </w:t>
      </w:r>
      <w:r w:rsidR="000935A8">
        <w:rPr>
          <w:rFonts w:ascii="Arial" w:hAnsi="Arial" w:cs="Arial"/>
          <w:szCs w:val="24"/>
        </w:rPr>
        <w:t>e</w:t>
      </w:r>
      <w:r w:rsidRPr="0085523E">
        <w:rPr>
          <w:rFonts w:ascii="Arial" w:hAnsi="Arial" w:cs="Arial"/>
          <w:szCs w:val="24"/>
        </w:rPr>
        <w:t xml:space="preserve">xecutive’s </w:t>
      </w:r>
      <w:r>
        <w:rPr>
          <w:rFonts w:ascii="Arial" w:hAnsi="Arial" w:cs="Arial"/>
          <w:szCs w:val="24"/>
        </w:rPr>
        <w:t>proposal</w:t>
      </w:r>
      <w:r w:rsidRPr="0085523E">
        <w:rPr>
          <w:rFonts w:ascii="Arial" w:hAnsi="Arial" w:cs="Arial"/>
          <w:szCs w:val="24"/>
        </w:rPr>
        <w:t xml:space="preserve"> includes funding for </w:t>
      </w:r>
      <w:r>
        <w:rPr>
          <w:rFonts w:ascii="Arial" w:hAnsi="Arial" w:cs="Arial"/>
          <w:szCs w:val="24"/>
        </w:rPr>
        <w:t>the rest of the 2021-2022 biennium</w:t>
      </w:r>
      <w:r w:rsidRPr="0085523E">
        <w:rPr>
          <w:rFonts w:ascii="Arial" w:hAnsi="Arial" w:cs="Arial"/>
          <w:szCs w:val="24"/>
        </w:rPr>
        <w:t xml:space="preserve"> </w:t>
      </w:r>
      <w:r>
        <w:rPr>
          <w:rFonts w:ascii="Arial" w:hAnsi="Arial" w:cs="Arial"/>
          <w:szCs w:val="24"/>
        </w:rPr>
        <w:t xml:space="preserve">(starting in September) </w:t>
      </w:r>
      <w:r w:rsidRPr="0085523E">
        <w:rPr>
          <w:rFonts w:ascii="Arial" w:hAnsi="Arial" w:cs="Arial"/>
          <w:szCs w:val="24"/>
        </w:rPr>
        <w:t xml:space="preserve">rather than the three years requested by many agencies. PSB reports </w:t>
      </w:r>
      <w:r>
        <w:rPr>
          <w:rFonts w:ascii="Arial" w:hAnsi="Arial" w:cs="Arial"/>
          <w:szCs w:val="24"/>
        </w:rPr>
        <w:t xml:space="preserve">2023-2024 funding needs related to the backlog </w:t>
      </w:r>
      <w:r w:rsidRPr="0085523E">
        <w:rPr>
          <w:rFonts w:ascii="Arial" w:hAnsi="Arial" w:cs="Arial"/>
          <w:szCs w:val="24"/>
        </w:rPr>
        <w:t>will be determined as part of the 2023-2024 budget</w:t>
      </w:r>
      <w:r>
        <w:rPr>
          <w:rFonts w:ascii="Arial" w:hAnsi="Arial" w:cs="Arial"/>
          <w:szCs w:val="24"/>
        </w:rPr>
        <w:t xml:space="preserve"> process</w:t>
      </w:r>
      <w:r w:rsidRPr="0085523E">
        <w:rPr>
          <w:rFonts w:ascii="Arial" w:hAnsi="Arial" w:cs="Arial"/>
          <w:szCs w:val="24"/>
        </w:rPr>
        <w:t xml:space="preserve">. </w:t>
      </w:r>
    </w:p>
    <w:p w14:paraId="6EE77A28" w14:textId="50EBCF31" w:rsidR="00E2690C" w:rsidRPr="00827180" w:rsidRDefault="00E2690C" w:rsidP="00E2690C">
      <w:pPr>
        <w:spacing w:line="264" w:lineRule="auto"/>
        <w:contextualSpacing/>
        <w:jc w:val="both"/>
        <w:rPr>
          <w:rFonts w:ascii="Arial" w:hAnsi="Arial" w:cs="Arial"/>
          <w:szCs w:val="24"/>
        </w:rPr>
      </w:pPr>
      <w:r>
        <w:rPr>
          <w:rFonts w:ascii="Arial" w:hAnsi="Arial" w:cs="Arial"/>
          <w:szCs w:val="24"/>
        </w:rPr>
        <w:t xml:space="preserve">PSB reports the </w:t>
      </w:r>
      <w:r w:rsidR="000935A8">
        <w:rPr>
          <w:rFonts w:ascii="Arial" w:hAnsi="Arial" w:cs="Arial"/>
          <w:szCs w:val="24"/>
        </w:rPr>
        <w:t>e</w:t>
      </w:r>
      <w:r>
        <w:rPr>
          <w:rFonts w:ascii="Arial" w:hAnsi="Arial" w:cs="Arial"/>
          <w:szCs w:val="24"/>
        </w:rPr>
        <w:t xml:space="preserve">xecutive prioritized addressing the significant felony backlog while also providing resources for District Court to address the significant backlog and operational challenges from the COVID-19 pandemic. </w:t>
      </w:r>
      <w:r w:rsidRPr="0066380E">
        <w:rPr>
          <w:rFonts w:ascii="Arial" w:hAnsi="Arial" w:cs="Arial"/>
          <w:szCs w:val="24"/>
        </w:rPr>
        <w:t xml:space="preserve">Resources </w:t>
      </w:r>
      <w:r>
        <w:rPr>
          <w:rFonts w:ascii="Arial" w:hAnsi="Arial" w:cs="Arial"/>
          <w:szCs w:val="24"/>
        </w:rPr>
        <w:t xml:space="preserve">to address the felony backlog </w:t>
      </w:r>
      <w:r w:rsidRPr="0066380E">
        <w:rPr>
          <w:rFonts w:ascii="Arial" w:hAnsi="Arial" w:cs="Arial"/>
          <w:szCs w:val="24"/>
        </w:rPr>
        <w:t xml:space="preserve">were allocated among Superior Court, PAO, DJA and DPD based on assumptions about how much additional Superior Court trial capacity could be achieved and the corresponding resources needed by DJA, PAO, and DPD to support additional trials. </w:t>
      </w:r>
      <w:r w:rsidRPr="00827180">
        <w:rPr>
          <w:rFonts w:ascii="Arial" w:hAnsi="Arial" w:cs="Arial"/>
          <w:szCs w:val="24"/>
        </w:rPr>
        <w:t xml:space="preserve">Executive staff recognize </w:t>
      </w:r>
      <w:r>
        <w:rPr>
          <w:rFonts w:ascii="Arial" w:hAnsi="Arial" w:cs="Arial"/>
          <w:szCs w:val="24"/>
        </w:rPr>
        <w:t>a</w:t>
      </w:r>
      <w:r w:rsidRPr="00827180">
        <w:rPr>
          <w:rFonts w:ascii="Arial" w:hAnsi="Arial" w:cs="Arial"/>
          <w:szCs w:val="24"/>
        </w:rPr>
        <w:t xml:space="preserve">ctual specific positions hired and other expenditures will likely differ from the assumptions used to arrive at the proposed budgeted amounts, as the reduced amounts will require operational adjustments from initial agency </w:t>
      </w:r>
      <w:r>
        <w:rPr>
          <w:rFonts w:ascii="Arial" w:hAnsi="Arial" w:cs="Arial"/>
          <w:szCs w:val="24"/>
        </w:rPr>
        <w:t>budget submittals</w:t>
      </w:r>
      <w:r w:rsidRPr="00827180">
        <w:rPr>
          <w:rFonts w:ascii="Arial" w:hAnsi="Arial" w:cs="Arial"/>
          <w:szCs w:val="24"/>
        </w:rPr>
        <w:t xml:space="preserve">. </w:t>
      </w:r>
    </w:p>
    <w:p w14:paraId="41463B61" w14:textId="77777777" w:rsidR="00E2690C" w:rsidRDefault="00E2690C" w:rsidP="00E2690C">
      <w:pPr>
        <w:spacing w:line="264" w:lineRule="auto"/>
        <w:contextualSpacing/>
        <w:jc w:val="both"/>
        <w:rPr>
          <w:rFonts w:ascii="Arial" w:hAnsi="Arial" w:cs="Arial"/>
          <w:szCs w:val="24"/>
        </w:rPr>
      </w:pPr>
    </w:p>
    <w:p w14:paraId="3E60D2FA" w14:textId="020D4103" w:rsidR="00E2690C" w:rsidRDefault="00E2690C" w:rsidP="00E2690C">
      <w:pPr>
        <w:spacing w:line="264" w:lineRule="auto"/>
        <w:contextualSpacing/>
        <w:jc w:val="both"/>
        <w:rPr>
          <w:rFonts w:ascii="Arial" w:hAnsi="Arial" w:cs="Arial"/>
          <w:szCs w:val="24"/>
        </w:rPr>
      </w:pPr>
      <w:r>
        <w:rPr>
          <w:rFonts w:ascii="Arial" w:hAnsi="Arial" w:cs="Arial"/>
          <w:szCs w:val="24"/>
        </w:rPr>
        <w:t xml:space="preserve">Lastly, the </w:t>
      </w:r>
      <w:r w:rsidR="000935A8">
        <w:rPr>
          <w:rFonts w:ascii="Arial" w:hAnsi="Arial" w:cs="Arial"/>
          <w:szCs w:val="24"/>
        </w:rPr>
        <w:t>e</w:t>
      </w:r>
      <w:r>
        <w:rPr>
          <w:rFonts w:ascii="Arial" w:hAnsi="Arial" w:cs="Arial"/>
          <w:szCs w:val="24"/>
        </w:rPr>
        <w:t>xecutive proposes a separate supplemental appropriations ordinance (PO 2021-0249) which would appropriate $19.5 million, of which approximately 94% of the total is expected to be reimbursed by the state, to address the funding needs resulting from the Washington State Supreme Court decision in State v. Blake</w:t>
      </w:r>
      <w:r>
        <w:rPr>
          <w:rStyle w:val="FootnoteReference"/>
          <w:rFonts w:ascii="Arial" w:hAnsi="Arial" w:cs="Arial"/>
          <w:szCs w:val="24"/>
        </w:rPr>
        <w:footnoteReference w:id="13"/>
      </w:r>
      <w:r>
        <w:rPr>
          <w:rFonts w:ascii="Arial" w:hAnsi="Arial" w:cs="Arial"/>
          <w:szCs w:val="24"/>
        </w:rPr>
        <w:t xml:space="preserve">. </w:t>
      </w:r>
    </w:p>
    <w:p w14:paraId="238A9963" w14:textId="77777777" w:rsidR="00E2690C" w:rsidRDefault="00E2690C" w:rsidP="00E2690C">
      <w:pPr>
        <w:spacing w:line="264" w:lineRule="auto"/>
        <w:contextualSpacing/>
        <w:jc w:val="both"/>
        <w:rPr>
          <w:rFonts w:ascii="Arial" w:hAnsi="Arial" w:cs="Arial"/>
          <w:szCs w:val="24"/>
        </w:rPr>
      </w:pPr>
    </w:p>
    <w:p w14:paraId="172B3945" w14:textId="49709223" w:rsidR="00E2690C" w:rsidRPr="00753E33" w:rsidRDefault="00E2690C" w:rsidP="00E2690C">
      <w:pPr>
        <w:spacing w:line="264" w:lineRule="auto"/>
        <w:contextualSpacing/>
        <w:jc w:val="both"/>
        <w:rPr>
          <w:rFonts w:ascii="Arial" w:hAnsi="Arial" w:cs="Arial"/>
          <w:i/>
          <w:iCs/>
          <w:szCs w:val="24"/>
        </w:rPr>
      </w:pPr>
      <w:r w:rsidRPr="002C02B7">
        <w:rPr>
          <w:rFonts w:ascii="Arial" w:hAnsi="Arial" w:cs="Arial"/>
          <w:b/>
          <w:bCs/>
          <w:i/>
          <w:iCs/>
          <w:szCs w:val="24"/>
        </w:rPr>
        <w:t>Superior Court ($3,611,000 and 22.5 TLTs).</w:t>
      </w:r>
      <w:r>
        <w:rPr>
          <w:rFonts w:ascii="Arial" w:hAnsi="Arial" w:cs="Arial"/>
          <w:i/>
          <w:iCs/>
          <w:szCs w:val="24"/>
        </w:rPr>
        <w:t xml:space="preserve">  </w:t>
      </w:r>
      <w:r w:rsidRPr="62B9A504">
        <w:rPr>
          <w:rFonts w:ascii="Arial" w:hAnsi="Arial" w:cs="Arial"/>
          <w:szCs w:val="24"/>
        </w:rPr>
        <w:t xml:space="preserve">The Superior Court’s budget request to the </w:t>
      </w:r>
      <w:r w:rsidR="000935A8">
        <w:rPr>
          <w:rFonts w:ascii="Arial" w:hAnsi="Arial" w:cs="Arial"/>
          <w:szCs w:val="24"/>
        </w:rPr>
        <w:t>e</w:t>
      </w:r>
      <w:r w:rsidRPr="62B9A504">
        <w:rPr>
          <w:rFonts w:ascii="Arial" w:hAnsi="Arial" w:cs="Arial"/>
          <w:szCs w:val="24"/>
        </w:rPr>
        <w:t xml:space="preserve">xecutive totaled (Attachment </w:t>
      </w:r>
      <w:r w:rsidR="000103B2">
        <w:rPr>
          <w:rFonts w:ascii="Arial" w:hAnsi="Arial" w:cs="Arial"/>
          <w:szCs w:val="24"/>
        </w:rPr>
        <w:t>6 to this staff report</w:t>
      </w:r>
      <w:r w:rsidRPr="62B9A504">
        <w:rPr>
          <w:rFonts w:ascii="Arial" w:hAnsi="Arial" w:cs="Arial"/>
          <w:szCs w:val="24"/>
        </w:rPr>
        <w:t>) $34.1 million over 3 years to address the backlog in the most serious violent felonies (homicides, sexual assault</w:t>
      </w:r>
      <w:r>
        <w:rPr>
          <w:rFonts w:ascii="Arial" w:hAnsi="Arial" w:cs="Arial"/>
          <w:szCs w:val="24"/>
        </w:rPr>
        <w:t>s</w:t>
      </w:r>
      <w:r w:rsidRPr="62B9A504">
        <w:rPr>
          <w:rFonts w:ascii="Arial" w:hAnsi="Arial" w:cs="Arial"/>
          <w:szCs w:val="24"/>
        </w:rPr>
        <w:t xml:space="preserve">, </w:t>
      </w:r>
      <w:r>
        <w:rPr>
          <w:rFonts w:ascii="Arial" w:hAnsi="Arial" w:cs="Arial"/>
          <w:szCs w:val="24"/>
        </w:rPr>
        <w:t xml:space="preserve">serious assaults, robberies with a weapon, </w:t>
      </w:r>
      <w:r w:rsidRPr="62B9A504">
        <w:rPr>
          <w:rFonts w:ascii="Arial" w:hAnsi="Arial" w:cs="Arial"/>
          <w:szCs w:val="24"/>
        </w:rPr>
        <w:t xml:space="preserve">child abuse, </w:t>
      </w:r>
      <w:r>
        <w:rPr>
          <w:rFonts w:ascii="Arial" w:hAnsi="Arial" w:cs="Arial"/>
          <w:szCs w:val="24"/>
        </w:rPr>
        <w:t xml:space="preserve">and </w:t>
      </w:r>
      <w:r w:rsidRPr="62B9A504">
        <w:rPr>
          <w:rFonts w:ascii="Arial" w:hAnsi="Arial" w:cs="Arial"/>
          <w:szCs w:val="24"/>
        </w:rPr>
        <w:t xml:space="preserve">domestic violence,) as well as an expected surge in eviction cases. The Court requested funding to support an additional six Pro tem judges as well as resources to support increasing trial capacity for existing judges in order to address an additional 72 of the most serious backlogged trials over 3 years. </w:t>
      </w:r>
      <w:r>
        <w:rPr>
          <w:rFonts w:ascii="Arial" w:hAnsi="Arial" w:cs="Arial"/>
          <w:szCs w:val="24"/>
        </w:rPr>
        <w:t>Superior Court reports it made the</w:t>
      </w:r>
      <w:r w:rsidRPr="62B9A504">
        <w:rPr>
          <w:rFonts w:ascii="Arial" w:hAnsi="Arial" w:cs="Arial"/>
          <w:szCs w:val="24"/>
        </w:rPr>
        <w:t xml:space="preserve"> request based upon existing </w:t>
      </w:r>
      <w:r>
        <w:rPr>
          <w:rFonts w:ascii="Arial" w:hAnsi="Arial" w:cs="Arial"/>
          <w:szCs w:val="24"/>
        </w:rPr>
        <w:t xml:space="preserve">cases </w:t>
      </w:r>
      <w:r w:rsidRPr="62B9A504">
        <w:rPr>
          <w:rFonts w:ascii="Arial" w:hAnsi="Arial" w:cs="Arial"/>
          <w:szCs w:val="24"/>
        </w:rPr>
        <w:t xml:space="preserve">that </w:t>
      </w:r>
      <w:r w:rsidRPr="62B9A504">
        <w:rPr>
          <w:rFonts w:ascii="Arial" w:hAnsi="Arial" w:cs="Arial"/>
          <w:szCs w:val="24"/>
        </w:rPr>
        <w:lastRenderedPageBreak/>
        <w:t xml:space="preserve">have assigned lawyers, and not for any future cases or for any cases with nonviolent charges.  The request included funding to address the space needs for additional trials and funding to support and train staff on the virtual technology platforms the Court has deployed in response to the COVID-19 pandemic.  </w:t>
      </w:r>
      <w:r w:rsidRPr="62B9A504">
        <w:rPr>
          <w:rFonts w:ascii="Arial" w:hAnsi="Arial" w:cs="Arial"/>
          <w:color w:val="000000" w:themeColor="text1"/>
          <w:szCs w:val="24"/>
        </w:rPr>
        <w:t xml:space="preserve">The Superior Court reports it has seen many benefits, including greater jury diversity, to the virtual jury selection process and offering a virtual option for Civil and Family cases, and plans to continue these technologies beyond the pandemic. </w:t>
      </w:r>
      <w:r w:rsidRPr="62B9A504">
        <w:rPr>
          <w:rFonts w:ascii="Arial" w:hAnsi="Arial" w:cs="Arial"/>
          <w:szCs w:val="24"/>
        </w:rPr>
        <w:t xml:space="preserve">Lastly, the Superior Court requested resources to address the needs of the Family Law department </w:t>
      </w:r>
      <w:r>
        <w:rPr>
          <w:rFonts w:ascii="Arial" w:hAnsi="Arial" w:cs="Arial"/>
          <w:szCs w:val="24"/>
        </w:rPr>
        <w:t xml:space="preserve">to address the increased public request for help from the Family Law Information Center (demand tripled) and to address increases related to domestic violence protection order requests. </w:t>
      </w:r>
    </w:p>
    <w:p w14:paraId="7040B86C" w14:textId="77777777" w:rsidR="00E2690C" w:rsidRDefault="00E2690C" w:rsidP="00E2690C">
      <w:pPr>
        <w:spacing w:line="264" w:lineRule="auto"/>
        <w:contextualSpacing/>
        <w:jc w:val="both"/>
        <w:rPr>
          <w:rFonts w:ascii="Arial" w:hAnsi="Arial" w:cs="Arial"/>
          <w:color w:val="000000" w:themeColor="text1"/>
          <w:szCs w:val="24"/>
        </w:rPr>
      </w:pPr>
    </w:p>
    <w:p w14:paraId="7DEFF573" w14:textId="64C88056" w:rsidR="00E2690C" w:rsidRDefault="00E2690C" w:rsidP="00E2690C">
      <w:pPr>
        <w:spacing w:line="264" w:lineRule="auto"/>
        <w:contextualSpacing/>
        <w:jc w:val="both"/>
        <w:rPr>
          <w:rFonts w:ascii="Arial" w:hAnsi="Arial" w:cs="Arial"/>
          <w:color w:val="000000" w:themeColor="text1"/>
          <w:szCs w:val="24"/>
        </w:rPr>
      </w:pPr>
      <w:r w:rsidRPr="394F3AB1">
        <w:rPr>
          <w:rFonts w:ascii="Arial" w:hAnsi="Arial" w:cs="Arial"/>
          <w:color w:val="000000" w:themeColor="text1"/>
          <w:szCs w:val="24"/>
        </w:rPr>
        <w:t xml:space="preserve">The </w:t>
      </w:r>
      <w:r w:rsidR="000935A8">
        <w:rPr>
          <w:rFonts w:ascii="Arial" w:hAnsi="Arial" w:cs="Arial"/>
          <w:color w:val="000000" w:themeColor="text1"/>
          <w:szCs w:val="24"/>
        </w:rPr>
        <w:t>e</w:t>
      </w:r>
      <w:r w:rsidRPr="394F3AB1">
        <w:rPr>
          <w:rFonts w:ascii="Arial" w:hAnsi="Arial" w:cs="Arial"/>
          <w:color w:val="000000" w:themeColor="text1"/>
          <w:szCs w:val="24"/>
        </w:rPr>
        <w:t xml:space="preserve">xecutive’s proposed supplemental appropriation of $3.6 million for the Superior Court is substantially less than the Superior Court’s request. Executive staff anticipate the $3.6 million for September 2021 through December 2022 would allow the Superior Court to bring on four additional criminal pro tem judges for 22 additional trials, plus additional judicial resources for plea hearings, Family Law, and Ex Parte cases. However, Superior Court reports the </w:t>
      </w:r>
      <w:r w:rsidR="000935A8">
        <w:rPr>
          <w:rFonts w:ascii="Arial" w:hAnsi="Arial" w:cs="Arial"/>
          <w:color w:val="000000" w:themeColor="text1"/>
          <w:szCs w:val="24"/>
        </w:rPr>
        <w:t>e</w:t>
      </w:r>
      <w:r w:rsidRPr="394F3AB1">
        <w:rPr>
          <w:rFonts w:ascii="Arial" w:hAnsi="Arial" w:cs="Arial"/>
          <w:color w:val="000000" w:themeColor="text1"/>
          <w:szCs w:val="24"/>
        </w:rPr>
        <w:t>xecutive’s proposed level of funding ignores the system costs of the Court and does not accurately show the price of a court and therefore will not make any significant difference in reducing the backlog. Superior Court reports that prior to adding any judicial capacity, the Court first needs to add infrastructure to support existing staff and judges as they take on more trials, some of which will continue to be conducted virtually. Superior Court notes</w:t>
      </w:r>
      <w:r w:rsidR="00C7354C">
        <w:rPr>
          <w:rFonts w:ascii="Arial" w:hAnsi="Arial" w:cs="Arial"/>
          <w:color w:val="000000" w:themeColor="text1"/>
          <w:szCs w:val="24"/>
        </w:rPr>
        <w:t>:</w:t>
      </w:r>
    </w:p>
    <w:p w14:paraId="4933FE31" w14:textId="77777777" w:rsidR="00C7354C" w:rsidRDefault="00C7354C" w:rsidP="00E2690C">
      <w:pPr>
        <w:spacing w:line="264" w:lineRule="auto"/>
        <w:contextualSpacing/>
        <w:jc w:val="both"/>
        <w:rPr>
          <w:rFonts w:ascii="Arial" w:hAnsi="Arial" w:cs="Arial"/>
          <w:color w:val="000000"/>
          <w:szCs w:val="24"/>
        </w:rPr>
      </w:pPr>
    </w:p>
    <w:p w14:paraId="79A84478" w14:textId="77777777" w:rsidR="00E2690C" w:rsidRDefault="00E2690C" w:rsidP="00E2690C">
      <w:pPr>
        <w:spacing w:line="264" w:lineRule="auto"/>
        <w:ind w:left="720"/>
        <w:contextualSpacing/>
        <w:jc w:val="both"/>
        <w:rPr>
          <w:rFonts w:ascii="Arial" w:hAnsi="Arial" w:cs="Arial"/>
          <w:i/>
          <w:iCs/>
          <w:color w:val="000000"/>
          <w:szCs w:val="24"/>
        </w:rPr>
      </w:pPr>
      <w:r>
        <w:rPr>
          <w:rFonts w:ascii="Arial" w:hAnsi="Arial" w:cs="Arial"/>
          <w:color w:val="000000"/>
          <w:szCs w:val="24"/>
        </w:rPr>
        <w:t>“</w:t>
      </w:r>
      <w:r>
        <w:rPr>
          <w:rFonts w:ascii="Arial" w:hAnsi="Arial" w:cs="Arial"/>
          <w:i/>
          <w:iCs/>
          <w:color w:val="000000"/>
          <w:szCs w:val="24"/>
        </w:rPr>
        <w:t>New technology has changed how we do business. This technology will assist with backlog reduction. The backlog alone requires additional courtroom support. This includes more jurors, IT for virtual trials and remote appearances, interpreters, and trainers. With the increases in trials and especially criminal trials, all of this is a necessary as a first step.”</w:t>
      </w:r>
    </w:p>
    <w:p w14:paraId="4757ADFF" w14:textId="77777777" w:rsidR="00E2690C" w:rsidRPr="00227C30" w:rsidRDefault="00E2690C" w:rsidP="00E2690C">
      <w:pPr>
        <w:spacing w:line="264" w:lineRule="auto"/>
        <w:ind w:left="720"/>
        <w:contextualSpacing/>
        <w:jc w:val="both"/>
        <w:rPr>
          <w:rFonts w:ascii="Arial" w:hAnsi="Arial" w:cs="Arial"/>
          <w:i/>
          <w:iCs/>
          <w:color w:val="000000"/>
          <w:szCs w:val="24"/>
        </w:rPr>
      </w:pPr>
    </w:p>
    <w:p w14:paraId="09BAF9F7" w14:textId="6E05190E" w:rsidR="00E2690C" w:rsidRDefault="00E2690C" w:rsidP="00E2690C">
      <w:pPr>
        <w:spacing w:line="264" w:lineRule="auto"/>
        <w:contextualSpacing/>
        <w:jc w:val="both"/>
        <w:rPr>
          <w:rFonts w:ascii="Arial" w:hAnsi="Arial" w:cs="Arial"/>
          <w:color w:val="000000" w:themeColor="text1"/>
          <w:szCs w:val="24"/>
        </w:rPr>
      </w:pPr>
      <w:r w:rsidRPr="62B9A504">
        <w:rPr>
          <w:rFonts w:ascii="Arial" w:hAnsi="Arial" w:cs="Arial"/>
          <w:color w:val="000000" w:themeColor="text1"/>
          <w:szCs w:val="24"/>
        </w:rPr>
        <w:t xml:space="preserve">At the </w:t>
      </w:r>
      <w:r w:rsidR="000935A8">
        <w:rPr>
          <w:rFonts w:ascii="Arial" w:hAnsi="Arial" w:cs="Arial"/>
          <w:color w:val="000000" w:themeColor="text1"/>
          <w:szCs w:val="24"/>
        </w:rPr>
        <w:t>e</w:t>
      </w:r>
      <w:r w:rsidRPr="62B9A504">
        <w:rPr>
          <w:rFonts w:ascii="Arial" w:hAnsi="Arial" w:cs="Arial"/>
          <w:color w:val="000000" w:themeColor="text1"/>
          <w:szCs w:val="24"/>
        </w:rPr>
        <w:t>xecutive’s proposed appropriation level included in COVID 8, the Superior Court reports it can hire one additional pro tem judge for criminal cases  and the staff to support all the judicial officers hearing criminal trials. Additionally, the Superior Court would use $1.3 million of the $3.6 million appropriation for family law and eviction needs</w:t>
      </w:r>
      <w:r>
        <w:rPr>
          <w:rFonts w:ascii="Arial" w:hAnsi="Arial" w:cs="Arial"/>
          <w:color w:val="000000" w:themeColor="text1"/>
          <w:szCs w:val="24"/>
        </w:rPr>
        <w:t xml:space="preserve">, including </w:t>
      </w:r>
      <w:r w:rsidRPr="62B9A504">
        <w:rPr>
          <w:rFonts w:ascii="Arial" w:hAnsi="Arial" w:cs="Arial"/>
          <w:color w:val="000000" w:themeColor="text1"/>
          <w:szCs w:val="24"/>
        </w:rPr>
        <w:t xml:space="preserve"> </w:t>
      </w:r>
      <w:r>
        <w:rPr>
          <w:rFonts w:ascii="Arial" w:hAnsi="Arial" w:cs="Arial"/>
          <w:color w:val="000000" w:themeColor="text1"/>
          <w:szCs w:val="24"/>
        </w:rPr>
        <w:t xml:space="preserve">one eviction judge. </w:t>
      </w:r>
    </w:p>
    <w:p w14:paraId="6514228A" w14:textId="77777777" w:rsidR="00E2690C" w:rsidRDefault="00E2690C" w:rsidP="00E2690C">
      <w:pPr>
        <w:spacing w:line="264" w:lineRule="auto"/>
        <w:contextualSpacing/>
        <w:jc w:val="both"/>
        <w:rPr>
          <w:rFonts w:ascii="Arial" w:hAnsi="Arial" w:cs="Arial"/>
          <w:color w:val="000000" w:themeColor="text1"/>
          <w:szCs w:val="24"/>
        </w:rPr>
      </w:pPr>
    </w:p>
    <w:p w14:paraId="507DEF9C" w14:textId="11DED0C2" w:rsidR="00E2690C" w:rsidRDefault="00E2690C" w:rsidP="00E2690C">
      <w:pPr>
        <w:spacing w:line="264" w:lineRule="auto"/>
        <w:contextualSpacing/>
        <w:jc w:val="both"/>
        <w:rPr>
          <w:rFonts w:ascii="Arial" w:hAnsi="Arial" w:cs="Arial"/>
          <w:color w:val="000000"/>
          <w:szCs w:val="24"/>
        </w:rPr>
      </w:pPr>
      <w:r>
        <w:rPr>
          <w:rFonts w:ascii="Arial" w:hAnsi="Arial" w:cs="Arial"/>
          <w:color w:val="000000"/>
          <w:szCs w:val="24"/>
        </w:rPr>
        <w:t>In response to Council staff questions on the availability of additional plea capacity, Superior Court reports</w:t>
      </w:r>
      <w:r w:rsidR="00C7354C">
        <w:rPr>
          <w:rFonts w:ascii="Arial" w:hAnsi="Arial" w:cs="Arial"/>
          <w:color w:val="000000"/>
          <w:szCs w:val="24"/>
        </w:rPr>
        <w:t>:</w:t>
      </w:r>
    </w:p>
    <w:p w14:paraId="2BFB6BD5" w14:textId="77777777" w:rsidR="00C7354C" w:rsidRDefault="00C7354C" w:rsidP="00E2690C">
      <w:pPr>
        <w:spacing w:line="264" w:lineRule="auto"/>
        <w:contextualSpacing/>
        <w:jc w:val="both"/>
        <w:rPr>
          <w:rFonts w:ascii="Arial" w:hAnsi="Arial" w:cs="Arial"/>
          <w:color w:val="000000"/>
          <w:szCs w:val="24"/>
        </w:rPr>
      </w:pPr>
    </w:p>
    <w:p w14:paraId="0A5E0798" w14:textId="799D202E" w:rsidR="00E2690C" w:rsidRPr="00F529DF" w:rsidRDefault="00E2690C" w:rsidP="00E2690C">
      <w:pPr>
        <w:spacing w:line="264" w:lineRule="auto"/>
        <w:ind w:left="720"/>
        <w:contextualSpacing/>
        <w:jc w:val="both"/>
        <w:rPr>
          <w:rFonts w:ascii="Arial" w:hAnsi="Arial" w:cs="Arial"/>
          <w:i/>
          <w:iCs/>
          <w:color w:val="000000"/>
          <w:szCs w:val="24"/>
        </w:rPr>
      </w:pPr>
      <w:r w:rsidRPr="00F529DF">
        <w:rPr>
          <w:rFonts w:ascii="Arial" w:hAnsi="Arial" w:cs="Arial"/>
          <w:i/>
          <w:iCs/>
          <w:color w:val="000000"/>
          <w:szCs w:val="24"/>
        </w:rPr>
        <w:t xml:space="preserve">“Superior Court reports the </w:t>
      </w:r>
      <w:r w:rsidR="000935A8">
        <w:rPr>
          <w:rFonts w:ascii="Arial" w:hAnsi="Arial" w:cs="Arial"/>
          <w:i/>
          <w:iCs/>
          <w:color w:val="000000"/>
          <w:szCs w:val="24"/>
        </w:rPr>
        <w:t>e</w:t>
      </w:r>
      <w:r w:rsidRPr="00F529DF">
        <w:rPr>
          <w:rFonts w:ascii="Arial" w:hAnsi="Arial" w:cs="Arial"/>
          <w:i/>
          <w:iCs/>
          <w:color w:val="000000"/>
          <w:szCs w:val="24"/>
        </w:rPr>
        <w:t xml:space="preserve">xecutive’s proposed level of funding, there is zero additional plea capacity. </w:t>
      </w:r>
      <w:r>
        <w:rPr>
          <w:rFonts w:ascii="Arial" w:hAnsi="Arial" w:cs="Arial"/>
          <w:i/>
          <w:iCs/>
          <w:color w:val="000000"/>
          <w:szCs w:val="24"/>
        </w:rPr>
        <w:t>We need to prioritize systems to increase total trial capacity and use any additional judges to try cases. We will interrupt trials to take pleas, if necessary.”</w:t>
      </w:r>
    </w:p>
    <w:p w14:paraId="5456167A" w14:textId="77777777" w:rsidR="00E2690C" w:rsidRDefault="00E2690C" w:rsidP="00E2690C">
      <w:pPr>
        <w:spacing w:line="264" w:lineRule="auto"/>
        <w:contextualSpacing/>
        <w:jc w:val="both"/>
        <w:rPr>
          <w:rFonts w:ascii="Arial" w:hAnsi="Arial" w:cs="Arial"/>
          <w:color w:val="000000" w:themeColor="text1"/>
          <w:szCs w:val="24"/>
        </w:rPr>
      </w:pPr>
    </w:p>
    <w:p w14:paraId="05A9325F" w14:textId="77777777" w:rsidR="00E2690C" w:rsidRPr="003176B9" w:rsidRDefault="00E2690C" w:rsidP="00E2690C">
      <w:pPr>
        <w:spacing w:line="264" w:lineRule="auto"/>
        <w:contextualSpacing/>
        <w:jc w:val="both"/>
        <w:rPr>
          <w:rFonts w:ascii="Arial" w:hAnsi="Arial" w:cs="Arial"/>
          <w:color w:val="000000"/>
          <w:szCs w:val="24"/>
        </w:rPr>
      </w:pPr>
      <w:r>
        <w:rPr>
          <w:rFonts w:ascii="Arial" w:hAnsi="Arial" w:cs="Arial"/>
          <w:color w:val="000000"/>
          <w:szCs w:val="24"/>
        </w:rPr>
        <w:lastRenderedPageBreak/>
        <w:t>With the Superior Court’s extension of COVID-19 social distancing requirements</w:t>
      </w:r>
      <w:r>
        <w:rPr>
          <w:rStyle w:val="FootnoteReference"/>
          <w:rFonts w:ascii="Arial" w:hAnsi="Arial" w:cs="Arial"/>
          <w:color w:val="000000"/>
          <w:szCs w:val="24"/>
        </w:rPr>
        <w:footnoteReference w:id="14"/>
      </w:r>
      <w:r>
        <w:rPr>
          <w:rFonts w:ascii="Arial" w:hAnsi="Arial" w:cs="Arial"/>
          <w:color w:val="000000"/>
          <w:szCs w:val="24"/>
        </w:rPr>
        <w:t xml:space="preserve">, the Court must continue to operate with mitigation measures such as additional courtrooms, which limit the capacity of the Court. Council staff have asked the extent to which the Superior Court will have additional capacity when COVID social distancing restrictions are lifted. The Court reports that once social distancing is eliminated, the King County Courthouse (KCCH) capacity will increase, but there will be no gain at the MRJC, At KCCH, once social distancing is lifted, the Court will move from 14 available jury courtrooms to 31 available courts. But because the jury rooms are very small at the KCCH, even if social distancing is eliminated in a courtroom, it may not be immediately reduced in a jury room so it is not clear how many additional trials will be feasible. </w:t>
      </w:r>
      <w:r w:rsidRPr="00774B92">
        <w:rPr>
          <w:rFonts w:ascii="Arial" w:hAnsi="Arial" w:cs="Arial"/>
          <w:color w:val="000000"/>
          <w:szCs w:val="24"/>
        </w:rPr>
        <w:t xml:space="preserve">At MRJC, Superior Court reports the number of courtrooms post-COVID operations would remain the same because </w:t>
      </w:r>
      <w:r>
        <w:rPr>
          <w:rFonts w:ascii="Arial" w:hAnsi="Arial" w:cs="Arial"/>
          <w:color w:val="000000"/>
          <w:szCs w:val="24"/>
        </w:rPr>
        <w:t xml:space="preserve">the configuration of existing courtrooms with adjoining conference rooms has allowed for one courtroom per trial. However, there </w:t>
      </w:r>
      <w:r w:rsidRPr="00644A23">
        <w:rPr>
          <w:rFonts w:ascii="Arial" w:hAnsi="Arial" w:cs="Arial"/>
          <w:color w:val="000000"/>
          <w:szCs w:val="24"/>
        </w:rPr>
        <w:t>is no space left at the MRJC for temporary criminal judges</w:t>
      </w:r>
      <w:r>
        <w:rPr>
          <w:rFonts w:ascii="Arial" w:hAnsi="Arial" w:cs="Arial"/>
          <w:color w:val="000000"/>
          <w:szCs w:val="24"/>
        </w:rPr>
        <w:t xml:space="preserve"> so </w:t>
      </w:r>
      <w:r w:rsidRPr="00644A23">
        <w:rPr>
          <w:rFonts w:ascii="Arial" w:hAnsi="Arial" w:cs="Arial"/>
          <w:color w:val="000000"/>
          <w:szCs w:val="24"/>
        </w:rPr>
        <w:t xml:space="preserve">Superior Court is requesting </w:t>
      </w:r>
      <w:r w:rsidRPr="003176B9">
        <w:rPr>
          <w:rFonts w:ascii="Arial" w:hAnsi="Arial" w:cs="Arial"/>
          <w:color w:val="000000"/>
          <w:szCs w:val="24"/>
        </w:rPr>
        <w:t xml:space="preserve"> nearby office space for family law judges </w:t>
      </w:r>
      <w:r>
        <w:rPr>
          <w:rFonts w:ascii="Arial" w:hAnsi="Arial" w:cs="Arial"/>
          <w:color w:val="000000"/>
          <w:szCs w:val="24"/>
        </w:rPr>
        <w:t xml:space="preserve">in Kent </w:t>
      </w:r>
      <w:r w:rsidRPr="003176B9">
        <w:rPr>
          <w:rFonts w:ascii="Arial" w:hAnsi="Arial" w:cs="Arial"/>
          <w:color w:val="000000"/>
          <w:szCs w:val="24"/>
        </w:rPr>
        <w:t xml:space="preserve">and then </w:t>
      </w:r>
      <w:r>
        <w:rPr>
          <w:rFonts w:ascii="Arial" w:hAnsi="Arial" w:cs="Arial"/>
          <w:color w:val="000000"/>
          <w:szCs w:val="24"/>
        </w:rPr>
        <w:t xml:space="preserve">placing </w:t>
      </w:r>
      <w:r w:rsidRPr="003176B9">
        <w:rPr>
          <w:rFonts w:ascii="Arial" w:hAnsi="Arial" w:cs="Arial"/>
          <w:color w:val="000000"/>
          <w:szCs w:val="24"/>
        </w:rPr>
        <w:t xml:space="preserve">criminal or plea judges into the family law courtrooms. </w:t>
      </w:r>
    </w:p>
    <w:p w14:paraId="46FE1724" w14:textId="77777777" w:rsidR="00E2690C" w:rsidRDefault="00E2690C" w:rsidP="00E2690C">
      <w:pPr>
        <w:spacing w:line="264" w:lineRule="auto"/>
        <w:contextualSpacing/>
        <w:jc w:val="both"/>
        <w:rPr>
          <w:rFonts w:ascii="Arial" w:hAnsi="Arial" w:cs="Arial"/>
          <w:color w:val="000000"/>
          <w:szCs w:val="24"/>
        </w:rPr>
      </w:pPr>
    </w:p>
    <w:p w14:paraId="1CCA9580" w14:textId="3F239AA7" w:rsidR="00E2690C" w:rsidRDefault="00E2690C" w:rsidP="00E2690C">
      <w:pPr>
        <w:spacing w:line="264" w:lineRule="auto"/>
        <w:contextualSpacing/>
        <w:jc w:val="both"/>
        <w:rPr>
          <w:rFonts w:ascii="Arial" w:hAnsi="Arial" w:cs="Arial"/>
          <w:color w:val="000000" w:themeColor="text1"/>
          <w:szCs w:val="24"/>
        </w:rPr>
      </w:pPr>
      <w:r w:rsidRPr="62B9A504">
        <w:rPr>
          <w:rFonts w:ascii="Arial" w:hAnsi="Arial" w:cs="Arial"/>
          <w:color w:val="000000" w:themeColor="text1"/>
          <w:szCs w:val="24"/>
        </w:rPr>
        <w:t xml:space="preserve">The Superior Court reports that the proposed level of funding will result in impacts to criminal, civil, and family cases. At the </w:t>
      </w:r>
      <w:r w:rsidR="000935A8">
        <w:rPr>
          <w:rFonts w:ascii="Arial" w:hAnsi="Arial" w:cs="Arial"/>
          <w:color w:val="000000" w:themeColor="text1"/>
          <w:szCs w:val="24"/>
        </w:rPr>
        <w:t>e</w:t>
      </w:r>
      <w:r w:rsidRPr="62B9A504">
        <w:rPr>
          <w:rFonts w:ascii="Arial" w:hAnsi="Arial" w:cs="Arial"/>
          <w:color w:val="000000" w:themeColor="text1"/>
          <w:szCs w:val="24"/>
        </w:rPr>
        <w:t xml:space="preserve">xecutive’s proposed </w:t>
      </w:r>
      <w:r>
        <w:rPr>
          <w:rFonts w:ascii="Arial" w:hAnsi="Arial" w:cs="Arial"/>
          <w:color w:val="000000" w:themeColor="text1"/>
          <w:szCs w:val="24"/>
        </w:rPr>
        <w:t>appropriation</w:t>
      </w:r>
      <w:r w:rsidRPr="62B9A504">
        <w:rPr>
          <w:rFonts w:ascii="Arial" w:hAnsi="Arial" w:cs="Arial"/>
          <w:color w:val="000000" w:themeColor="text1"/>
          <w:szCs w:val="24"/>
        </w:rPr>
        <w:t xml:space="preserve"> level, the Court will have to move </w:t>
      </w:r>
      <w:r>
        <w:rPr>
          <w:rFonts w:ascii="Arial" w:hAnsi="Arial" w:cs="Arial"/>
          <w:color w:val="000000" w:themeColor="text1"/>
          <w:szCs w:val="24"/>
        </w:rPr>
        <w:t xml:space="preserve">multiple </w:t>
      </w:r>
      <w:r w:rsidRPr="62B9A504">
        <w:rPr>
          <w:rFonts w:ascii="Arial" w:hAnsi="Arial" w:cs="Arial"/>
          <w:color w:val="000000" w:themeColor="text1"/>
          <w:szCs w:val="24"/>
        </w:rPr>
        <w:t xml:space="preserve">judges in the Civil and Family Law Departments to the Criminal Department to address the backlog.  The Superior Court reports that it has already </w:t>
      </w:r>
      <w:r>
        <w:rPr>
          <w:rFonts w:ascii="Arial" w:hAnsi="Arial" w:cs="Arial"/>
          <w:color w:val="000000" w:themeColor="text1"/>
          <w:szCs w:val="24"/>
        </w:rPr>
        <w:t>begun this step (</w:t>
      </w:r>
      <w:r w:rsidRPr="62B9A504">
        <w:rPr>
          <w:rFonts w:ascii="Arial" w:hAnsi="Arial" w:cs="Arial"/>
          <w:color w:val="000000" w:themeColor="text1"/>
          <w:szCs w:val="24"/>
        </w:rPr>
        <w:t>shift</w:t>
      </w:r>
      <w:r>
        <w:rPr>
          <w:rFonts w:ascii="Arial" w:hAnsi="Arial" w:cs="Arial"/>
          <w:color w:val="000000" w:themeColor="text1"/>
          <w:szCs w:val="24"/>
        </w:rPr>
        <w:t>ing</w:t>
      </w:r>
      <w:r w:rsidRPr="62B9A504">
        <w:rPr>
          <w:rFonts w:ascii="Arial" w:hAnsi="Arial" w:cs="Arial"/>
          <w:color w:val="000000" w:themeColor="text1"/>
          <w:szCs w:val="24"/>
        </w:rPr>
        <w:t xml:space="preserve"> judges and associated staffing</w:t>
      </w:r>
      <w:r>
        <w:rPr>
          <w:rFonts w:ascii="Arial" w:hAnsi="Arial" w:cs="Arial"/>
          <w:color w:val="000000" w:themeColor="text1"/>
          <w:szCs w:val="24"/>
        </w:rPr>
        <w:t xml:space="preserve">) </w:t>
      </w:r>
      <w:r w:rsidRPr="62B9A504">
        <w:rPr>
          <w:rFonts w:ascii="Arial" w:hAnsi="Arial" w:cs="Arial"/>
          <w:color w:val="000000" w:themeColor="text1"/>
          <w:szCs w:val="24"/>
        </w:rPr>
        <w:t xml:space="preserve"> and as a result, Superior Court estimates that at the current rates roughly 540 civil and family cases </w:t>
      </w:r>
      <w:r>
        <w:rPr>
          <w:rFonts w:ascii="Arial" w:hAnsi="Arial" w:cs="Arial"/>
          <w:color w:val="000000" w:themeColor="text1"/>
          <w:szCs w:val="24"/>
        </w:rPr>
        <w:t xml:space="preserve">this coming </w:t>
      </w:r>
      <w:r w:rsidRPr="62B9A504">
        <w:rPr>
          <w:rFonts w:ascii="Arial" w:hAnsi="Arial" w:cs="Arial"/>
          <w:color w:val="000000" w:themeColor="text1"/>
          <w:szCs w:val="24"/>
        </w:rPr>
        <w:t xml:space="preserve"> year</w:t>
      </w:r>
      <w:r>
        <w:rPr>
          <w:rFonts w:ascii="Arial" w:hAnsi="Arial" w:cs="Arial"/>
          <w:color w:val="000000" w:themeColor="text1"/>
          <w:szCs w:val="24"/>
        </w:rPr>
        <w:t>.</w:t>
      </w:r>
      <w:r w:rsidRPr="62B9A504">
        <w:rPr>
          <w:rFonts w:ascii="Arial" w:hAnsi="Arial" w:cs="Arial"/>
          <w:color w:val="000000" w:themeColor="text1"/>
          <w:szCs w:val="24"/>
        </w:rPr>
        <w:t xml:space="preserve"> Relatedly, the Superior Court anticipates </w:t>
      </w:r>
      <w:r>
        <w:rPr>
          <w:rFonts w:ascii="Arial" w:hAnsi="Arial" w:cs="Arial"/>
          <w:color w:val="000000" w:themeColor="text1"/>
          <w:szCs w:val="24"/>
        </w:rPr>
        <w:t xml:space="preserve">that it will take </w:t>
      </w:r>
      <w:r w:rsidRPr="62B9A504">
        <w:rPr>
          <w:rFonts w:ascii="Arial" w:hAnsi="Arial" w:cs="Arial"/>
          <w:color w:val="000000" w:themeColor="text1"/>
          <w:szCs w:val="24"/>
        </w:rPr>
        <w:t xml:space="preserve">three times longer for motions on child custody or financial issues </w:t>
      </w:r>
      <w:r>
        <w:rPr>
          <w:rFonts w:ascii="Arial" w:hAnsi="Arial" w:cs="Arial"/>
          <w:color w:val="000000" w:themeColor="text1"/>
          <w:szCs w:val="24"/>
        </w:rPr>
        <w:t xml:space="preserve">to be heard </w:t>
      </w:r>
      <w:r w:rsidRPr="62B9A504">
        <w:rPr>
          <w:rFonts w:ascii="Arial" w:hAnsi="Arial" w:cs="Arial"/>
          <w:color w:val="000000" w:themeColor="text1"/>
          <w:szCs w:val="24"/>
        </w:rPr>
        <w:t>as judges are shifted out of family law. Additionally, Superior Court reports a delay in addressing the criminal backlog will result in extended times in the County jail resulting in increased costs to the County</w:t>
      </w:r>
      <w:r>
        <w:rPr>
          <w:rFonts w:ascii="Arial" w:hAnsi="Arial" w:cs="Arial"/>
          <w:color w:val="000000" w:themeColor="text1"/>
          <w:szCs w:val="24"/>
        </w:rPr>
        <w:t>.</w:t>
      </w:r>
      <w:r w:rsidRPr="62B9A504">
        <w:rPr>
          <w:rFonts w:ascii="Arial" w:hAnsi="Arial" w:cs="Arial"/>
          <w:color w:val="000000" w:themeColor="text1"/>
          <w:szCs w:val="24"/>
        </w:rPr>
        <w:t xml:space="preserve"> </w:t>
      </w:r>
      <w:r w:rsidRPr="62B9A504" w:rsidDel="00CF169B">
        <w:rPr>
          <w:rFonts w:ascii="Arial" w:hAnsi="Arial" w:cs="Arial"/>
          <w:color w:val="000000" w:themeColor="text1"/>
          <w:szCs w:val="24"/>
        </w:rPr>
        <w:t xml:space="preserve"> </w:t>
      </w:r>
    </w:p>
    <w:p w14:paraId="5977E1C8" w14:textId="77777777" w:rsidR="00E2690C" w:rsidRDefault="00E2690C" w:rsidP="00E2690C">
      <w:pPr>
        <w:spacing w:line="264" w:lineRule="auto"/>
        <w:contextualSpacing/>
        <w:jc w:val="both"/>
        <w:rPr>
          <w:rFonts w:ascii="Arial" w:eastAsia="Calibri" w:hAnsi="Arial" w:cs="Arial"/>
          <w:i/>
          <w:iCs/>
          <w:szCs w:val="24"/>
        </w:rPr>
      </w:pPr>
    </w:p>
    <w:p w14:paraId="671D9C15" w14:textId="5966AFC9" w:rsidR="00E2690C" w:rsidRDefault="00E2690C" w:rsidP="00E2690C">
      <w:pPr>
        <w:spacing w:line="264" w:lineRule="auto"/>
        <w:contextualSpacing/>
        <w:jc w:val="both"/>
        <w:rPr>
          <w:rFonts w:ascii="Arial" w:hAnsi="Arial" w:cs="Arial"/>
          <w:szCs w:val="24"/>
        </w:rPr>
      </w:pPr>
      <w:r w:rsidRPr="002C02B7">
        <w:rPr>
          <w:rFonts w:ascii="Arial" w:eastAsia="Calibri" w:hAnsi="Arial" w:cs="Arial"/>
          <w:b/>
          <w:bCs/>
          <w:i/>
          <w:iCs/>
          <w:szCs w:val="24"/>
        </w:rPr>
        <w:t>Department of Judicial Administration ($1,586,000 and 13.8 TLTs).</w:t>
      </w:r>
      <w:r>
        <w:rPr>
          <w:rFonts w:ascii="Arial" w:eastAsia="Calibri" w:hAnsi="Arial" w:cs="Arial"/>
          <w:i/>
          <w:iCs/>
          <w:szCs w:val="24"/>
        </w:rPr>
        <w:t xml:space="preserve">  </w:t>
      </w:r>
      <w:r>
        <w:rPr>
          <w:rFonts w:ascii="Arial" w:hAnsi="Arial" w:cs="Arial"/>
          <w:szCs w:val="24"/>
        </w:rPr>
        <w:t xml:space="preserve">The Department of Judicial Administration’s (DJA) budget request to the </w:t>
      </w:r>
      <w:r w:rsidR="000935A8">
        <w:rPr>
          <w:rFonts w:ascii="Arial" w:hAnsi="Arial" w:cs="Arial"/>
          <w:szCs w:val="24"/>
        </w:rPr>
        <w:t>e</w:t>
      </w:r>
      <w:r>
        <w:rPr>
          <w:rFonts w:ascii="Arial" w:hAnsi="Arial" w:cs="Arial"/>
          <w:szCs w:val="24"/>
        </w:rPr>
        <w:t>xecutive totaled almost $6 million for the period from August 2021 through December 2022. The request included clerks and other DJA staff necessary to support the additional trials and Court activity anticipated in the Superior Court’s request. The DJA’s request would also fund customer service positions and IT costs to support the increasing reliance of customers in using expanded electronic services.</w:t>
      </w:r>
    </w:p>
    <w:p w14:paraId="75F9B714" w14:textId="77777777" w:rsidR="00E2690C" w:rsidRPr="00D6415C" w:rsidRDefault="00E2690C" w:rsidP="00E2690C">
      <w:pPr>
        <w:spacing w:line="264" w:lineRule="auto"/>
        <w:contextualSpacing/>
        <w:jc w:val="both"/>
        <w:rPr>
          <w:rFonts w:ascii="Arial" w:eastAsia="Calibri" w:hAnsi="Arial" w:cs="Arial"/>
          <w:i/>
          <w:iCs/>
          <w:szCs w:val="24"/>
        </w:rPr>
      </w:pPr>
    </w:p>
    <w:p w14:paraId="07F17839" w14:textId="123AAF5D" w:rsidR="00E2690C" w:rsidRPr="00C140AA" w:rsidRDefault="00E2690C" w:rsidP="00E2690C">
      <w:pPr>
        <w:spacing w:line="264" w:lineRule="auto"/>
        <w:contextualSpacing/>
        <w:jc w:val="both"/>
        <w:rPr>
          <w:rFonts w:ascii="Arial" w:hAnsi="Arial" w:cs="Arial"/>
          <w:szCs w:val="24"/>
        </w:rPr>
      </w:pPr>
      <w:r>
        <w:rPr>
          <w:rFonts w:ascii="Arial" w:hAnsi="Arial" w:cs="Arial"/>
          <w:szCs w:val="24"/>
        </w:rPr>
        <w:t xml:space="preserve">The </w:t>
      </w:r>
      <w:r w:rsidR="000935A8">
        <w:rPr>
          <w:rFonts w:ascii="Arial" w:hAnsi="Arial" w:cs="Arial"/>
          <w:szCs w:val="24"/>
        </w:rPr>
        <w:t>e</w:t>
      </w:r>
      <w:r>
        <w:rPr>
          <w:rFonts w:ascii="Arial" w:hAnsi="Arial" w:cs="Arial"/>
          <w:szCs w:val="24"/>
        </w:rPr>
        <w:t xml:space="preserve">xecutive’s proposed supplemental appropriation of $1.6 million for DJA is less than DJA’s request. This reduction corresponds to the reduction in the Superior Court’s budget request.  </w:t>
      </w:r>
      <w:r w:rsidRPr="62B9A504">
        <w:rPr>
          <w:rFonts w:ascii="Arial" w:hAnsi="Arial" w:cs="Arial"/>
          <w:color w:val="000000" w:themeColor="text1"/>
          <w:szCs w:val="24"/>
        </w:rPr>
        <w:t xml:space="preserve">At the </w:t>
      </w:r>
      <w:r w:rsidR="000935A8">
        <w:rPr>
          <w:rFonts w:ascii="Arial" w:hAnsi="Arial" w:cs="Arial"/>
          <w:color w:val="000000" w:themeColor="text1"/>
          <w:szCs w:val="24"/>
        </w:rPr>
        <w:t>e</w:t>
      </w:r>
      <w:r w:rsidRPr="62B9A504">
        <w:rPr>
          <w:rFonts w:ascii="Arial" w:hAnsi="Arial" w:cs="Arial"/>
          <w:color w:val="000000" w:themeColor="text1"/>
          <w:szCs w:val="24"/>
        </w:rPr>
        <w:t>xecutive’s proposed appropriation level included in COVID 8,</w:t>
      </w:r>
      <w:r>
        <w:rPr>
          <w:rFonts w:ascii="Arial" w:hAnsi="Arial" w:cs="Arial"/>
          <w:color w:val="000000" w:themeColor="text1"/>
          <w:szCs w:val="24"/>
        </w:rPr>
        <w:t xml:space="preserve"> </w:t>
      </w:r>
      <w:r>
        <w:rPr>
          <w:rFonts w:ascii="Arial" w:hAnsi="Arial" w:cs="Arial"/>
          <w:szCs w:val="24"/>
        </w:rPr>
        <w:t xml:space="preserve">the DJA reports it will add staff to support the additional Superior Court judicial officers, staff the </w:t>
      </w:r>
      <w:r>
        <w:rPr>
          <w:rFonts w:ascii="Arial" w:hAnsi="Arial" w:cs="Arial"/>
          <w:szCs w:val="24"/>
        </w:rPr>
        <w:lastRenderedPageBreak/>
        <w:t xml:space="preserve">virtual protection office, maintain new technology related to increased electronic processes, and address other customer needs.  </w:t>
      </w:r>
    </w:p>
    <w:p w14:paraId="559DE338" w14:textId="77777777" w:rsidR="00E2690C" w:rsidRDefault="00E2690C" w:rsidP="00E2690C">
      <w:pPr>
        <w:spacing w:line="264" w:lineRule="auto"/>
        <w:contextualSpacing/>
        <w:jc w:val="both"/>
        <w:rPr>
          <w:rFonts w:ascii="Arial" w:hAnsi="Arial" w:cs="Arial"/>
          <w:i/>
          <w:iCs/>
          <w:szCs w:val="24"/>
        </w:rPr>
      </w:pPr>
    </w:p>
    <w:p w14:paraId="2522C43F" w14:textId="0B34CF1B" w:rsidR="00E2690C" w:rsidRPr="005A6E30" w:rsidRDefault="00E2690C" w:rsidP="00E2690C">
      <w:pPr>
        <w:spacing w:line="264" w:lineRule="auto"/>
        <w:contextualSpacing/>
        <w:jc w:val="both"/>
        <w:rPr>
          <w:rFonts w:ascii="Arial" w:hAnsi="Arial" w:cs="Arial"/>
          <w:i/>
          <w:iCs/>
          <w:szCs w:val="24"/>
        </w:rPr>
      </w:pPr>
      <w:r w:rsidRPr="002C02B7">
        <w:rPr>
          <w:rFonts w:ascii="Arial" w:hAnsi="Arial" w:cs="Arial"/>
          <w:b/>
          <w:bCs/>
          <w:i/>
          <w:iCs/>
          <w:szCs w:val="24"/>
        </w:rPr>
        <w:t xml:space="preserve">Prosecuting Attorney ($12,862,000 and 61.0 TLT positions).   </w:t>
      </w:r>
      <w:r>
        <w:rPr>
          <w:rFonts w:ascii="Arial" w:hAnsi="Arial" w:cs="Arial"/>
          <w:color w:val="000000"/>
          <w:szCs w:val="24"/>
        </w:rPr>
        <w:t xml:space="preserve">As described in the PAO’s May 7, 2021 budget request to the </w:t>
      </w:r>
      <w:r w:rsidR="000935A8">
        <w:rPr>
          <w:rFonts w:ascii="Arial" w:hAnsi="Arial" w:cs="Arial"/>
          <w:color w:val="000000"/>
          <w:szCs w:val="24"/>
        </w:rPr>
        <w:t>e</w:t>
      </w:r>
      <w:r>
        <w:rPr>
          <w:rFonts w:ascii="Arial" w:hAnsi="Arial" w:cs="Arial"/>
          <w:color w:val="000000"/>
          <w:szCs w:val="24"/>
        </w:rPr>
        <w:t xml:space="preserve">xecutive (Attachment </w:t>
      </w:r>
      <w:r w:rsidR="00262A00">
        <w:rPr>
          <w:rFonts w:ascii="Arial" w:hAnsi="Arial" w:cs="Arial"/>
          <w:color w:val="000000"/>
          <w:szCs w:val="24"/>
        </w:rPr>
        <w:t>7 to this staff report</w:t>
      </w:r>
      <w:r>
        <w:rPr>
          <w:rFonts w:ascii="Arial" w:hAnsi="Arial" w:cs="Arial"/>
          <w:color w:val="000000"/>
          <w:szCs w:val="24"/>
        </w:rPr>
        <w:t>), the PAO has identified the need for substantial resources ($72 million over three years) to address the criminal division’s pending and unfiled cases. The PAO reports that across the board the PAO trial attorneys and the staff that support trials are carrying twice the case load as prior to the pandemic. The PAO’s May 7</w:t>
      </w:r>
      <w:r w:rsidRPr="009571B0">
        <w:rPr>
          <w:rFonts w:ascii="Arial" w:hAnsi="Arial" w:cs="Arial"/>
          <w:color w:val="000000"/>
          <w:szCs w:val="24"/>
          <w:vertAlign w:val="superscript"/>
        </w:rPr>
        <w:t>th</w:t>
      </w:r>
      <w:r>
        <w:rPr>
          <w:rFonts w:ascii="Arial" w:hAnsi="Arial" w:cs="Arial"/>
          <w:color w:val="000000"/>
          <w:szCs w:val="24"/>
        </w:rPr>
        <w:t xml:space="preserve"> budget request to the </w:t>
      </w:r>
      <w:r w:rsidR="000935A8">
        <w:rPr>
          <w:rFonts w:ascii="Arial" w:hAnsi="Arial" w:cs="Arial"/>
          <w:color w:val="000000"/>
          <w:szCs w:val="24"/>
        </w:rPr>
        <w:t>e</w:t>
      </w:r>
      <w:r>
        <w:rPr>
          <w:rFonts w:ascii="Arial" w:hAnsi="Arial" w:cs="Arial"/>
          <w:color w:val="000000"/>
          <w:szCs w:val="24"/>
        </w:rPr>
        <w:t>xecutive identified a need for increased staffing and resources to address the COVID-19 backlog in the following areas:</w:t>
      </w:r>
    </w:p>
    <w:p w14:paraId="41CF63C0" w14:textId="77777777" w:rsidR="00E2690C" w:rsidRDefault="00E2690C" w:rsidP="00E2690C">
      <w:pPr>
        <w:spacing w:line="264" w:lineRule="auto"/>
        <w:ind w:firstLine="720"/>
        <w:contextualSpacing/>
        <w:jc w:val="both"/>
        <w:rPr>
          <w:rFonts w:ascii="Arial" w:hAnsi="Arial" w:cs="Arial"/>
          <w:color w:val="000000"/>
          <w:szCs w:val="24"/>
        </w:rPr>
      </w:pPr>
      <w:r>
        <w:rPr>
          <w:rFonts w:ascii="Arial" w:hAnsi="Arial" w:cs="Arial"/>
          <w:color w:val="000000"/>
          <w:szCs w:val="24"/>
        </w:rPr>
        <w:t xml:space="preserve"> </w:t>
      </w:r>
    </w:p>
    <w:p w14:paraId="4C32A5CD" w14:textId="77777777" w:rsidR="00E2690C" w:rsidRPr="004A3ADB" w:rsidRDefault="00E2690C" w:rsidP="00E2690C">
      <w:pPr>
        <w:pStyle w:val="ListParagraph0"/>
        <w:numPr>
          <w:ilvl w:val="0"/>
          <w:numId w:val="37"/>
        </w:numPr>
        <w:spacing w:line="264" w:lineRule="auto"/>
        <w:contextualSpacing/>
        <w:jc w:val="both"/>
        <w:rPr>
          <w:rFonts w:ascii="Arial" w:hAnsi="Arial" w:cs="Arial"/>
          <w:color w:val="000000"/>
        </w:rPr>
      </w:pPr>
      <w:r>
        <w:rPr>
          <w:rFonts w:ascii="Arial" w:hAnsi="Arial" w:cs="Arial"/>
          <w:color w:val="000000"/>
        </w:rPr>
        <w:t>Additional Superior Court trial capacity.</w:t>
      </w:r>
    </w:p>
    <w:p w14:paraId="4E0F7646" w14:textId="77777777" w:rsidR="00E2690C" w:rsidRPr="00DE26E0" w:rsidRDefault="00E2690C" w:rsidP="00E2690C">
      <w:pPr>
        <w:pStyle w:val="ListParagraph0"/>
        <w:numPr>
          <w:ilvl w:val="0"/>
          <w:numId w:val="37"/>
        </w:numPr>
        <w:spacing w:line="264" w:lineRule="auto"/>
        <w:contextualSpacing/>
        <w:jc w:val="both"/>
        <w:rPr>
          <w:rFonts w:ascii="Arial" w:hAnsi="Arial" w:cs="Arial"/>
          <w:color w:val="000000"/>
        </w:rPr>
      </w:pPr>
      <w:r>
        <w:rPr>
          <w:rFonts w:ascii="Arial" w:hAnsi="Arial" w:cs="Arial"/>
          <w:color w:val="000000"/>
        </w:rPr>
        <w:t>200 p</w:t>
      </w:r>
      <w:r w:rsidRPr="00DE26E0">
        <w:rPr>
          <w:rFonts w:ascii="Arial" w:hAnsi="Arial" w:cs="Arial"/>
          <w:color w:val="000000"/>
        </w:rPr>
        <w:t>ending homicide trials</w:t>
      </w:r>
      <w:r>
        <w:rPr>
          <w:rFonts w:ascii="Arial" w:hAnsi="Arial" w:cs="Arial"/>
          <w:color w:val="000000"/>
        </w:rPr>
        <w:t xml:space="preserve">. In addition to the backlog, PAO is continuing to respond to a sharp increase in homicides. In 2019, callouts for homicides were 90. As a comparison, in 2020, callouts increased to 146. As of June 29, 2021, callouts are already 71. </w:t>
      </w:r>
    </w:p>
    <w:p w14:paraId="42393C3D" w14:textId="77777777" w:rsidR="00E2690C" w:rsidRDefault="00E2690C" w:rsidP="00E2690C">
      <w:pPr>
        <w:pStyle w:val="ListParagraph0"/>
        <w:numPr>
          <w:ilvl w:val="0"/>
          <w:numId w:val="37"/>
        </w:numPr>
        <w:spacing w:line="264" w:lineRule="auto"/>
        <w:contextualSpacing/>
        <w:jc w:val="both"/>
        <w:rPr>
          <w:rFonts w:ascii="Arial" w:hAnsi="Arial" w:cs="Arial"/>
          <w:color w:val="000000"/>
        </w:rPr>
      </w:pPr>
      <w:r>
        <w:rPr>
          <w:rFonts w:ascii="Arial" w:hAnsi="Arial" w:cs="Arial"/>
          <w:color w:val="000000"/>
        </w:rPr>
        <w:t>A</w:t>
      </w:r>
      <w:r w:rsidRPr="00DE26E0">
        <w:rPr>
          <w:rFonts w:ascii="Arial" w:hAnsi="Arial" w:cs="Arial"/>
          <w:color w:val="000000"/>
        </w:rPr>
        <w:t>dditional plea capacity</w:t>
      </w:r>
      <w:r>
        <w:rPr>
          <w:rFonts w:ascii="Arial" w:hAnsi="Arial" w:cs="Arial"/>
          <w:color w:val="000000"/>
        </w:rPr>
        <w:t>. (On average, 75percent of all cases resolve with a plea to charges.)</w:t>
      </w:r>
    </w:p>
    <w:p w14:paraId="28C8BDB6" w14:textId="77777777" w:rsidR="00E2690C" w:rsidRPr="00C038AC" w:rsidRDefault="00E2690C" w:rsidP="00E2690C">
      <w:pPr>
        <w:pStyle w:val="ListParagraph0"/>
        <w:numPr>
          <w:ilvl w:val="0"/>
          <w:numId w:val="37"/>
        </w:numPr>
        <w:spacing w:line="264" w:lineRule="auto"/>
        <w:contextualSpacing/>
        <w:jc w:val="both"/>
        <w:rPr>
          <w:rFonts w:ascii="Arial" w:hAnsi="Arial" w:cs="Arial"/>
          <w:color w:val="000000"/>
        </w:rPr>
      </w:pPr>
      <w:r>
        <w:rPr>
          <w:rFonts w:ascii="Arial" w:hAnsi="Arial" w:cs="Arial"/>
          <w:color w:val="000000"/>
        </w:rPr>
        <w:t xml:space="preserve">3,066 (about 3,600 if you include cases ready to be filed and waiting) </w:t>
      </w:r>
      <w:r w:rsidRPr="00DE26E0">
        <w:rPr>
          <w:rFonts w:ascii="Arial" w:hAnsi="Arial" w:cs="Arial"/>
          <w:color w:val="000000"/>
        </w:rPr>
        <w:t xml:space="preserve">unfiled </w:t>
      </w:r>
      <w:r>
        <w:rPr>
          <w:rFonts w:ascii="Arial" w:hAnsi="Arial" w:cs="Arial"/>
          <w:color w:val="000000"/>
        </w:rPr>
        <w:t xml:space="preserve">felony </w:t>
      </w:r>
      <w:r w:rsidRPr="00DE26E0">
        <w:rPr>
          <w:rFonts w:ascii="Arial" w:hAnsi="Arial" w:cs="Arial"/>
          <w:color w:val="000000"/>
        </w:rPr>
        <w:t>cases</w:t>
      </w:r>
      <w:r>
        <w:rPr>
          <w:rFonts w:ascii="Arial" w:hAnsi="Arial" w:cs="Arial"/>
          <w:color w:val="000000"/>
        </w:rPr>
        <w:t xml:space="preserve">, which are largely property crimes.  </w:t>
      </w:r>
    </w:p>
    <w:p w14:paraId="3822C8E2" w14:textId="77777777" w:rsidR="00E2690C" w:rsidRPr="00DE26E0" w:rsidRDefault="00E2690C" w:rsidP="00E2690C">
      <w:pPr>
        <w:pStyle w:val="ListParagraph0"/>
        <w:numPr>
          <w:ilvl w:val="0"/>
          <w:numId w:val="37"/>
        </w:numPr>
        <w:spacing w:line="264" w:lineRule="auto"/>
        <w:contextualSpacing/>
        <w:jc w:val="both"/>
        <w:rPr>
          <w:rFonts w:ascii="Arial" w:hAnsi="Arial" w:cs="Arial"/>
          <w:color w:val="000000"/>
        </w:rPr>
      </w:pPr>
      <w:r>
        <w:rPr>
          <w:rFonts w:ascii="Arial" w:hAnsi="Arial" w:cs="Arial"/>
          <w:color w:val="000000"/>
        </w:rPr>
        <w:t>V</w:t>
      </w:r>
      <w:r w:rsidRPr="00DE26E0">
        <w:rPr>
          <w:rFonts w:ascii="Arial" w:hAnsi="Arial" w:cs="Arial"/>
          <w:color w:val="000000"/>
        </w:rPr>
        <w:t>ictim support</w:t>
      </w:r>
      <w:r>
        <w:rPr>
          <w:rFonts w:ascii="Arial" w:hAnsi="Arial" w:cs="Arial"/>
          <w:color w:val="000000"/>
        </w:rPr>
        <w:t>, including money to reimburse victims,</w:t>
      </w:r>
      <w:r w:rsidRPr="00DE26E0">
        <w:rPr>
          <w:rFonts w:ascii="Arial" w:hAnsi="Arial" w:cs="Arial"/>
          <w:color w:val="000000"/>
        </w:rPr>
        <w:t xml:space="preserve"> to clear out backlogged property crimes</w:t>
      </w:r>
      <w:r>
        <w:rPr>
          <w:rFonts w:ascii="Arial" w:hAnsi="Arial" w:cs="Arial"/>
          <w:color w:val="000000"/>
        </w:rPr>
        <w:t xml:space="preserve">. In some cases, if it were not for the out of pocket losses to the victim, the PAO may elect not to file charges and decline the case. </w:t>
      </w:r>
    </w:p>
    <w:p w14:paraId="298150CF" w14:textId="77777777" w:rsidR="00E2690C" w:rsidRPr="00BA5420" w:rsidRDefault="00E2690C" w:rsidP="00E2690C">
      <w:pPr>
        <w:pStyle w:val="ListParagraph0"/>
        <w:numPr>
          <w:ilvl w:val="0"/>
          <w:numId w:val="37"/>
        </w:numPr>
        <w:spacing w:line="264" w:lineRule="auto"/>
        <w:contextualSpacing/>
        <w:jc w:val="both"/>
        <w:rPr>
          <w:rFonts w:ascii="Arial" w:hAnsi="Arial" w:cs="Arial"/>
          <w:color w:val="000000"/>
        </w:rPr>
      </w:pPr>
      <w:r w:rsidRPr="00DE26E0">
        <w:rPr>
          <w:rFonts w:ascii="Arial" w:hAnsi="Arial" w:cs="Arial"/>
          <w:color w:val="000000"/>
        </w:rPr>
        <w:t>District Court</w:t>
      </w:r>
      <w:r>
        <w:rPr>
          <w:rFonts w:ascii="Arial" w:hAnsi="Arial" w:cs="Arial"/>
          <w:color w:val="000000"/>
        </w:rPr>
        <w:t xml:space="preserve">. In order to address pressing needs in Superior Court, some PAO resources have been shifted away from District Court. There are over 2,782 (plus over 600 more ready and awaiting filing) cases that need </w:t>
      </w:r>
      <w:r w:rsidRPr="00BA5420">
        <w:rPr>
          <w:rFonts w:ascii="Arial" w:hAnsi="Arial" w:cs="Arial"/>
          <w:color w:val="000000"/>
        </w:rPr>
        <w:t xml:space="preserve">to be reviewed for filing. </w:t>
      </w:r>
    </w:p>
    <w:p w14:paraId="6105CC58" w14:textId="259CC2B2" w:rsidR="00E2690C" w:rsidRPr="00966BF0" w:rsidRDefault="00E2690C" w:rsidP="00E2690C">
      <w:pPr>
        <w:pStyle w:val="ListParagraph0"/>
        <w:numPr>
          <w:ilvl w:val="0"/>
          <w:numId w:val="37"/>
        </w:numPr>
        <w:spacing w:line="264" w:lineRule="auto"/>
        <w:contextualSpacing/>
        <w:jc w:val="both"/>
        <w:rPr>
          <w:rFonts w:ascii="Arial" w:hAnsi="Arial" w:cs="Arial"/>
          <w:color w:val="000000"/>
        </w:rPr>
      </w:pPr>
      <w:r w:rsidRPr="00966BF0">
        <w:rPr>
          <w:rFonts w:ascii="Arial" w:hAnsi="Arial" w:cs="Arial"/>
          <w:color w:val="000000"/>
        </w:rPr>
        <w:t xml:space="preserve">Planned uptick in appellate work due to increase in complex and lengthier trials (due to court prioritizing homicide, </w:t>
      </w:r>
      <w:r w:rsidR="00332D53" w:rsidRPr="00966BF0">
        <w:rPr>
          <w:rFonts w:ascii="Arial" w:hAnsi="Arial" w:cs="Arial"/>
          <w:color w:val="000000"/>
        </w:rPr>
        <w:t>violence,</w:t>
      </w:r>
      <w:r w:rsidRPr="00966BF0">
        <w:rPr>
          <w:rFonts w:ascii="Arial" w:hAnsi="Arial" w:cs="Arial"/>
          <w:color w:val="000000"/>
        </w:rPr>
        <w:t xml:space="preserve"> and sex cases). </w:t>
      </w:r>
    </w:p>
    <w:p w14:paraId="367D402F" w14:textId="77777777" w:rsidR="00E2690C" w:rsidRDefault="00E2690C" w:rsidP="00E2690C">
      <w:pPr>
        <w:pStyle w:val="ListParagraph0"/>
        <w:numPr>
          <w:ilvl w:val="0"/>
          <w:numId w:val="37"/>
        </w:numPr>
        <w:spacing w:line="264" w:lineRule="auto"/>
        <w:contextualSpacing/>
        <w:jc w:val="both"/>
        <w:rPr>
          <w:rFonts w:ascii="Arial" w:hAnsi="Arial" w:cs="Arial"/>
          <w:color w:val="000000"/>
        </w:rPr>
      </w:pPr>
      <w:r>
        <w:rPr>
          <w:rFonts w:ascii="Arial" w:hAnsi="Arial" w:cs="Arial"/>
          <w:color w:val="000000"/>
        </w:rPr>
        <w:t>113 felony traffic cases and 16 traffic fatalities pending trial; additional felony traffic backlog of 55 cases pending review. This includes vehicular manslaughter and assault</w:t>
      </w:r>
    </w:p>
    <w:p w14:paraId="7E141A58" w14:textId="77777777" w:rsidR="00E2690C" w:rsidRPr="00966BF0" w:rsidRDefault="00E2690C" w:rsidP="00E2690C">
      <w:pPr>
        <w:pStyle w:val="ListParagraph0"/>
        <w:numPr>
          <w:ilvl w:val="0"/>
          <w:numId w:val="37"/>
        </w:numPr>
        <w:spacing w:line="264" w:lineRule="auto"/>
        <w:contextualSpacing/>
        <w:jc w:val="both"/>
        <w:rPr>
          <w:rFonts w:ascii="Arial" w:hAnsi="Arial" w:cs="Arial"/>
          <w:color w:val="000000"/>
        </w:rPr>
      </w:pPr>
      <w:r w:rsidRPr="00966BF0">
        <w:rPr>
          <w:rFonts w:ascii="Arial" w:hAnsi="Arial" w:cs="Arial"/>
          <w:color w:val="000000"/>
        </w:rPr>
        <w:t xml:space="preserve">First time DUI diversion pilot. DUI’s make up 65 percent of the District Court caseload, with a large majority of those first-time offenders who historically do not recidivate. PAO proposes exploring a diversion program for first time offenders with low </w:t>
      </w:r>
      <w:r>
        <w:rPr>
          <w:rFonts w:ascii="Arial" w:hAnsi="Arial" w:cs="Arial"/>
          <w:color w:val="000000"/>
        </w:rPr>
        <w:t>Blood Alcohol Content (</w:t>
      </w:r>
      <w:r w:rsidRPr="00966BF0">
        <w:rPr>
          <w:rFonts w:ascii="Arial" w:hAnsi="Arial" w:cs="Arial"/>
          <w:color w:val="000000"/>
        </w:rPr>
        <w:t>BAC</w:t>
      </w:r>
      <w:r>
        <w:rPr>
          <w:rFonts w:ascii="Arial" w:hAnsi="Arial" w:cs="Arial"/>
          <w:color w:val="000000"/>
        </w:rPr>
        <w:t>)</w:t>
      </w:r>
      <w:r w:rsidRPr="00966BF0">
        <w:rPr>
          <w:rFonts w:ascii="Arial" w:hAnsi="Arial" w:cs="Arial"/>
          <w:color w:val="000000"/>
        </w:rPr>
        <w:t xml:space="preserve"> levels to determine if it would be an effective way compared to traditional prosecution in the long term, as seen in other jurisdictions.</w:t>
      </w:r>
    </w:p>
    <w:p w14:paraId="6443A8EA" w14:textId="77777777" w:rsidR="00E2690C" w:rsidRPr="00DE26E0" w:rsidRDefault="00E2690C" w:rsidP="00E2690C">
      <w:pPr>
        <w:pStyle w:val="ListParagraph0"/>
        <w:numPr>
          <w:ilvl w:val="0"/>
          <w:numId w:val="37"/>
        </w:numPr>
        <w:spacing w:line="264" w:lineRule="auto"/>
        <w:contextualSpacing/>
        <w:jc w:val="both"/>
        <w:rPr>
          <w:rFonts w:ascii="Arial" w:hAnsi="Arial" w:cs="Arial"/>
          <w:color w:val="000000"/>
        </w:rPr>
      </w:pPr>
      <w:r>
        <w:rPr>
          <w:rFonts w:ascii="Arial" w:hAnsi="Arial" w:cs="Arial"/>
          <w:color w:val="000000"/>
        </w:rPr>
        <w:t xml:space="preserve">Protection Order Advocacy Program. This request includes the virtual technology platform to allow survivors to access critical information and services. </w:t>
      </w:r>
    </w:p>
    <w:p w14:paraId="12B3F818" w14:textId="77777777" w:rsidR="00E2690C" w:rsidRDefault="00E2690C" w:rsidP="00E2690C">
      <w:pPr>
        <w:spacing w:line="264" w:lineRule="auto"/>
        <w:contextualSpacing/>
        <w:jc w:val="both"/>
        <w:rPr>
          <w:rFonts w:ascii="Arial" w:hAnsi="Arial" w:cs="Arial"/>
          <w:color w:val="000000"/>
          <w:szCs w:val="24"/>
        </w:rPr>
      </w:pPr>
    </w:p>
    <w:p w14:paraId="1D417774" w14:textId="21F4CB5D" w:rsidR="00E2690C" w:rsidRDefault="00E2690C" w:rsidP="00E2690C">
      <w:pPr>
        <w:spacing w:line="264" w:lineRule="auto"/>
        <w:contextualSpacing/>
        <w:jc w:val="both"/>
        <w:rPr>
          <w:rFonts w:ascii="Arial" w:hAnsi="Arial" w:cs="Arial"/>
          <w:color w:val="000000"/>
          <w:szCs w:val="24"/>
        </w:rPr>
      </w:pPr>
      <w:r>
        <w:rPr>
          <w:rFonts w:ascii="Arial" w:hAnsi="Arial" w:cs="Arial"/>
          <w:color w:val="000000"/>
          <w:szCs w:val="24"/>
        </w:rPr>
        <w:lastRenderedPageBreak/>
        <w:t xml:space="preserve">The </w:t>
      </w:r>
      <w:r w:rsidR="000935A8">
        <w:rPr>
          <w:rFonts w:ascii="Arial" w:hAnsi="Arial" w:cs="Arial"/>
          <w:color w:val="000000"/>
          <w:szCs w:val="24"/>
        </w:rPr>
        <w:t>e</w:t>
      </w:r>
      <w:r>
        <w:rPr>
          <w:rFonts w:ascii="Arial" w:hAnsi="Arial" w:cs="Arial"/>
          <w:color w:val="000000"/>
          <w:szCs w:val="24"/>
        </w:rPr>
        <w:t xml:space="preserve">xecutive’s proposed supplemental appropriation for the PAO of $12.86 million is less than the PAO’s request. PSB reports the proposed  appropriation amount is intended to provide PAO the capacity to staff approximately 22 additional trials resulting from an additional four Superior Court trial judicial officers as well as addressing other priorities in the PAO’s request. Due to the reduced appropriation, the PAO will assess operational needs and decide in the coming weeks how to allocate the proposed appropriation among all of the above needs identified in their request to the </w:t>
      </w:r>
      <w:r w:rsidR="000935A8">
        <w:rPr>
          <w:rFonts w:ascii="Arial" w:hAnsi="Arial" w:cs="Arial"/>
          <w:color w:val="000000"/>
          <w:szCs w:val="24"/>
        </w:rPr>
        <w:t>e</w:t>
      </w:r>
      <w:r>
        <w:rPr>
          <w:rFonts w:ascii="Arial" w:hAnsi="Arial" w:cs="Arial"/>
          <w:color w:val="000000"/>
          <w:szCs w:val="24"/>
        </w:rPr>
        <w:t xml:space="preserve">xecutive. PAO reports their first priority will be addressing the most serious felonies in the backlog and getting those cases to trial, tackling the backlog of cases to be reviewed for filing, decline, or additional investigation and ramping up staffing for plea resolutions. </w:t>
      </w:r>
      <w:r w:rsidRPr="62B9A504">
        <w:rPr>
          <w:rFonts w:ascii="Arial" w:hAnsi="Arial" w:cs="Arial"/>
          <w:color w:val="000000" w:themeColor="text1"/>
          <w:szCs w:val="24"/>
        </w:rPr>
        <w:t xml:space="preserve">At the </w:t>
      </w:r>
      <w:r w:rsidR="000935A8">
        <w:rPr>
          <w:rFonts w:ascii="Arial" w:hAnsi="Arial" w:cs="Arial"/>
          <w:color w:val="000000" w:themeColor="text1"/>
          <w:szCs w:val="24"/>
        </w:rPr>
        <w:t>e</w:t>
      </w:r>
      <w:r w:rsidRPr="62B9A504">
        <w:rPr>
          <w:rFonts w:ascii="Arial" w:hAnsi="Arial" w:cs="Arial"/>
          <w:color w:val="000000" w:themeColor="text1"/>
          <w:szCs w:val="24"/>
        </w:rPr>
        <w:t>xecutive’s proposed appropriation level included in COVID 8,</w:t>
      </w:r>
      <w:r>
        <w:rPr>
          <w:rFonts w:ascii="Arial" w:hAnsi="Arial" w:cs="Arial"/>
          <w:color w:val="000000" w:themeColor="text1"/>
          <w:szCs w:val="24"/>
        </w:rPr>
        <w:t xml:space="preserve"> </w:t>
      </w:r>
      <w:r>
        <w:rPr>
          <w:rFonts w:ascii="Arial" w:hAnsi="Arial" w:cs="Arial"/>
          <w:color w:val="000000"/>
          <w:szCs w:val="24"/>
        </w:rPr>
        <w:t xml:space="preserve">PAO reports that it will be able to staff additional trial courts that become operational and that regardless of the number of additional trial courts available, it will still need the proposed supplemental appropriation to staff cases while awaiting trial and to staff efforts to reach plea resolutions. PAO also notes that at this less than planned proposed supplemental appropriation level, it is unlikely the PAO will have the resources to develop the DUI diversion program, and that additional resources will likely be necessary through 2026 to address the backlog of cases. </w:t>
      </w:r>
    </w:p>
    <w:p w14:paraId="73906299" w14:textId="77777777" w:rsidR="00E2690C" w:rsidRDefault="00E2690C" w:rsidP="00E2690C">
      <w:pPr>
        <w:spacing w:line="264" w:lineRule="auto"/>
        <w:contextualSpacing/>
        <w:jc w:val="both"/>
        <w:rPr>
          <w:rFonts w:ascii="Arial" w:hAnsi="Arial" w:cs="Arial"/>
          <w:color w:val="000000"/>
          <w:szCs w:val="24"/>
        </w:rPr>
      </w:pPr>
    </w:p>
    <w:p w14:paraId="05237009" w14:textId="5833BAED" w:rsidR="00E2690C" w:rsidRPr="00006C3B" w:rsidRDefault="00E2690C" w:rsidP="00E2690C">
      <w:pPr>
        <w:spacing w:line="264" w:lineRule="auto"/>
        <w:contextualSpacing/>
        <w:jc w:val="both"/>
        <w:rPr>
          <w:rFonts w:ascii="Arial" w:hAnsi="Arial" w:cs="Arial"/>
          <w:i/>
          <w:iCs/>
          <w:szCs w:val="24"/>
        </w:rPr>
      </w:pPr>
      <w:r w:rsidRPr="002C02B7">
        <w:rPr>
          <w:rFonts w:ascii="Arial" w:hAnsi="Arial" w:cs="Arial"/>
          <w:b/>
          <w:bCs/>
          <w:i/>
          <w:iCs/>
          <w:szCs w:val="24"/>
        </w:rPr>
        <w:t>Department of Public Defense ($10,661,000,</w:t>
      </w:r>
      <w:r w:rsidR="00262A00" w:rsidRPr="002C02B7">
        <w:rPr>
          <w:rFonts w:ascii="Arial" w:hAnsi="Arial" w:cs="Arial"/>
          <w:b/>
          <w:bCs/>
          <w:i/>
          <w:iCs/>
          <w:szCs w:val="24"/>
        </w:rPr>
        <w:t xml:space="preserve"> </w:t>
      </w:r>
      <w:r w:rsidRPr="002C02B7">
        <w:rPr>
          <w:rFonts w:ascii="Arial" w:hAnsi="Arial" w:cs="Arial"/>
          <w:b/>
          <w:bCs/>
          <w:i/>
          <w:iCs/>
          <w:szCs w:val="24"/>
        </w:rPr>
        <w:t>25.5 FTEs, 20.0 TLTs).</w:t>
      </w:r>
      <w:r>
        <w:rPr>
          <w:rFonts w:ascii="Arial" w:hAnsi="Arial" w:cs="Arial"/>
          <w:i/>
          <w:iCs/>
          <w:szCs w:val="24"/>
        </w:rPr>
        <w:t xml:space="preserve">  </w:t>
      </w:r>
      <w:r>
        <w:rPr>
          <w:rFonts w:ascii="Arial" w:hAnsi="Arial" w:cs="Arial"/>
          <w:color w:val="000000"/>
          <w:szCs w:val="24"/>
        </w:rPr>
        <w:t xml:space="preserve">DPD’s COVID 8 supplemental budget request to the </w:t>
      </w:r>
      <w:r w:rsidR="000935A8">
        <w:rPr>
          <w:rFonts w:ascii="Arial" w:hAnsi="Arial" w:cs="Arial"/>
          <w:color w:val="000000"/>
          <w:szCs w:val="24"/>
        </w:rPr>
        <w:t>e</w:t>
      </w:r>
      <w:r>
        <w:rPr>
          <w:rFonts w:ascii="Arial" w:hAnsi="Arial" w:cs="Arial"/>
          <w:color w:val="000000"/>
          <w:szCs w:val="24"/>
        </w:rPr>
        <w:t xml:space="preserve">xecutive included about $16.4 million to provide additional trial capacity to accommodate the six new trial judges requested by Superior Court, and to address an expected increase in filing from PAO’s backlog of unfiled cases. The </w:t>
      </w:r>
      <w:r w:rsidR="000935A8">
        <w:rPr>
          <w:rFonts w:ascii="Arial" w:hAnsi="Arial" w:cs="Arial"/>
          <w:color w:val="000000"/>
          <w:szCs w:val="24"/>
        </w:rPr>
        <w:t>e</w:t>
      </w:r>
      <w:r>
        <w:rPr>
          <w:rFonts w:ascii="Arial" w:hAnsi="Arial" w:cs="Arial"/>
          <w:color w:val="000000"/>
          <w:szCs w:val="24"/>
        </w:rPr>
        <w:t>xecutive’s proposed supplemental appropriation for DPD restores the 25.5 FTEs, scheduled to be eliminated in January 2021 as part of the biennial budget,  in order to provide DPD sufficient resources from September 2021 through December 2022 to address uncertainty in filings as a result of the COVID-19 pandemic, support roughly 22 additional serious felony trials (Class A) resulting from additional Superior Court trials, and expected cases from the backlog of unfiled referrals.</w:t>
      </w:r>
      <w:r w:rsidRPr="00976383">
        <w:rPr>
          <w:rFonts w:ascii="Arial" w:hAnsi="Arial" w:cs="Arial"/>
          <w:szCs w:val="24"/>
        </w:rPr>
        <w:t xml:space="preserve"> </w:t>
      </w:r>
      <w:r>
        <w:rPr>
          <w:rFonts w:ascii="Arial" w:hAnsi="Arial" w:cs="Arial"/>
          <w:szCs w:val="24"/>
        </w:rPr>
        <w:t xml:space="preserve">PSB reports that the proposed appropriation is intended to provide sufficient funding to allow DPD and PAO to maintain parity in funding for additional staffing to address the COVID backlog.  </w:t>
      </w:r>
    </w:p>
    <w:p w14:paraId="3B8DC4D7" w14:textId="77777777" w:rsidR="00E2690C" w:rsidRDefault="00E2690C" w:rsidP="00E2690C">
      <w:pPr>
        <w:spacing w:line="264" w:lineRule="auto"/>
        <w:contextualSpacing/>
        <w:jc w:val="both"/>
        <w:rPr>
          <w:rFonts w:ascii="Arial" w:hAnsi="Arial" w:cs="Arial"/>
          <w:color w:val="000000"/>
          <w:szCs w:val="24"/>
        </w:rPr>
      </w:pPr>
    </w:p>
    <w:p w14:paraId="48C52F17" w14:textId="2629EFD0" w:rsidR="00E2690C" w:rsidRDefault="00E2690C" w:rsidP="00E2690C">
      <w:pPr>
        <w:spacing w:line="264" w:lineRule="auto"/>
        <w:contextualSpacing/>
        <w:jc w:val="both"/>
        <w:rPr>
          <w:rFonts w:ascii="Arial" w:hAnsi="Arial" w:cs="Arial"/>
          <w:color w:val="000000"/>
          <w:szCs w:val="24"/>
        </w:rPr>
      </w:pPr>
      <w:r>
        <w:rPr>
          <w:rFonts w:ascii="Arial" w:hAnsi="Arial" w:cs="Arial"/>
          <w:color w:val="000000"/>
          <w:szCs w:val="24"/>
        </w:rPr>
        <w:t xml:space="preserve">DPD has experienced challenges recruiting qualified public defenders. </w:t>
      </w:r>
      <w:r w:rsidRPr="00E66CA8">
        <w:rPr>
          <w:rFonts w:ascii="Arial" w:hAnsi="Arial" w:cs="Arial"/>
          <w:color w:val="000000"/>
          <w:szCs w:val="24"/>
        </w:rPr>
        <w:t xml:space="preserve">In response to Council staff questions about the availability of additional staff, DPD reports </w:t>
      </w:r>
      <w:r>
        <w:rPr>
          <w:rFonts w:ascii="Arial" w:hAnsi="Arial" w:cs="Arial"/>
          <w:color w:val="000000"/>
          <w:szCs w:val="24"/>
        </w:rPr>
        <w:t>the following:</w:t>
      </w:r>
    </w:p>
    <w:p w14:paraId="31E1BA5B" w14:textId="77777777" w:rsidR="00462DCF" w:rsidRDefault="00462DCF" w:rsidP="00E2690C">
      <w:pPr>
        <w:spacing w:line="264" w:lineRule="auto"/>
        <w:contextualSpacing/>
        <w:jc w:val="both"/>
        <w:rPr>
          <w:rFonts w:ascii="Arial" w:hAnsi="Arial" w:cs="Arial"/>
          <w:color w:val="000000"/>
          <w:szCs w:val="24"/>
        </w:rPr>
      </w:pPr>
    </w:p>
    <w:p w14:paraId="4FAC6E08" w14:textId="77777777" w:rsidR="00E2690C" w:rsidRPr="0061065C" w:rsidRDefault="00E2690C" w:rsidP="00E2690C">
      <w:pPr>
        <w:spacing w:line="264" w:lineRule="auto"/>
        <w:ind w:left="720"/>
        <w:contextualSpacing/>
        <w:jc w:val="both"/>
        <w:rPr>
          <w:rFonts w:ascii="Arial" w:hAnsi="Arial" w:cs="Arial"/>
          <w:i/>
          <w:iCs/>
          <w:color w:val="000000"/>
          <w:szCs w:val="24"/>
        </w:rPr>
      </w:pPr>
      <w:r>
        <w:rPr>
          <w:rFonts w:ascii="Arial" w:hAnsi="Arial" w:cs="Arial"/>
          <w:color w:val="000000"/>
          <w:szCs w:val="24"/>
        </w:rPr>
        <w:t>“…</w:t>
      </w:r>
      <w:r w:rsidRPr="00E66CA8">
        <w:rPr>
          <w:rFonts w:ascii="Arial" w:hAnsi="Arial" w:cs="Arial"/>
          <w:color w:val="000000"/>
          <w:szCs w:val="24"/>
        </w:rPr>
        <w:t xml:space="preserve"> </w:t>
      </w:r>
      <w:r w:rsidRPr="0061065C">
        <w:rPr>
          <w:rFonts w:ascii="Arial" w:hAnsi="Arial" w:cs="Arial"/>
          <w:i/>
          <w:iCs/>
          <w:color w:val="000000"/>
          <w:szCs w:val="24"/>
        </w:rPr>
        <w:t xml:space="preserve">even with extensive recruiting efforts, DPD  is experiencing challenges finding qualified, experienced  attorneys for Class A felony trials and across all practice areas. This staffing shortfall is exacerbated by the additional assignments from Blake. DPD notes that adding funding to PAO and the Courts, leading to additional volume in and strain on the criminal legal system, combined with any failure to equivalently fund DPD will compound inefficiencies in the criminal legal system; in other words, giving the courts and prosecutor staff to move cases forward would have no impact unless DPD also has staff to work on those cases. Even with the tight labor market, DPD will continue to explore creative ways of hiring staff to an attempt to help resolve clients’ cases. Adding funding to the system is inherently harmful to BIPOC communities; funding the prosecutor and court and not the </w:t>
      </w:r>
      <w:r w:rsidRPr="0061065C">
        <w:rPr>
          <w:rFonts w:ascii="Arial" w:hAnsi="Arial" w:cs="Arial"/>
          <w:i/>
          <w:iCs/>
          <w:color w:val="000000"/>
          <w:szCs w:val="24"/>
        </w:rPr>
        <w:lastRenderedPageBreak/>
        <w:t>defense will magnify that harm and directly contravene the County’s commitment to equity and social justice.</w:t>
      </w:r>
      <w:r>
        <w:rPr>
          <w:rFonts w:ascii="Arial" w:hAnsi="Arial" w:cs="Arial"/>
          <w:i/>
          <w:iCs/>
          <w:color w:val="000000"/>
          <w:szCs w:val="24"/>
        </w:rPr>
        <w:t>”</w:t>
      </w:r>
      <w:r w:rsidRPr="0061065C">
        <w:rPr>
          <w:rFonts w:ascii="Arial" w:hAnsi="Arial" w:cs="Arial"/>
          <w:i/>
          <w:iCs/>
          <w:color w:val="000000"/>
          <w:szCs w:val="24"/>
        </w:rPr>
        <w:t xml:space="preserve"> </w:t>
      </w:r>
    </w:p>
    <w:p w14:paraId="2505F93B" w14:textId="77777777" w:rsidR="00E2690C" w:rsidRDefault="00E2690C" w:rsidP="00E2690C">
      <w:pPr>
        <w:spacing w:line="264" w:lineRule="auto"/>
        <w:contextualSpacing/>
        <w:jc w:val="both"/>
      </w:pPr>
    </w:p>
    <w:p w14:paraId="71371B7B" w14:textId="3F14CAD0" w:rsidR="00E2690C" w:rsidRDefault="00E2690C" w:rsidP="00E2690C">
      <w:pPr>
        <w:spacing w:line="264" w:lineRule="auto"/>
        <w:contextualSpacing/>
        <w:jc w:val="both"/>
        <w:rPr>
          <w:rFonts w:ascii="Arial" w:hAnsi="Arial" w:cs="Arial"/>
          <w:szCs w:val="24"/>
        </w:rPr>
      </w:pPr>
      <w:r w:rsidRPr="002C02B7">
        <w:rPr>
          <w:rFonts w:ascii="Arial" w:hAnsi="Arial" w:cs="Arial"/>
          <w:b/>
          <w:bCs/>
          <w:i/>
          <w:iCs/>
          <w:szCs w:val="24"/>
        </w:rPr>
        <w:t>District Court ($2,098,000 and 12 TLTs)</w:t>
      </w:r>
      <w:r w:rsidRPr="002C02B7">
        <w:rPr>
          <w:rFonts w:ascii="Arial" w:hAnsi="Arial" w:cs="Arial"/>
          <w:b/>
          <w:bCs/>
          <w:szCs w:val="24"/>
        </w:rPr>
        <w:t>.</w:t>
      </w:r>
      <w:r>
        <w:rPr>
          <w:rFonts w:ascii="Arial" w:hAnsi="Arial" w:cs="Arial"/>
          <w:szCs w:val="24"/>
        </w:rPr>
        <w:t xml:space="preserve">  District Court’s COVID 8 request</w:t>
      </w:r>
      <w:r w:rsidR="00564769">
        <w:rPr>
          <w:rFonts w:ascii="Arial" w:hAnsi="Arial" w:cs="Arial"/>
          <w:szCs w:val="24"/>
        </w:rPr>
        <w:t>s</w:t>
      </w:r>
      <w:r>
        <w:rPr>
          <w:rFonts w:ascii="Arial" w:hAnsi="Arial" w:cs="Arial"/>
          <w:szCs w:val="24"/>
        </w:rPr>
        <w:t xml:space="preserve"> to the </w:t>
      </w:r>
      <w:r w:rsidR="000935A8">
        <w:rPr>
          <w:rFonts w:ascii="Arial" w:hAnsi="Arial" w:cs="Arial"/>
          <w:szCs w:val="24"/>
        </w:rPr>
        <w:t>e</w:t>
      </w:r>
      <w:r>
        <w:rPr>
          <w:rFonts w:ascii="Arial" w:hAnsi="Arial" w:cs="Arial"/>
          <w:szCs w:val="24"/>
        </w:rPr>
        <w:t>xecutive included $15.4 million over three years to address the significant impact of the COVID-19 pandemic on District Court operations and the backlog of cases. The number of pending criminal cases has grown to 5,600 criminal cases as of May 2021.  In addition, as of May 2021 there are over 2,400 unfiled cases awaiting PAO review and approximately 600 cases ready for filing with the court over the next 60 days.</w:t>
      </w:r>
    </w:p>
    <w:p w14:paraId="6A262FB9" w14:textId="77777777" w:rsidR="00E2690C" w:rsidRDefault="00E2690C" w:rsidP="00E2690C">
      <w:pPr>
        <w:spacing w:line="264" w:lineRule="auto"/>
        <w:contextualSpacing/>
        <w:jc w:val="both"/>
        <w:rPr>
          <w:rFonts w:ascii="Arial" w:hAnsi="Arial" w:cs="Arial"/>
          <w:szCs w:val="24"/>
        </w:rPr>
      </w:pPr>
    </w:p>
    <w:p w14:paraId="5601B7BA" w14:textId="77777777" w:rsidR="00E2690C" w:rsidRDefault="00E2690C" w:rsidP="00E2690C">
      <w:pPr>
        <w:spacing w:line="264" w:lineRule="auto"/>
        <w:contextualSpacing/>
        <w:jc w:val="both"/>
        <w:rPr>
          <w:rFonts w:ascii="Arial" w:hAnsi="Arial" w:cs="Arial"/>
          <w:szCs w:val="24"/>
        </w:rPr>
      </w:pPr>
      <w:r>
        <w:rPr>
          <w:rFonts w:ascii="Arial" w:hAnsi="Arial" w:cs="Arial"/>
          <w:szCs w:val="24"/>
        </w:rPr>
        <w:t>The majority of existing District Court resources have been shifted to address the criminal case load</w:t>
      </w:r>
      <w:r>
        <w:rPr>
          <w:rStyle w:val="FootnoteReference"/>
          <w:rFonts w:ascii="Arial" w:hAnsi="Arial" w:cs="Arial"/>
          <w:szCs w:val="24"/>
        </w:rPr>
        <w:footnoteReference w:id="15"/>
      </w:r>
      <w:r>
        <w:rPr>
          <w:rFonts w:ascii="Arial" w:hAnsi="Arial" w:cs="Arial"/>
          <w:szCs w:val="24"/>
        </w:rPr>
        <w:t xml:space="preserve">.  To date, the court has not been able to set a civil jury trial since March 2020 for issues such as contract disputes, automobile accidents, and property damage.  Additionally, there have been no hearings for small claims cases filed after March 2020 and the Dispute Resolution Contract that helps to mediate these disputes has been suspended since January 2021 due to a lack of funds resulting, in part, from the court’s inability to timely process new claims.  </w:t>
      </w:r>
    </w:p>
    <w:p w14:paraId="1AF24D83" w14:textId="77777777" w:rsidR="00E2690C" w:rsidRDefault="00E2690C" w:rsidP="00E2690C">
      <w:pPr>
        <w:spacing w:line="264" w:lineRule="auto"/>
        <w:contextualSpacing/>
        <w:jc w:val="both"/>
        <w:rPr>
          <w:rFonts w:ascii="Arial" w:hAnsi="Arial" w:cs="Arial"/>
          <w:szCs w:val="24"/>
        </w:rPr>
      </w:pPr>
    </w:p>
    <w:p w14:paraId="5C94667E" w14:textId="77777777" w:rsidR="00E2690C" w:rsidRDefault="00E2690C" w:rsidP="00E2690C">
      <w:pPr>
        <w:spacing w:line="264" w:lineRule="auto"/>
        <w:contextualSpacing/>
        <w:jc w:val="both"/>
        <w:rPr>
          <w:rFonts w:ascii="Arial" w:hAnsi="Arial" w:cs="Arial"/>
          <w:szCs w:val="24"/>
        </w:rPr>
      </w:pPr>
      <w:r>
        <w:rPr>
          <w:rFonts w:ascii="Arial" w:hAnsi="Arial" w:cs="Arial"/>
          <w:szCs w:val="24"/>
        </w:rPr>
        <w:t>There is a backlog of about 9,000 traffic infractions and growing, and District Court reports it cannot catch up without additional calendars. These cases may be dismissed due to the lack of discovery being provided by the PAO and the court’s continued inability to set them for timely hearings. District Court also has MOUs with school districts to handle school bus camera tickets which bring revenue into the County. As school resumes in the fall, District Court will not be able to honor those agreements without additional calendar resources.</w:t>
      </w:r>
    </w:p>
    <w:p w14:paraId="442CC9B0" w14:textId="77777777" w:rsidR="00E2690C" w:rsidRDefault="00E2690C" w:rsidP="00E2690C">
      <w:pPr>
        <w:spacing w:line="264" w:lineRule="auto"/>
        <w:contextualSpacing/>
        <w:jc w:val="both"/>
        <w:rPr>
          <w:rFonts w:ascii="Arial" w:hAnsi="Arial" w:cs="Arial"/>
          <w:szCs w:val="24"/>
        </w:rPr>
      </w:pPr>
    </w:p>
    <w:p w14:paraId="05423D95" w14:textId="494A63B5" w:rsidR="00E2690C" w:rsidRDefault="00E2690C" w:rsidP="00E2690C">
      <w:pPr>
        <w:spacing w:line="264" w:lineRule="auto"/>
        <w:contextualSpacing/>
        <w:jc w:val="both"/>
        <w:rPr>
          <w:rFonts w:ascii="Arial" w:hAnsi="Arial" w:cs="Arial"/>
          <w:szCs w:val="24"/>
        </w:rPr>
      </w:pPr>
      <w:r>
        <w:rPr>
          <w:rFonts w:ascii="Arial" w:hAnsi="Arial" w:cs="Arial"/>
          <w:szCs w:val="24"/>
        </w:rPr>
        <w:t xml:space="preserve">District Court’s COVID 8 request included funding </w:t>
      </w:r>
      <w:r w:rsidRPr="0004187B">
        <w:rPr>
          <w:rFonts w:ascii="Arial" w:hAnsi="Arial" w:cs="Arial"/>
          <w:szCs w:val="24"/>
        </w:rPr>
        <w:t xml:space="preserve">to add night court and Saturday calendars to address the small claims and infraction matters while maximizing calendar space for criminal matters and protection orders. </w:t>
      </w:r>
      <w:r>
        <w:rPr>
          <w:rFonts w:ascii="Arial" w:hAnsi="Arial" w:cs="Arial"/>
          <w:szCs w:val="24"/>
        </w:rPr>
        <w:t xml:space="preserve">District Court reports without the requested funding its </w:t>
      </w:r>
      <w:r w:rsidRPr="0004187B">
        <w:rPr>
          <w:rFonts w:ascii="Arial" w:hAnsi="Arial" w:cs="Arial"/>
          <w:szCs w:val="24"/>
        </w:rPr>
        <w:t xml:space="preserve">ability to set many of these cases for hearings </w:t>
      </w:r>
      <w:r>
        <w:rPr>
          <w:rFonts w:ascii="Arial" w:hAnsi="Arial" w:cs="Arial"/>
          <w:szCs w:val="24"/>
        </w:rPr>
        <w:t>in a timely way would be</w:t>
      </w:r>
      <w:r w:rsidRPr="0004187B">
        <w:rPr>
          <w:rFonts w:ascii="Arial" w:hAnsi="Arial" w:cs="Arial"/>
          <w:szCs w:val="24"/>
        </w:rPr>
        <w:t xml:space="preserve"> limited. </w:t>
      </w:r>
      <w:r>
        <w:rPr>
          <w:rFonts w:ascii="Arial" w:hAnsi="Arial" w:cs="Arial"/>
          <w:szCs w:val="24"/>
        </w:rPr>
        <w:t xml:space="preserve">District Court’s COVID 8 </w:t>
      </w:r>
      <w:r w:rsidR="00564769">
        <w:rPr>
          <w:rFonts w:ascii="Arial" w:hAnsi="Arial" w:cs="Arial"/>
          <w:szCs w:val="24"/>
        </w:rPr>
        <w:t>requests</w:t>
      </w:r>
      <w:r>
        <w:rPr>
          <w:rFonts w:ascii="Arial" w:hAnsi="Arial" w:cs="Arial"/>
          <w:szCs w:val="24"/>
        </w:rPr>
        <w:t xml:space="preserve"> </w:t>
      </w:r>
      <w:r w:rsidRPr="0004187B">
        <w:rPr>
          <w:rFonts w:ascii="Arial" w:hAnsi="Arial" w:cs="Arial"/>
          <w:szCs w:val="24"/>
        </w:rPr>
        <w:t xml:space="preserve">also </w:t>
      </w:r>
      <w:r>
        <w:rPr>
          <w:rFonts w:ascii="Arial" w:hAnsi="Arial" w:cs="Arial"/>
          <w:szCs w:val="24"/>
        </w:rPr>
        <w:t>included</w:t>
      </w:r>
      <w:r w:rsidRPr="0004187B">
        <w:rPr>
          <w:rFonts w:ascii="Arial" w:hAnsi="Arial" w:cs="Arial"/>
          <w:szCs w:val="24"/>
        </w:rPr>
        <w:t xml:space="preserve"> overtime (as must be offered per the clerks’ CBA), hir</w:t>
      </w:r>
      <w:r>
        <w:rPr>
          <w:rFonts w:ascii="Arial" w:hAnsi="Arial" w:cs="Arial"/>
          <w:szCs w:val="24"/>
        </w:rPr>
        <w:t>ing</w:t>
      </w:r>
      <w:r w:rsidRPr="0004187B">
        <w:rPr>
          <w:rFonts w:ascii="Arial" w:hAnsi="Arial" w:cs="Arial"/>
          <w:szCs w:val="24"/>
        </w:rPr>
        <w:t xml:space="preserve"> Dispute Resolution back to resume small claims cases,  hir</w:t>
      </w:r>
      <w:r>
        <w:rPr>
          <w:rFonts w:ascii="Arial" w:hAnsi="Arial" w:cs="Arial"/>
          <w:szCs w:val="24"/>
        </w:rPr>
        <w:t>ing</w:t>
      </w:r>
      <w:r w:rsidRPr="0004187B">
        <w:rPr>
          <w:rFonts w:ascii="Arial" w:hAnsi="Arial" w:cs="Arial"/>
          <w:szCs w:val="24"/>
        </w:rPr>
        <w:t xml:space="preserve"> TLT staff, IT</w:t>
      </w:r>
      <w:r>
        <w:rPr>
          <w:rFonts w:ascii="Arial" w:hAnsi="Arial" w:cs="Arial"/>
          <w:szCs w:val="24"/>
        </w:rPr>
        <w:t xml:space="preserve"> costs</w:t>
      </w:r>
      <w:r w:rsidRPr="0004187B">
        <w:rPr>
          <w:rFonts w:ascii="Arial" w:hAnsi="Arial" w:cs="Arial"/>
          <w:szCs w:val="24"/>
        </w:rPr>
        <w:t xml:space="preserve">, and </w:t>
      </w:r>
      <w:r>
        <w:rPr>
          <w:rFonts w:ascii="Arial" w:hAnsi="Arial" w:cs="Arial"/>
          <w:szCs w:val="24"/>
        </w:rPr>
        <w:t xml:space="preserve">four </w:t>
      </w:r>
      <w:r w:rsidRPr="0004187B">
        <w:rPr>
          <w:rFonts w:ascii="Arial" w:hAnsi="Arial" w:cs="Arial"/>
          <w:szCs w:val="24"/>
        </w:rPr>
        <w:t xml:space="preserve">judicial officers and commissioners to support the expanded operations. The </w:t>
      </w:r>
      <w:r>
        <w:rPr>
          <w:rFonts w:ascii="Arial" w:hAnsi="Arial" w:cs="Arial"/>
          <w:szCs w:val="24"/>
        </w:rPr>
        <w:t xml:space="preserve">request </w:t>
      </w:r>
      <w:r w:rsidRPr="0004187B">
        <w:rPr>
          <w:rFonts w:ascii="Arial" w:hAnsi="Arial" w:cs="Arial"/>
          <w:szCs w:val="24"/>
        </w:rPr>
        <w:t xml:space="preserve">also </w:t>
      </w:r>
      <w:r>
        <w:rPr>
          <w:rFonts w:ascii="Arial" w:hAnsi="Arial" w:cs="Arial"/>
          <w:szCs w:val="24"/>
        </w:rPr>
        <w:t xml:space="preserve">included </w:t>
      </w:r>
      <w:r w:rsidRPr="0004187B">
        <w:rPr>
          <w:rFonts w:ascii="Arial" w:hAnsi="Arial" w:cs="Arial"/>
          <w:szCs w:val="24"/>
        </w:rPr>
        <w:t xml:space="preserve">additional security and other overhead costs to cover expanded court hours.  </w:t>
      </w:r>
    </w:p>
    <w:p w14:paraId="59412C08" w14:textId="77777777" w:rsidR="00E2690C" w:rsidRDefault="00E2690C" w:rsidP="00E2690C">
      <w:pPr>
        <w:spacing w:line="264" w:lineRule="auto"/>
        <w:contextualSpacing/>
        <w:jc w:val="both"/>
        <w:rPr>
          <w:rFonts w:ascii="Arial" w:hAnsi="Arial" w:cs="Arial"/>
          <w:szCs w:val="24"/>
        </w:rPr>
      </w:pPr>
    </w:p>
    <w:p w14:paraId="344323DF" w14:textId="6E6A6F5B" w:rsidR="00E2690C" w:rsidRDefault="00E2690C" w:rsidP="00E2690C">
      <w:pPr>
        <w:spacing w:line="264" w:lineRule="auto"/>
        <w:contextualSpacing/>
        <w:jc w:val="both"/>
      </w:pPr>
      <w:r>
        <w:rPr>
          <w:rFonts w:ascii="Arial" w:hAnsi="Arial" w:cs="Arial"/>
          <w:color w:val="000000"/>
          <w:szCs w:val="24"/>
        </w:rPr>
        <w:t xml:space="preserve">The </w:t>
      </w:r>
      <w:r w:rsidR="000935A8">
        <w:rPr>
          <w:rFonts w:ascii="Arial" w:hAnsi="Arial" w:cs="Arial"/>
          <w:color w:val="000000"/>
          <w:szCs w:val="24"/>
        </w:rPr>
        <w:t>e</w:t>
      </w:r>
      <w:r>
        <w:rPr>
          <w:rFonts w:ascii="Arial" w:hAnsi="Arial" w:cs="Arial"/>
          <w:color w:val="000000"/>
          <w:szCs w:val="24"/>
        </w:rPr>
        <w:t xml:space="preserve">xecutive’s proposed supplemental appropriation of $2.1 million for District Court is less than the District Court’s request. </w:t>
      </w:r>
      <w:r>
        <w:rPr>
          <w:rFonts w:ascii="Arial" w:hAnsi="Arial" w:cs="Arial"/>
          <w:szCs w:val="24"/>
        </w:rPr>
        <w:t xml:space="preserve">District Court is reviewing which services it may be able to provide within the </w:t>
      </w:r>
      <w:r w:rsidR="000935A8">
        <w:rPr>
          <w:rFonts w:ascii="Arial" w:hAnsi="Arial" w:cs="Arial"/>
          <w:szCs w:val="24"/>
        </w:rPr>
        <w:t>e</w:t>
      </w:r>
      <w:r>
        <w:rPr>
          <w:rFonts w:ascii="Arial" w:hAnsi="Arial" w:cs="Arial"/>
          <w:szCs w:val="24"/>
        </w:rPr>
        <w:t>xecutive’s proposed appropriation level, but District Court reports it is clear a number of case types will need to be put on hold or dismissed to meet the criminal case load demands.</w:t>
      </w:r>
    </w:p>
    <w:p w14:paraId="0EC3EA3F" w14:textId="77777777" w:rsidR="00E2690C" w:rsidRPr="00DA33BE" w:rsidRDefault="00E2690C" w:rsidP="00E2690C">
      <w:pPr>
        <w:spacing w:line="264" w:lineRule="auto"/>
        <w:contextualSpacing/>
        <w:jc w:val="both"/>
        <w:rPr>
          <w:rFonts w:ascii="Arial" w:hAnsi="Arial" w:cs="Arial"/>
          <w:szCs w:val="24"/>
        </w:rPr>
      </w:pPr>
    </w:p>
    <w:p w14:paraId="31A78E48" w14:textId="68269A38" w:rsidR="00425776" w:rsidRDefault="001E6800" w:rsidP="00407FB5">
      <w:pPr>
        <w:spacing w:line="264" w:lineRule="auto"/>
        <w:jc w:val="both"/>
        <w:rPr>
          <w:rFonts w:ascii="Arial" w:hAnsi="Arial" w:cs="Arial"/>
          <w:bCs/>
          <w:szCs w:val="24"/>
        </w:rPr>
      </w:pPr>
      <w:r>
        <w:rPr>
          <w:rFonts w:ascii="Arial" w:hAnsi="Arial" w:cs="Arial"/>
          <w:b/>
          <w:szCs w:val="24"/>
        </w:rPr>
        <w:t>Proposed Appropriations Supported by ARPA CLFRF</w:t>
      </w:r>
      <w:r w:rsidR="007C3AB6">
        <w:rPr>
          <w:rFonts w:ascii="Arial" w:hAnsi="Arial" w:cs="Arial"/>
          <w:b/>
          <w:szCs w:val="24"/>
        </w:rPr>
        <w:t xml:space="preserve"> (excluding Legal System Backlog)</w:t>
      </w:r>
      <w:r w:rsidR="00425776" w:rsidRPr="00425776">
        <w:rPr>
          <w:rFonts w:ascii="Arial" w:hAnsi="Arial" w:cs="Arial"/>
          <w:b/>
          <w:szCs w:val="24"/>
        </w:rPr>
        <w:t>.</w:t>
      </w:r>
      <w:r w:rsidR="00425776">
        <w:rPr>
          <w:rFonts w:ascii="Arial" w:hAnsi="Arial" w:cs="Arial"/>
          <w:bCs/>
          <w:szCs w:val="24"/>
        </w:rPr>
        <w:t xml:space="preserve">   </w:t>
      </w:r>
      <w:r w:rsidR="00661BD6">
        <w:rPr>
          <w:rFonts w:ascii="Arial" w:hAnsi="Arial" w:cs="Arial"/>
          <w:bCs/>
          <w:szCs w:val="24"/>
        </w:rPr>
        <w:t xml:space="preserve">COVID </w:t>
      </w:r>
      <w:r>
        <w:rPr>
          <w:rFonts w:ascii="Arial" w:hAnsi="Arial" w:cs="Arial"/>
          <w:bCs/>
          <w:szCs w:val="24"/>
        </w:rPr>
        <w:t>8</w:t>
      </w:r>
      <w:r w:rsidR="00661BD6">
        <w:rPr>
          <w:rFonts w:ascii="Arial" w:hAnsi="Arial" w:cs="Arial"/>
          <w:bCs/>
          <w:szCs w:val="24"/>
        </w:rPr>
        <w:t xml:space="preserve"> </w:t>
      </w:r>
      <w:r w:rsidR="004F4850">
        <w:rPr>
          <w:rFonts w:ascii="Arial" w:hAnsi="Arial" w:cs="Arial"/>
          <w:bCs/>
          <w:szCs w:val="24"/>
        </w:rPr>
        <w:t xml:space="preserve">would appropriate </w:t>
      </w:r>
      <w:r w:rsidR="004F4850" w:rsidRPr="001D1A7E">
        <w:rPr>
          <w:rFonts w:ascii="Arial" w:hAnsi="Arial" w:cs="Arial"/>
          <w:bCs/>
          <w:color w:val="C0504D" w:themeColor="accent2"/>
          <w:szCs w:val="24"/>
        </w:rPr>
        <w:t>$</w:t>
      </w:r>
      <w:r w:rsidR="009A0975" w:rsidRPr="001D1A7E">
        <w:rPr>
          <w:rFonts w:ascii="Arial" w:hAnsi="Arial" w:cs="Arial"/>
          <w:bCs/>
          <w:color w:val="C0504D" w:themeColor="accent2"/>
          <w:szCs w:val="24"/>
        </w:rPr>
        <w:t>3</w:t>
      </w:r>
      <w:r w:rsidR="0037405D" w:rsidRPr="001D1A7E">
        <w:rPr>
          <w:rFonts w:ascii="Arial" w:hAnsi="Arial" w:cs="Arial"/>
          <w:bCs/>
          <w:color w:val="C0504D" w:themeColor="accent2"/>
          <w:szCs w:val="24"/>
        </w:rPr>
        <w:t>9</w:t>
      </w:r>
      <w:r w:rsidR="009A0975" w:rsidRPr="001D1A7E">
        <w:rPr>
          <w:rFonts w:ascii="Arial" w:hAnsi="Arial" w:cs="Arial"/>
          <w:bCs/>
          <w:color w:val="C0504D" w:themeColor="accent2"/>
          <w:szCs w:val="24"/>
        </w:rPr>
        <w:t>.</w:t>
      </w:r>
      <w:r w:rsidR="0037405D" w:rsidRPr="001D1A7E">
        <w:rPr>
          <w:rFonts w:ascii="Arial" w:hAnsi="Arial" w:cs="Arial"/>
          <w:bCs/>
          <w:color w:val="C0504D" w:themeColor="accent2"/>
          <w:szCs w:val="24"/>
        </w:rPr>
        <w:t>2</w:t>
      </w:r>
      <w:r w:rsidR="004F4850" w:rsidRPr="001D1A7E">
        <w:rPr>
          <w:rFonts w:ascii="Arial" w:hAnsi="Arial" w:cs="Arial"/>
          <w:bCs/>
          <w:color w:val="C0504D" w:themeColor="accent2"/>
          <w:szCs w:val="24"/>
        </w:rPr>
        <w:t xml:space="preserve"> </w:t>
      </w:r>
      <w:r w:rsidR="004F4850">
        <w:rPr>
          <w:rFonts w:ascii="Arial" w:hAnsi="Arial" w:cs="Arial"/>
          <w:bCs/>
          <w:szCs w:val="24"/>
        </w:rPr>
        <w:t xml:space="preserve">million </w:t>
      </w:r>
      <w:r w:rsidR="009A0975">
        <w:rPr>
          <w:rFonts w:ascii="Arial" w:hAnsi="Arial" w:cs="Arial"/>
          <w:bCs/>
          <w:szCs w:val="24"/>
        </w:rPr>
        <w:t xml:space="preserve">of ARPA CLFRF moneys </w:t>
      </w:r>
      <w:r w:rsidR="00971A95">
        <w:rPr>
          <w:rFonts w:ascii="Arial" w:hAnsi="Arial" w:cs="Arial"/>
          <w:bCs/>
          <w:szCs w:val="24"/>
        </w:rPr>
        <w:t xml:space="preserve">to support the public health response </w:t>
      </w:r>
      <w:r w:rsidR="00971A95" w:rsidRPr="00971A95">
        <w:rPr>
          <w:rFonts w:ascii="Arial" w:hAnsi="Arial" w:cs="Arial"/>
          <w:bCs/>
          <w:szCs w:val="24"/>
        </w:rPr>
        <w:t>to the pandemic</w:t>
      </w:r>
      <w:r w:rsidR="00971A95">
        <w:rPr>
          <w:rFonts w:ascii="Arial" w:hAnsi="Arial" w:cs="Arial"/>
          <w:bCs/>
          <w:szCs w:val="24"/>
        </w:rPr>
        <w:t xml:space="preserve">, civil legal aid, immigrant community supports, economic recovery and workforce development, and county operations in response to the pandemic. </w:t>
      </w:r>
      <w:r w:rsidR="004F4850">
        <w:rPr>
          <w:rFonts w:ascii="Arial" w:hAnsi="Arial" w:cs="Arial"/>
          <w:bCs/>
          <w:szCs w:val="24"/>
        </w:rPr>
        <w:t>Table 3 below provides a summary of the proposed appropriations and t</w:t>
      </w:r>
      <w:r w:rsidR="000C026E">
        <w:rPr>
          <w:rFonts w:ascii="Arial" w:hAnsi="Arial" w:cs="Arial"/>
          <w:bCs/>
          <w:szCs w:val="24"/>
        </w:rPr>
        <w:t>he</w:t>
      </w:r>
      <w:r w:rsidR="009C1609">
        <w:rPr>
          <w:rFonts w:ascii="Arial" w:hAnsi="Arial" w:cs="Arial"/>
          <w:bCs/>
          <w:szCs w:val="24"/>
        </w:rPr>
        <w:t xml:space="preserve"> </w:t>
      </w:r>
      <w:r w:rsidR="004F4850">
        <w:rPr>
          <w:rFonts w:ascii="Arial" w:hAnsi="Arial" w:cs="Arial"/>
          <w:bCs/>
          <w:szCs w:val="24"/>
        </w:rPr>
        <w:t xml:space="preserve">subsequent </w:t>
      </w:r>
      <w:r w:rsidR="009C1609">
        <w:rPr>
          <w:rFonts w:ascii="Arial" w:hAnsi="Arial" w:cs="Arial"/>
          <w:bCs/>
          <w:szCs w:val="24"/>
        </w:rPr>
        <w:t xml:space="preserve">subsections </w:t>
      </w:r>
      <w:r w:rsidR="000C026E">
        <w:rPr>
          <w:rFonts w:ascii="Arial" w:hAnsi="Arial" w:cs="Arial"/>
          <w:bCs/>
          <w:szCs w:val="24"/>
        </w:rPr>
        <w:t xml:space="preserve">provide </w:t>
      </w:r>
      <w:r w:rsidR="009C1609">
        <w:rPr>
          <w:rFonts w:ascii="Arial" w:hAnsi="Arial" w:cs="Arial"/>
          <w:bCs/>
          <w:szCs w:val="24"/>
        </w:rPr>
        <w:t>additional analysis for some of the appropriation items.</w:t>
      </w:r>
    </w:p>
    <w:p w14:paraId="3E4FAAE6" w14:textId="77777777" w:rsidR="00407FB5" w:rsidRPr="00425776" w:rsidRDefault="00407FB5" w:rsidP="00407FB5">
      <w:pPr>
        <w:spacing w:line="264" w:lineRule="auto"/>
        <w:jc w:val="both"/>
        <w:rPr>
          <w:rFonts w:ascii="Arial" w:hAnsi="Arial" w:cs="Arial"/>
          <w:bCs/>
          <w:szCs w:val="24"/>
        </w:rPr>
      </w:pPr>
    </w:p>
    <w:p w14:paraId="49387505" w14:textId="77777777" w:rsidR="00971A95" w:rsidRDefault="00AF4DFA" w:rsidP="00971A95">
      <w:pPr>
        <w:keepNext/>
        <w:spacing w:line="264" w:lineRule="auto"/>
        <w:jc w:val="center"/>
        <w:rPr>
          <w:rFonts w:ascii="Arial" w:hAnsi="Arial" w:cs="Arial"/>
          <w:b/>
          <w:szCs w:val="24"/>
        </w:rPr>
      </w:pPr>
      <w:r>
        <w:rPr>
          <w:rFonts w:ascii="Arial" w:hAnsi="Arial" w:cs="Arial"/>
          <w:b/>
          <w:szCs w:val="24"/>
        </w:rPr>
        <w:t xml:space="preserve">Table </w:t>
      </w:r>
      <w:r w:rsidR="00641FA5">
        <w:rPr>
          <w:rFonts w:ascii="Arial" w:hAnsi="Arial" w:cs="Arial"/>
          <w:b/>
          <w:szCs w:val="24"/>
        </w:rPr>
        <w:t>3</w:t>
      </w:r>
    </w:p>
    <w:p w14:paraId="2B7770D0" w14:textId="77777777" w:rsidR="00971A95" w:rsidRDefault="00AF4DFA" w:rsidP="00971A95">
      <w:pPr>
        <w:keepNext/>
        <w:spacing w:line="264" w:lineRule="auto"/>
        <w:jc w:val="center"/>
        <w:rPr>
          <w:rFonts w:ascii="Arial" w:hAnsi="Arial" w:cs="Arial"/>
          <w:b/>
          <w:szCs w:val="24"/>
        </w:rPr>
      </w:pPr>
      <w:r>
        <w:rPr>
          <w:rFonts w:ascii="Arial" w:hAnsi="Arial" w:cs="Arial"/>
          <w:b/>
          <w:szCs w:val="24"/>
        </w:rPr>
        <w:t xml:space="preserve">Summary of </w:t>
      </w:r>
      <w:r w:rsidR="009C1609">
        <w:rPr>
          <w:rFonts w:ascii="Arial" w:hAnsi="Arial" w:cs="Arial"/>
          <w:b/>
          <w:szCs w:val="24"/>
        </w:rPr>
        <w:t>Proposed Appropriations</w:t>
      </w:r>
      <w:r w:rsidR="00807579">
        <w:rPr>
          <w:rFonts w:ascii="Arial" w:hAnsi="Arial" w:cs="Arial"/>
          <w:b/>
          <w:szCs w:val="24"/>
        </w:rPr>
        <w:t xml:space="preserve"> </w:t>
      </w:r>
      <w:r w:rsidR="00971A95">
        <w:rPr>
          <w:rFonts w:ascii="Arial" w:hAnsi="Arial" w:cs="Arial"/>
          <w:b/>
          <w:szCs w:val="24"/>
        </w:rPr>
        <w:t xml:space="preserve">Supported by ARPA CLFRF </w:t>
      </w:r>
    </w:p>
    <w:p w14:paraId="32F9B698" w14:textId="0FDCFA35" w:rsidR="00AF4DFA" w:rsidRDefault="00971A95" w:rsidP="00971A95">
      <w:pPr>
        <w:keepNext/>
        <w:spacing w:line="264" w:lineRule="auto"/>
        <w:jc w:val="center"/>
        <w:rPr>
          <w:rFonts w:ascii="Arial" w:hAnsi="Arial" w:cs="Arial"/>
          <w:b/>
          <w:szCs w:val="24"/>
        </w:rPr>
      </w:pPr>
      <w:r>
        <w:rPr>
          <w:rFonts w:ascii="Arial" w:hAnsi="Arial" w:cs="Arial"/>
          <w:b/>
          <w:szCs w:val="24"/>
        </w:rPr>
        <w:t>(excluding Legal System Backlog)</w:t>
      </w:r>
      <w:r w:rsidR="00807579">
        <w:rPr>
          <w:rFonts w:ascii="Arial" w:hAnsi="Arial" w:cs="Arial"/>
          <w:b/>
          <w:szCs w:val="24"/>
        </w:rPr>
        <w:t>.</w:t>
      </w:r>
    </w:p>
    <w:p w14:paraId="4E1DC255" w14:textId="77777777" w:rsidR="00783D74" w:rsidRPr="001C4B19" w:rsidRDefault="00783D74" w:rsidP="00971A95">
      <w:pPr>
        <w:keepNext/>
        <w:spacing w:line="264" w:lineRule="auto"/>
        <w:jc w:val="center"/>
        <w:rPr>
          <w:rFonts w:ascii="Arial" w:hAnsi="Arial" w:cs="Arial"/>
          <w:b/>
          <w:szCs w:val="24"/>
        </w:rPr>
      </w:pPr>
    </w:p>
    <w:tbl>
      <w:tblPr>
        <w:tblStyle w:val="TableGrid"/>
        <w:tblW w:w="9360" w:type="dxa"/>
        <w:jc w:val="center"/>
        <w:tblLook w:val="04A0" w:firstRow="1" w:lastRow="0" w:firstColumn="1" w:lastColumn="0" w:noHBand="0" w:noVBand="1"/>
      </w:tblPr>
      <w:tblGrid>
        <w:gridCol w:w="571"/>
        <w:gridCol w:w="268"/>
        <w:gridCol w:w="7081"/>
        <w:gridCol w:w="270"/>
        <w:gridCol w:w="1170"/>
      </w:tblGrid>
      <w:tr w:rsidR="00E23841" w:rsidRPr="008D0300" w14:paraId="11A6CBF8" w14:textId="77777777" w:rsidTr="00266917">
        <w:trPr>
          <w:cantSplit/>
          <w:trHeight w:val="411"/>
          <w:tblHeader/>
          <w:jc w:val="center"/>
        </w:trPr>
        <w:tc>
          <w:tcPr>
            <w:tcW w:w="571" w:type="dxa"/>
            <w:tcBorders>
              <w:top w:val="single" w:sz="12" w:space="0" w:color="auto"/>
              <w:left w:val="nil"/>
              <w:bottom w:val="single" w:sz="4" w:space="0" w:color="auto"/>
              <w:right w:val="nil"/>
            </w:tcBorders>
            <w:vAlign w:val="center"/>
          </w:tcPr>
          <w:p w14:paraId="2132C464" w14:textId="6D5C4040" w:rsidR="00E23841" w:rsidRDefault="00E23841" w:rsidP="00971A95">
            <w:pPr>
              <w:keepNext/>
              <w:rPr>
                <w:rFonts w:ascii="Arial" w:hAnsi="Arial" w:cs="Arial"/>
                <w:b/>
                <w:sz w:val="22"/>
                <w:szCs w:val="22"/>
              </w:rPr>
            </w:pPr>
            <w:r>
              <w:rPr>
                <w:rFonts w:ascii="Arial" w:hAnsi="Arial" w:cs="Arial"/>
                <w:b/>
                <w:sz w:val="22"/>
                <w:szCs w:val="22"/>
              </w:rPr>
              <w:t>No.</w:t>
            </w:r>
          </w:p>
        </w:tc>
        <w:tc>
          <w:tcPr>
            <w:tcW w:w="268" w:type="dxa"/>
            <w:tcBorders>
              <w:top w:val="single" w:sz="12" w:space="0" w:color="auto"/>
              <w:left w:val="nil"/>
              <w:bottom w:val="single" w:sz="4" w:space="0" w:color="auto"/>
              <w:right w:val="nil"/>
            </w:tcBorders>
          </w:tcPr>
          <w:p w14:paraId="0DF0200D" w14:textId="6D0CDACC" w:rsidR="00E23841" w:rsidRDefault="00E23841" w:rsidP="00971A95">
            <w:pPr>
              <w:keepNext/>
              <w:rPr>
                <w:rFonts w:ascii="Arial" w:hAnsi="Arial" w:cs="Arial"/>
                <w:b/>
                <w:sz w:val="22"/>
                <w:szCs w:val="22"/>
              </w:rPr>
            </w:pPr>
          </w:p>
        </w:tc>
        <w:tc>
          <w:tcPr>
            <w:tcW w:w="7081" w:type="dxa"/>
            <w:tcBorders>
              <w:top w:val="single" w:sz="12" w:space="0" w:color="auto"/>
              <w:left w:val="nil"/>
              <w:bottom w:val="single" w:sz="4" w:space="0" w:color="auto"/>
              <w:right w:val="nil"/>
            </w:tcBorders>
            <w:shd w:val="clear" w:color="auto" w:fill="auto"/>
            <w:vAlign w:val="center"/>
          </w:tcPr>
          <w:p w14:paraId="30DEC6C7" w14:textId="7E0B2DFC" w:rsidR="00E23841" w:rsidRPr="008D0300" w:rsidRDefault="00E23841" w:rsidP="00971A95">
            <w:pPr>
              <w:keepNext/>
              <w:rPr>
                <w:rFonts w:ascii="Arial" w:hAnsi="Arial" w:cs="Arial"/>
                <w:b/>
                <w:sz w:val="22"/>
                <w:szCs w:val="22"/>
              </w:rPr>
            </w:pPr>
            <w:r>
              <w:rPr>
                <w:rFonts w:ascii="Arial" w:hAnsi="Arial" w:cs="Arial"/>
                <w:b/>
                <w:sz w:val="22"/>
                <w:szCs w:val="22"/>
              </w:rPr>
              <w:t>Descriptions</w:t>
            </w:r>
          </w:p>
        </w:tc>
        <w:tc>
          <w:tcPr>
            <w:tcW w:w="270" w:type="dxa"/>
            <w:tcBorders>
              <w:top w:val="single" w:sz="12" w:space="0" w:color="auto"/>
              <w:left w:val="nil"/>
              <w:bottom w:val="single" w:sz="4" w:space="0" w:color="auto"/>
              <w:right w:val="nil"/>
            </w:tcBorders>
          </w:tcPr>
          <w:p w14:paraId="3AFA0DB7" w14:textId="77777777" w:rsidR="00E23841" w:rsidRDefault="00E23841" w:rsidP="00971A95">
            <w:pPr>
              <w:keepNext/>
              <w:jc w:val="center"/>
              <w:rPr>
                <w:rFonts w:ascii="Arial" w:hAnsi="Arial" w:cs="Arial"/>
                <w:b/>
                <w:sz w:val="22"/>
                <w:szCs w:val="22"/>
              </w:rPr>
            </w:pPr>
          </w:p>
        </w:tc>
        <w:tc>
          <w:tcPr>
            <w:tcW w:w="1170" w:type="dxa"/>
            <w:tcBorders>
              <w:top w:val="single" w:sz="12" w:space="0" w:color="auto"/>
              <w:left w:val="nil"/>
              <w:bottom w:val="single" w:sz="4" w:space="0" w:color="auto"/>
              <w:right w:val="single" w:sz="2" w:space="0" w:color="FFFFFF" w:themeColor="background1"/>
            </w:tcBorders>
            <w:vAlign w:val="center"/>
          </w:tcPr>
          <w:p w14:paraId="25ED0A09" w14:textId="768E34F7" w:rsidR="00E23841" w:rsidRPr="008D0300" w:rsidRDefault="00E23841" w:rsidP="00971A95">
            <w:pPr>
              <w:keepNext/>
              <w:jc w:val="center"/>
              <w:rPr>
                <w:rFonts w:ascii="Arial" w:hAnsi="Arial" w:cs="Arial"/>
                <w:b/>
                <w:sz w:val="22"/>
                <w:szCs w:val="22"/>
              </w:rPr>
            </w:pPr>
            <w:r>
              <w:rPr>
                <w:rFonts w:ascii="Arial" w:hAnsi="Arial" w:cs="Arial"/>
                <w:b/>
                <w:sz w:val="22"/>
                <w:szCs w:val="22"/>
              </w:rPr>
              <w:t>Amount</w:t>
            </w:r>
          </w:p>
        </w:tc>
      </w:tr>
      <w:tr w:rsidR="000102E4" w:rsidRPr="008D0300" w14:paraId="2B857780" w14:textId="77777777" w:rsidTr="00B0787C">
        <w:trPr>
          <w:cantSplit/>
          <w:trHeight w:val="593"/>
          <w:jc w:val="center"/>
        </w:trPr>
        <w:tc>
          <w:tcPr>
            <w:tcW w:w="9360" w:type="dxa"/>
            <w:gridSpan w:val="5"/>
            <w:tcBorders>
              <w:left w:val="nil"/>
              <w:bottom w:val="single" w:sz="4" w:space="0" w:color="auto"/>
              <w:right w:val="single" w:sz="2" w:space="0" w:color="FFFFFF" w:themeColor="background1"/>
            </w:tcBorders>
            <w:shd w:val="clear" w:color="auto" w:fill="F2F2F2" w:themeFill="background1" w:themeFillShade="F2"/>
            <w:vAlign w:val="center"/>
          </w:tcPr>
          <w:p w14:paraId="1CE8D6CF" w14:textId="65219FA9" w:rsidR="000102E4" w:rsidRPr="002C0D08" w:rsidRDefault="000102E4" w:rsidP="000102E4">
            <w:pPr>
              <w:rPr>
                <w:rFonts w:ascii="Arial" w:hAnsi="Arial" w:cs="Arial"/>
                <w:b/>
                <w:bCs/>
                <w:sz w:val="22"/>
                <w:szCs w:val="22"/>
              </w:rPr>
            </w:pPr>
            <w:r w:rsidRPr="002C0D08">
              <w:rPr>
                <w:rFonts w:ascii="Arial" w:hAnsi="Arial" w:cs="Arial"/>
                <w:b/>
                <w:bCs/>
                <w:sz w:val="22"/>
                <w:szCs w:val="22"/>
              </w:rPr>
              <w:t>Public Health Response to the Pandemic</w:t>
            </w:r>
          </w:p>
        </w:tc>
      </w:tr>
      <w:tr w:rsidR="00E23841" w:rsidRPr="008D0300" w14:paraId="5481DC92" w14:textId="77777777" w:rsidTr="00266917">
        <w:trPr>
          <w:cantSplit/>
          <w:jc w:val="center"/>
        </w:trPr>
        <w:tc>
          <w:tcPr>
            <w:tcW w:w="571" w:type="dxa"/>
            <w:tcBorders>
              <w:top w:val="single" w:sz="4" w:space="0" w:color="auto"/>
              <w:left w:val="nil"/>
              <w:bottom w:val="nil"/>
              <w:right w:val="nil"/>
            </w:tcBorders>
          </w:tcPr>
          <w:p w14:paraId="60639B61" w14:textId="1A64FA9E" w:rsidR="00E23841" w:rsidRDefault="00E23841" w:rsidP="007F4954">
            <w:pPr>
              <w:rPr>
                <w:rFonts w:ascii="Arial" w:hAnsi="Arial" w:cs="Arial"/>
                <w:sz w:val="22"/>
                <w:szCs w:val="22"/>
              </w:rPr>
            </w:pPr>
            <w:r>
              <w:rPr>
                <w:rFonts w:ascii="Arial" w:hAnsi="Arial" w:cs="Arial"/>
                <w:sz w:val="22"/>
                <w:szCs w:val="22"/>
              </w:rPr>
              <w:t>1</w:t>
            </w:r>
          </w:p>
        </w:tc>
        <w:tc>
          <w:tcPr>
            <w:tcW w:w="268" w:type="dxa"/>
            <w:tcBorders>
              <w:top w:val="single" w:sz="4" w:space="0" w:color="auto"/>
              <w:left w:val="nil"/>
              <w:bottom w:val="nil"/>
              <w:right w:val="nil"/>
            </w:tcBorders>
          </w:tcPr>
          <w:p w14:paraId="3BDE5BE3" w14:textId="36C5E15E" w:rsidR="00E23841" w:rsidRDefault="00E23841" w:rsidP="007F4954">
            <w:pPr>
              <w:rPr>
                <w:rFonts w:ascii="Arial" w:hAnsi="Arial" w:cs="Arial"/>
                <w:sz w:val="22"/>
                <w:szCs w:val="22"/>
              </w:rPr>
            </w:pPr>
          </w:p>
        </w:tc>
        <w:tc>
          <w:tcPr>
            <w:tcW w:w="7081" w:type="dxa"/>
            <w:tcBorders>
              <w:top w:val="single" w:sz="4" w:space="0" w:color="auto"/>
              <w:left w:val="nil"/>
              <w:bottom w:val="nil"/>
              <w:right w:val="nil"/>
            </w:tcBorders>
            <w:tcMar>
              <w:top w:w="72" w:type="dxa"/>
              <w:left w:w="115" w:type="dxa"/>
              <w:bottom w:w="72" w:type="dxa"/>
              <w:right w:w="115" w:type="dxa"/>
            </w:tcMar>
          </w:tcPr>
          <w:p w14:paraId="46EBB49F" w14:textId="260DE11E" w:rsidR="00E23841" w:rsidRPr="008D0300" w:rsidRDefault="0071503F" w:rsidP="007F4954">
            <w:pPr>
              <w:rPr>
                <w:rFonts w:ascii="Arial" w:hAnsi="Arial" w:cs="Arial"/>
                <w:sz w:val="22"/>
                <w:szCs w:val="22"/>
              </w:rPr>
            </w:pPr>
            <w:r>
              <w:rPr>
                <w:rFonts w:ascii="Arial" w:hAnsi="Arial" w:cs="Arial"/>
                <w:sz w:val="22"/>
                <w:szCs w:val="22"/>
              </w:rPr>
              <w:t>FMD: O</w:t>
            </w:r>
            <w:r w:rsidRPr="0071503F">
              <w:rPr>
                <w:rFonts w:ascii="Arial" w:hAnsi="Arial" w:cs="Arial"/>
                <w:sz w:val="22"/>
                <w:szCs w:val="22"/>
              </w:rPr>
              <w:t xml:space="preserve">perating costs at </w:t>
            </w:r>
            <w:r>
              <w:rPr>
                <w:rFonts w:ascii="Arial" w:hAnsi="Arial" w:cs="Arial"/>
                <w:sz w:val="22"/>
                <w:szCs w:val="22"/>
              </w:rPr>
              <w:t xml:space="preserve">county operated </w:t>
            </w:r>
            <w:r w:rsidRPr="00CA1E22">
              <w:rPr>
                <w:rFonts w:ascii="Arial" w:hAnsi="Arial" w:cs="Arial"/>
                <w:sz w:val="22"/>
                <w:szCs w:val="22"/>
              </w:rPr>
              <w:t>Isolation/Quarantine, Assessment and Recovery, and Shelter De-Intensification site</w:t>
            </w:r>
            <w:r>
              <w:rPr>
                <w:rFonts w:ascii="Arial" w:hAnsi="Arial" w:cs="Arial"/>
                <w:sz w:val="22"/>
                <w:szCs w:val="22"/>
              </w:rPr>
              <w:t>s</w:t>
            </w:r>
            <w:r w:rsidRPr="0071503F">
              <w:rPr>
                <w:rFonts w:ascii="Arial" w:hAnsi="Arial" w:cs="Arial"/>
                <w:sz w:val="22"/>
                <w:szCs w:val="22"/>
              </w:rPr>
              <w:t xml:space="preserve">. </w:t>
            </w:r>
            <w:r>
              <w:rPr>
                <w:rFonts w:ascii="Arial" w:hAnsi="Arial" w:cs="Arial"/>
                <w:sz w:val="22"/>
                <w:szCs w:val="22"/>
              </w:rPr>
              <w:t>(Note: t</w:t>
            </w:r>
            <w:r w:rsidRPr="0071503F">
              <w:rPr>
                <w:rFonts w:ascii="Arial" w:hAnsi="Arial" w:cs="Arial"/>
                <w:sz w:val="22"/>
                <w:szCs w:val="22"/>
              </w:rPr>
              <w:t>his excludes the Civic Hotel</w:t>
            </w:r>
            <w:r w:rsidR="003039A2">
              <w:rPr>
                <w:rFonts w:ascii="Arial" w:hAnsi="Arial" w:cs="Arial"/>
                <w:sz w:val="22"/>
                <w:szCs w:val="22"/>
              </w:rPr>
              <w:t xml:space="preserve"> </w:t>
            </w:r>
            <w:r w:rsidR="008F7D5C">
              <w:rPr>
                <w:rFonts w:ascii="Arial" w:hAnsi="Arial" w:cs="Arial"/>
                <w:sz w:val="22"/>
                <w:szCs w:val="22"/>
              </w:rPr>
              <w:t>appropriations</w:t>
            </w:r>
            <w:r>
              <w:rPr>
                <w:rFonts w:ascii="Arial" w:hAnsi="Arial" w:cs="Arial"/>
                <w:sz w:val="22"/>
                <w:szCs w:val="22"/>
              </w:rPr>
              <w:t>)</w:t>
            </w:r>
          </w:p>
        </w:tc>
        <w:tc>
          <w:tcPr>
            <w:tcW w:w="270" w:type="dxa"/>
            <w:tcBorders>
              <w:top w:val="single" w:sz="4" w:space="0" w:color="auto"/>
              <w:left w:val="nil"/>
              <w:bottom w:val="nil"/>
              <w:right w:val="nil"/>
            </w:tcBorders>
          </w:tcPr>
          <w:p w14:paraId="2A3CE7B3" w14:textId="77777777" w:rsidR="00E23841" w:rsidRDefault="00E23841" w:rsidP="007F4954">
            <w:pPr>
              <w:jc w:val="right"/>
              <w:rPr>
                <w:rFonts w:ascii="Arial" w:hAnsi="Arial" w:cs="Arial"/>
                <w:sz w:val="22"/>
                <w:szCs w:val="22"/>
              </w:rPr>
            </w:pPr>
          </w:p>
        </w:tc>
        <w:tc>
          <w:tcPr>
            <w:tcW w:w="1170" w:type="dxa"/>
            <w:tcBorders>
              <w:top w:val="single" w:sz="4" w:space="0" w:color="auto"/>
              <w:left w:val="nil"/>
              <w:bottom w:val="nil"/>
              <w:right w:val="single" w:sz="2" w:space="0" w:color="FFFFFF" w:themeColor="background1"/>
            </w:tcBorders>
            <w:tcMar>
              <w:top w:w="72" w:type="dxa"/>
              <w:left w:w="115" w:type="dxa"/>
              <w:bottom w:w="72" w:type="dxa"/>
              <w:right w:w="115" w:type="dxa"/>
            </w:tcMar>
          </w:tcPr>
          <w:p w14:paraId="7D919158" w14:textId="08BFA5E8" w:rsidR="00E23841" w:rsidRPr="008D0300" w:rsidRDefault="00E23841" w:rsidP="007F4954">
            <w:pPr>
              <w:jc w:val="right"/>
              <w:rPr>
                <w:rFonts w:ascii="Arial" w:hAnsi="Arial" w:cs="Arial"/>
                <w:sz w:val="22"/>
                <w:szCs w:val="22"/>
              </w:rPr>
            </w:pPr>
            <w:r>
              <w:rPr>
                <w:rFonts w:ascii="Arial" w:hAnsi="Arial" w:cs="Arial"/>
                <w:sz w:val="22"/>
                <w:szCs w:val="22"/>
              </w:rPr>
              <w:t>$</w:t>
            </w:r>
            <w:r w:rsidR="0071503F">
              <w:rPr>
                <w:rFonts w:ascii="Arial" w:hAnsi="Arial" w:cs="Arial"/>
                <w:sz w:val="22"/>
                <w:szCs w:val="22"/>
              </w:rPr>
              <w:t>3</w:t>
            </w:r>
            <w:r w:rsidR="005937D7">
              <w:rPr>
                <w:rFonts w:ascii="Arial" w:hAnsi="Arial" w:cs="Arial"/>
                <w:sz w:val="22"/>
                <w:szCs w:val="22"/>
              </w:rPr>
              <w:t>.</w:t>
            </w:r>
            <w:r w:rsidR="00DC05E4">
              <w:rPr>
                <w:rFonts w:ascii="Arial" w:hAnsi="Arial" w:cs="Arial"/>
                <w:sz w:val="22"/>
                <w:szCs w:val="22"/>
              </w:rPr>
              <w:t>0</w:t>
            </w:r>
            <w:r>
              <w:rPr>
                <w:rFonts w:ascii="Arial" w:hAnsi="Arial" w:cs="Arial"/>
                <w:sz w:val="22"/>
                <w:szCs w:val="22"/>
              </w:rPr>
              <w:t xml:space="preserve"> M</w:t>
            </w:r>
          </w:p>
        </w:tc>
      </w:tr>
      <w:tr w:rsidR="002B5361" w:rsidRPr="008D0300" w14:paraId="4960368A" w14:textId="77777777" w:rsidTr="00266917">
        <w:trPr>
          <w:cantSplit/>
          <w:jc w:val="center"/>
        </w:trPr>
        <w:tc>
          <w:tcPr>
            <w:tcW w:w="571" w:type="dxa"/>
            <w:tcBorders>
              <w:top w:val="nil"/>
              <w:left w:val="nil"/>
              <w:bottom w:val="nil"/>
              <w:right w:val="nil"/>
            </w:tcBorders>
          </w:tcPr>
          <w:p w14:paraId="22F619FC" w14:textId="1E91E23E" w:rsidR="002B5361" w:rsidRPr="001D1A7E" w:rsidRDefault="007307B1" w:rsidP="00E71281">
            <w:pPr>
              <w:rPr>
                <w:rFonts w:ascii="Arial" w:hAnsi="Arial" w:cs="Arial"/>
                <w:color w:val="C0504D" w:themeColor="accent2"/>
                <w:sz w:val="22"/>
                <w:szCs w:val="22"/>
              </w:rPr>
            </w:pPr>
            <w:r w:rsidRPr="001D1A7E">
              <w:rPr>
                <w:rFonts w:ascii="Arial" w:hAnsi="Arial" w:cs="Arial"/>
                <w:color w:val="C0504D" w:themeColor="accent2"/>
                <w:sz w:val="22"/>
                <w:szCs w:val="22"/>
              </w:rPr>
              <w:t>2</w:t>
            </w:r>
          </w:p>
        </w:tc>
        <w:tc>
          <w:tcPr>
            <w:tcW w:w="268" w:type="dxa"/>
            <w:tcBorders>
              <w:top w:val="nil"/>
              <w:left w:val="nil"/>
              <w:bottom w:val="nil"/>
              <w:right w:val="nil"/>
            </w:tcBorders>
          </w:tcPr>
          <w:p w14:paraId="564F8F3E" w14:textId="77777777" w:rsidR="002B5361" w:rsidRPr="001D1A7E" w:rsidRDefault="002B5361" w:rsidP="00E71281">
            <w:pPr>
              <w:rPr>
                <w:rFonts w:ascii="Arial" w:hAnsi="Arial" w:cs="Arial"/>
                <w:color w:val="C0504D" w:themeColor="accent2"/>
                <w:sz w:val="22"/>
                <w:szCs w:val="22"/>
              </w:rPr>
            </w:pPr>
          </w:p>
        </w:tc>
        <w:tc>
          <w:tcPr>
            <w:tcW w:w="7081" w:type="dxa"/>
            <w:tcBorders>
              <w:top w:val="nil"/>
              <w:left w:val="nil"/>
              <w:bottom w:val="nil"/>
              <w:right w:val="nil"/>
            </w:tcBorders>
            <w:tcMar>
              <w:top w:w="72" w:type="dxa"/>
              <w:left w:w="115" w:type="dxa"/>
              <w:bottom w:w="72" w:type="dxa"/>
              <w:right w:w="115" w:type="dxa"/>
            </w:tcMar>
          </w:tcPr>
          <w:p w14:paraId="45372E4A" w14:textId="5B18F6EA" w:rsidR="002B5361" w:rsidRPr="001D1A7E" w:rsidRDefault="002B5361" w:rsidP="00E71281">
            <w:pPr>
              <w:rPr>
                <w:rFonts w:ascii="Arial" w:hAnsi="Arial" w:cs="Arial"/>
                <w:color w:val="C0504D" w:themeColor="accent2"/>
                <w:sz w:val="22"/>
                <w:szCs w:val="22"/>
              </w:rPr>
            </w:pPr>
            <w:r w:rsidRPr="001D1A7E">
              <w:rPr>
                <w:rFonts w:ascii="Arial" w:hAnsi="Arial" w:cs="Arial"/>
                <w:color w:val="C0504D" w:themeColor="accent2"/>
                <w:sz w:val="22"/>
                <w:szCs w:val="22"/>
              </w:rPr>
              <w:t>FMD: Operating costs for Civic Hotel deintensification facili</w:t>
            </w:r>
            <w:r w:rsidR="007307B1" w:rsidRPr="001D1A7E">
              <w:rPr>
                <w:rFonts w:ascii="Arial" w:hAnsi="Arial" w:cs="Arial"/>
                <w:color w:val="C0504D" w:themeColor="accent2"/>
                <w:sz w:val="22"/>
                <w:szCs w:val="22"/>
              </w:rPr>
              <w:t>ty through June 2022.</w:t>
            </w:r>
          </w:p>
        </w:tc>
        <w:tc>
          <w:tcPr>
            <w:tcW w:w="270" w:type="dxa"/>
            <w:tcBorders>
              <w:top w:val="nil"/>
              <w:left w:val="nil"/>
              <w:bottom w:val="nil"/>
              <w:right w:val="nil"/>
            </w:tcBorders>
          </w:tcPr>
          <w:p w14:paraId="70F7B4E1" w14:textId="77777777" w:rsidR="002B5361" w:rsidRPr="001D1A7E" w:rsidRDefault="002B5361" w:rsidP="00E71281">
            <w:pPr>
              <w:jc w:val="right"/>
              <w:rPr>
                <w:rFonts w:ascii="Arial" w:hAnsi="Arial" w:cs="Arial"/>
                <w:color w:val="C0504D" w:themeColor="accent2"/>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69E3206F" w14:textId="10D0351A" w:rsidR="002B5361" w:rsidRPr="001D1A7E" w:rsidRDefault="007307B1" w:rsidP="00E71281">
            <w:pPr>
              <w:jc w:val="right"/>
              <w:rPr>
                <w:rFonts w:ascii="Arial" w:hAnsi="Arial" w:cs="Arial"/>
                <w:color w:val="C0504D" w:themeColor="accent2"/>
                <w:sz w:val="22"/>
                <w:szCs w:val="22"/>
              </w:rPr>
            </w:pPr>
            <w:r w:rsidRPr="001D1A7E">
              <w:rPr>
                <w:rFonts w:ascii="Arial" w:hAnsi="Arial" w:cs="Arial"/>
                <w:color w:val="C0504D" w:themeColor="accent2"/>
                <w:sz w:val="22"/>
                <w:szCs w:val="22"/>
              </w:rPr>
              <w:t>$0.1 M</w:t>
            </w:r>
          </w:p>
        </w:tc>
      </w:tr>
      <w:tr w:rsidR="00F15312" w:rsidRPr="008D0300" w14:paraId="55C7FF2F" w14:textId="77777777" w:rsidTr="00266917">
        <w:trPr>
          <w:cantSplit/>
          <w:jc w:val="center"/>
        </w:trPr>
        <w:tc>
          <w:tcPr>
            <w:tcW w:w="571" w:type="dxa"/>
            <w:tcBorders>
              <w:top w:val="nil"/>
              <w:left w:val="nil"/>
              <w:bottom w:val="nil"/>
              <w:right w:val="nil"/>
            </w:tcBorders>
          </w:tcPr>
          <w:p w14:paraId="163E18C4" w14:textId="1260C530" w:rsidR="00F15312" w:rsidRPr="001D1A7E" w:rsidRDefault="00D918A4" w:rsidP="00E71281">
            <w:pPr>
              <w:rPr>
                <w:rFonts w:ascii="Arial" w:hAnsi="Arial" w:cs="Arial"/>
                <w:color w:val="C0504D" w:themeColor="accent2"/>
                <w:sz w:val="22"/>
                <w:szCs w:val="22"/>
              </w:rPr>
            </w:pPr>
            <w:r w:rsidRPr="001D1A7E">
              <w:rPr>
                <w:rFonts w:ascii="Arial" w:hAnsi="Arial" w:cs="Arial"/>
                <w:color w:val="C0504D" w:themeColor="accent2"/>
                <w:sz w:val="22"/>
                <w:szCs w:val="22"/>
              </w:rPr>
              <w:t>3</w:t>
            </w:r>
          </w:p>
        </w:tc>
        <w:tc>
          <w:tcPr>
            <w:tcW w:w="268" w:type="dxa"/>
            <w:tcBorders>
              <w:top w:val="nil"/>
              <w:left w:val="nil"/>
              <w:bottom w:val="nil"/>
              <w:right w:val="nil"/>
            </w:tcBorders>
          </w:tcPr>
          <w:p w14:paraId="6748E0B5" w14:textId="77777777" w:rsidR="00F15312" w:rsidRPr="001D1A7E" w:rsidRDefault="00F15312" w:rsidP="00E71281">
            <w:pPr>
              <w:rPr>
                <w:rFonts w:ascii="Arial" w:hAnsi="Arial" w:cs="Arial"/>
                <w:color w:val="C0504D" w:themeColor="accent2"/>
                <w:sz w:val="22"/>
                <w:szCs w:val="22"/>
              </w:rPr>
            </w:pPr>
          </w:p>
        </w:tc>
        <w:tc>
          <w:tcPr>
            <w:tcW w:w="7081" w:type="dxa"/>
            <w:tcBorders>
              <w:top w:val="nil"/>
              <w:left w:val="nil"/>
              <w:bottom w:val="nil"/>
              <w:right w:val="nil"/>
            </w:tcBorders>
            <w:tcMar>
              <w:top w:w="72" w:type="dxa"/>
              <w:left w:w="115" w:type="dxa"/>
              <w:bottom w:w="72" w:type="dxa"/>
              <w:right w:w="115" w:type="dxa"/>
            </w:tcMar>
          </w:tcPr>
          <w:p w14:paraId="71E160DC" w14:textId="4EABCFB6" w:rsidR="00F15312" w:rsidRPr="001D1A7E" w:rsidRDefault="00F15312" w:rsidP="00E71281">
            <w:pPr>
              <w:rPr>
                <w:rFonts w:ascii="Arial" w:hAnsi="Arial" w:cs="Arial"/>
                <w:color w:val="C0504D" w:themeColor="accent2"/>
                <w:sz w:val="22"/>
                <w:szCs w:val="22"/>
              </w:rPr>
            </w:pPr>
            <w:r w:rsidRPr="001D1A7E">
              <w:rPr>
                <w:rFonts w:ascii="Arial" w:hAnsi="Arial" w:cs="Arial"/>
                <w:color w:val="C0504D" w:themeColor="accent2"/>
                <w:sz w:val="22"/>
                <w:szCs w:val="22"/>
              </w:rPr>
              <w:t xml:space="preserve">FMD Capital LTL: Lease costs for Civic Hotel </w:t>
            </w:r>
            <w:r w:rsidR="00D918A4" w:rsidRPr="001D1A7E">
              <w:rPr>
                <w:rFonts w:ascii="Arial" w:hAnsi="Arial" w:cs="Arial"/>
                <w:color w:val="C0504D" w:themeColor="accent2"/>
                <w:sz w:val="22"/>
                <w:szCs w:val="22"/>
              </w:rPr>
              <w:t>deintensification facility.</w:t>
            </w:r>
          </w:p>
        </w:tc>
        <w:tc>
          <w:tcPr>
            <w:tcW w:w="270" w:type="dxa"/>
            <w:tcBorders>
              <w:top w:val="nil"/>
              <w:left w:val="nil"/>
              <w:bottom w:val="nil"/>
              <w:right w:val="nil"/>
            </w:tcBorders>
          </w:tcPr>
          <w:p w14:paraId="6E4DC158" w14:textId="77777777" w:rsidR="00F15312" w:rsidRPr="001D1A7E" w:rsidRDefault="00F15312" w:rsidP="00E71281">
            <w:pPr>
              <w:jc w:val="right"/>
              <w:rPr>
                <w:rFonts w:ascii="Arial" w:hAnsi="Arial" w:cs="Arial"/>
                <w:color w:val="C0504D" w:themeColor="accent2"/>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37FF3CB0" w14:textId="12062FB4" w:rsidR="00F15312" w:rsidRPr="001D1A7E" w:rsidRDefault="00D918A4" w:rsidP="00E71281">
            <w:pPr>
              <w:jc w:val="right"/>
              <w:rPr>
                <w:rFonts w:ascii="Arial" w:hAnsi="Arial" w:cs="Arial"/>
                <w:color w:val="C0504D" w:themeColor="accent2"/>
                <w:sz w:val="22"/>
                <w:szCs w:val="22"/>
              </w:rPr>
            </w:pPr>
            <w:r w:rsidRPr="001D1A7E">
              <w:rPr>
                <w:rFonts w:ascii="Arial" w:hAnsi="Arial" w:cs="Arial"/>
                <w:color w:val="C0504D" w:themeColor="accent2"/>
                <w:sz w:val="22"/>
                <w:szCs w:val="22"/>
              </w:rPr>
              <w:t>$1.6 M</w:t>
            </w:r>
          </w:p>
        </w:tc>
      </w:tr>
      <w:tr w:rsidR="00E71281" w:rsidRPr="008D0300" w14:paraId="7BE31895" w14:textId="77777777" w:rsidTr="00266917">
        <w:trPr>
          <w:cantSplit/>
          <w:jc w:val="center"/>
        </w:trPr>
        <w:tc>
          <w:tcPr>
            <w:tcW w:w="571" w:type="dxa"/>
            <w:tcBorders>
              <w:top w:val="nil"/>
              <w:left w:val="nil"/>
              <w:bottom w:val="nil"/>
              <w:right w:val="nil"/>
            </w:tcBorders>
          </w:tcPr>
          <w:p w14:paraId="2362C480" w14:textId="439B766A" w:rsidR="00E71281" w:rsidRDefault="00D918A4" w:rsidP="00E71281">
            <w:pPr>
              <w:rPr>
                <w:rFonts w:ascii="Arial" w:hAnsi="Arial" w:cs="Arial"/>
                <w:sz w:val="22"/>
                <w:szCs w:val="22"/>
              </w:rPr>
            </w:pPr>
            <w:r>
              <w:rPr>
                <w:rFonts w:ascii="Arial" w:hAnsi="Arial" w:cs="Arial"/>
                <w:sz w:val="22"/>
                <w:szCs w:val="22"/>
              </w:rPr>
              <w:t>4</w:t>
            </w:r>
          </w:p>
        </w:tc>
        <w:tc>
          <w:tcPr>
            <w:tcW w:w="268" w:type="dxa"/>
            <w:tcBorders>
              <w:top w:val="nil"/>
              <w:left w:val="nil"/>
              <w:bottom w:val="nil"/>
              <w:right w:val="nil"/>
            </w:tcBorders>
          </w:tcPr>
          <w:p w14:paraId="1F1937D8" w14:textId="77777777" w:rsidR="00E71281" w:rsidRDefault="00E71281" w:rsidP="00E7128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25802F0A" w14:textId="02566026" w:rsidR="00E71281" w:rsidRDefault="002D7348" w:rsidP="00E71281">
            <w:pPr>
              <w:rPr>
                <w:rFonts w:ascii="Arial" w:hAnsi="Arial" w:cs="Arial"/>
                <w:sz w:val="22"/>
                <w:szCs w:val="22"/>
              </w:rPr>
            </w:pPr>
            <w:r>
              <w:rPr>
                <w:rFonts w:ascii="Arial" w:hAnsi="Arial" w:cs="Arial"/>
                <w:sz w:val="22"/>
                <w:szCs w:val="22"/>
              </w:rPr>
              <w:t xml:space="preserve">FMD </w:t>
            </w:r>
            <w:r w:rsidR="000775E9">
              <w:rPr>
                <w:rFonts w:ascii="Arial" w:hAnsi="Arial" w:cs="Arial"/>
                <w:sz w:val="22"/>
                <w:szCs w:val="22"/>
              </w:rPr>
              <w:t xml:space="preserve">Capital </w:t>
            </w:r>
            <w:r>
              <w:rPr>
                <w:rFonts w:ascii="Arial" w:hAnsi="Arial" w:cs="Arial"/>
                <w:sz w:val="22"/>
                <w:szCs w:val="22"/>
              </w:rPr>
              <w:t>LTL</w:t>
            </w:r>
            <w:r w:rsidR="00E71281">
              <w:rPr>
                <w:rFonts w:ascii="Arial" w:hAnsi="Arial" w:cs="Arial"/>
                <w:sz w:val="22"/>
                <w:szCs w:val="22"/>
              </w:rPr>
              <w:t xml:space="preserve">: </w:t>
            </w:r>
            <w:r w:rsidR="000775E9" w:rsidRPr="000775E9">
              <w:rPr>
                <w:rFonts w:ascii="Arial" w:hAnsi="Arial" w:cs="Arial"/>
                <w:sz w:val="22"/>
                <w:szCs w:val="22"/>
              </w:rPr>
              <w:t xml:space="preserve">SODO temporary </w:t>
            </w:r>
            <w:r w:rsidR="007D2FD3">
              <w:rPr>
                <w:rFonts w:ascii="Arial" w:hAnsi="Arial" w:cs="Arial"/>
                <w:sz w:val="22"/>
                <w:szCs w:val="22"/>
              </w:rPr>
              <w:t xml:space="preserve">enhanced </w:t>
            </w:r>
            <w:r w:rsidR="000775E9" w:rsidRPr="000775E9">
              <w:rPr>
                <w:rFonts w:ascii="Arial" w:hAnsi="Arial" w:cs="Arial"/>
                <w:sz w:val="22"/>
                <w:szCs w:val="22"/>
              </w:rPr>
              <w:t>shelter lease costs through December 31, 2021.</w:t>
            </w:r>
          </w:p>
        </w:tc>
        <w:tc>
          <w:tcPr>
            <w:tcW w:w="270" w:type="dxa"/>
            <w:tcBorders>
              <w:top w:val="nil"/>
              <w:left w:val="nil"/>
              <w:bottom w:val="nil"/>
              <w:right w:val="nil"/>
            </w:tcBorders>
          </w:tcPr>
          <w:p w14:paraId="419956BE" w14:textId="77777777" w:rsidR="00E71281" w:rsidRPr="008D0300" w:rsidRDefault="00E71281" w:rsidP="00E71281">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32A19522" w14:textId="7140A744" w:rsidR="00E71281" w:rsidRDefault="00E71281" w:rsidP="00E71281">
            <w:pPr>
              <w:jc w:val="right"/>
              <w:rPr>
                <w:rFonts w:ascii="Arial" w:hAnsi="Arial" w:cs="Arial"/>
                <w:sz w:val="22"/>
                <w:szCs w:val="22"/>
              </w:rPr>
            </w:pPr>
            <w:r>
              <w:rPr>
                <w:rFonts w:ascii="Arial" w:hAnsi="Arial" w:cs="Arial"/>
                <w:sz w:val="22"/>
                <w:szCs w:val="22"/>
              </w:rPr>
              <w:t>$</w:t>
            </w:r>
            <w:r w:rsidR="000775E9">
              <w:rPr>
                <w:rFonts w:ascii="Arial" w:hAnsi="Arial" w:cs="Arial"/>
                <w:sz w:val="22"/>
                <w:szCs w:val="22"/>
              </w:rPr>
              <w:t>0.6</w:t>
            </w:r>
            <w:r>
              <w:rPr>
                <w:rFonts w:ascii="Arial" w:hAnsi="Arial" w:cs="Arial"/>
                <w:sz w:val="22"/>
                <w:szCs w:val="22"/>
              </w:rPr>
              <w:t xml:space="preserve"> M</w:t>
            </w:r>
          </w:p>
        </w:tc>
      </w:tr>
      <w:tr w:rsidR="00E71281" w:rsidRPr="008D0300" w14:paraId="764D8A76" w14:textId="77777777" w:rsidTr="00266917">
        <w:trPr>
          <w:cantSplit/>
          <w:jc w:val="center"/>
        </w:trPr>
        <w:tc>
          <w:tcPr>
            <w:tcW w:w="571" w:type="dxa"/>
            <w:tcBorders>
              <w:top w:val="nil"/>
              <w:left w:val="nil"/>
              <w:bottom w:val="nil"/>
              <w:right w:val="nil"/>
            </w:tcBorders>
          </w:tcPr>
          <w:p w14:paraId="2CC8A089" w14:textId="1FDF0024" w:rsidR="00E71281" w:rsidRDefault="00D918A4" w:rsidP="00E71281">
            <w:pPr>
              <w:rPr>
                <w:rFonts w:ascii="Arial" w:hAnsi="Arial" w:cs="Arial"/>
                <w:sz w:val="22"/>
                <w:szCs w:val="22"/>
              </w:rPr>
            </w:pPr>
            <w:r>
              <w:rPr>
                <w:rFonts w:ascii="Arial" w:hAnsi="Arial" w:cs="Arial"/>
                <w:sz w:val="22"/>
                <w:szCs w:val="22"/>
              </w:rPr>
              <w:t>5</w:t>
            </w:r>
          </w:p>
        </w:tc>
        <w:tc>
          <w:tcPr>
            <w:tcW w:w="268" w:type="dxa"/>
            <w:tcBorders>
              <w:top w:val="nil"/>
              <w:left w:val="nil"/>
              <w:bottom w:val="nil"/>
              <w:right w:val="nil"/>
            </w:tcBorders>
          </w:tcPr>
          <w:p w14:paraId="04160548" w14:textId="00BEA4E5" w:rsidR="00E71281" w:rsidRDefault="00E71281" w:rsidP="00E7128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4F7B3C5" w14:textId="181E38F3" w:rsidR="00E71281" w:rsidRDefault="008B5706" w:rsidP="00E71281">
            <w:pPr>
              <w:rPr>
                <w:rFonts w:ascii="Arial" w:hAnsi="Arial" w:cs="Arial"/>
                <w:sz w:val="22"/>
                <w:szCs w:val="22"/>
              </w:rPr>
            </w:pPr>
            <w:r>
              <w:rPr>
                <w:rFonts w:ascii="Arial" w:hAnsi="Arial" w:cs="Arial"/>
                <w:sz w:val="22"/>
                <w:szCs w:val="22"/>
              </w:rPr>
              <w:t>FMD Capital LTL</w:t>
            </w:r>
            <w:r w:rsidR="00E71281">
              <w:rPr>
                <w:rFonts w:ascii="Arial" w:hAnsi="Arial" w:cs="Arial"/>
                <w:sz w:val="22"/>
                <w:szCs w:val="22"/>
              </w:rPr>
              <w:t xml:space="preserve">: </w:t>
            </w:r>
            <w:r>
              <w:rPr>
                <w:rFonts w:ascii="Arial" w:hAnsi="Arial" w:cs="Arial"/>
                <w:sz w:val="22"/>
                <w:szCs w:val="22"/>
              </w:rPr>
              <w:t xml:space="preserve">SODO </w:t>
            </w:r>
            <w:r w:rsidR="007D2FD3">
              <w:rPr>
                <w:rFonts w:ascii="Arial" w:hAnsi="Arial" w:cs="Arial"/>
                <w:sz w:val="22"/>
                <w:szCs w:val="22"/>
              </w:rPr>
              <w:t>(</w:t>
            </w:r>
            <w:r w:rsidRPr="008B5706">
              <w:rPr>
                <w:rFonts w:ascii="Arial" w:hAnsi="Arial" w:cs="Arial"/>
                <w:sz w:val="22"/>
                <w:szCs w:val="22"/>
              </w:rPr>
              <w:t>1</w:t>
            </w:r>
            <w:r w:rsidR="007D2FD3" w:rsidRPr="007D2FD3">
              <w:rPr>
                <w:rFonts w:ascii="Arial" w:hAnsi="Arial" w:cs="Arial"/>
                <w:sz w:val="22"/>
                <w:szCs w:val="22"/>
                <w:vertAlign w:val="superscript"/>
              </w:rPr>
              <w:t>st</w:t>
            </w:r>
            <w:r w:rsidRPr="008B5706">
              <w:rPr>
                <w:rFonts w:ascii="Arial" w:hAnsi="Arial" w:cs="Arial"/>
                <w:sz w:val="22"/>
                <w:szCs w:val="22"/>
              </w:rPr>
              <w:t xml:space="preserve"> Avenue</w:t>
            </w:r>
            <w:r w:rsidR="007D2FD3">
              <w:rPr>
                <w:rFonts w:ascii="Arial" w:hAnsi="Arial" w:cs="Arial"/>
                <w:sz w:val="22"/>
                <w:szCs w:val="22"/>
              </w:rPr>
              <w:t>)</w:t>
            </w:r>
            <w:r w:rsidRPr="008B5706">
              <w:rPr>
                <w:rFonts w:ascii="Arial" w:hAnsi="Arial" w:cs="Arial"/>
                <w:sz w:val="22"/>
                <w:szCs w:val="22"/>
              </w:rPr>
              <w:t xml:space="preserve"> </w:t>
            </w:r>
            <w:r w:rsidR="007D2FD3">
              <w:rPr>
                <w:rFonts w:ascii="Arial" w:hAnsi="Arial" w:cs="Arial"/>
                <w:sz w:val="22"/>
                <w:szCs w:val="22"/>
              </w:rPr>
              <w:t>w</w:t>
            </w:r>
            <w:r w:rsidRPr="008B5706">
              <w:rPr>
                <w:rFonts w:ascii="Arial" w:hAnsi="Arial" w:cs="Arial"/>
                <w:sz w:val="22"/>
                <w:szCs w:val="22"/>
              </w:rPr>
              <w:t>arehous</w:t>
            </w:r>
            <w:r w:rsidR="009B35B6">
              <w:rPr>
                <w:rFonts w:ascii="Arial" w:hAnsi="Arial" w:cs="Arial"/>
                <w:sz w:val="22"/>
                <w:szCs w:val="22"/>
              </w:rPr>
              <w:t xml:space="preserve">e </w:t>
            </w:r>
            <w:r w:rsidRPr="008B5706">
              <w:rPr>
                <w:rFonts w:ascii="Arial" w:hAnsi="Arial" w:cs="Arial"/>
                <w:sz w:val="22"/>
                <w:szCs w:val="22"/>
              </w:rPr>
              <w:t xml:space="preserve">and </w:t>
            </w:r>
            <w:r w:rsidR="00643028">
              <w:rPr>
                <w:rFonts w:ascii="Arial" w:hAnsi="Arial" w:cs="Arial"/>
                <w:sz w:val="22"/>
                <w:szCs w:val="22"/>
              </w:rPr>
              <w:t xml:space="preserve">Prologis Park </w:t>
            </w:r>
            <w:r w:rsidRPr="008B5706">
              <w:rPr>
                <w:rFonts w:ascii="Arial" w:hAnsi="Arial" w:cs="Arial"/>
                <w:sz w:val="22"/>
                <w:szCs w:val="22"/>
              </w:rPr>
              <w:t xml:space="preserve">Kent 43 </w:t>
            </w:r>
            <w:r w:rsidR="007D2FD3">
              <w:rPr>
                <w:rFonts w:ascii="Arial" w:hAnsi="Arial" w:cs="Arial"/>
                <w:sz w:val="22"/>
                <w:szCs w:val="22"/>
              </w:rPr>
              <w:t>w</w:t>
            </w:r>
            <w:r w:rsidRPr="008B5706">
              <w:rPr>
                <w:rFonts w:ascii="Arial" w:hAnsi="Arial" w:cs="Arial"/>
                <w:sz w:val="22"/>
                <w:szCs w:val="22"/>
              </w:rPr>
              <w:t>arehouse lease</w:t>
            </w:r>
            <w:r w:rsidR="009B35B6">
              <w:rPr>
                <w:rFonts w:ascii="Arial" w:hAnsi="Arial" w:cs="Arial"/>
                <w:sz w:val="22"/>
                <w:szCs w:val="22"/>
              </w:rPr>
              <w:t xml:space="preserve"> extensions </w:t>
            </w:r>
            <w:r w:rsidRPr="008B5706">
              <w:rPr>
                <w:rFonts w:ascii="Arial" w:hAnsi="Arial" w:cs="Arial"/>
                <w:sz w:val="22"/>
                <w:szCs w:val="22"/>
              </w:rPr>
              <w:t>for the storage of PPE and other COVID-19</w:t>
            </w:r>
            <w:r w:rsidR="009B35B6">
              <w:rPr>
                <w:rFonts w:ascii="Arial" w:hAnsi="Arial" w:cs="Arial"/>
                <w:sz w:val="22"/>
                <w:szCs w:val="22"/>
              </w:rPr>
              <w:t xml:space="preserve"> </w:t>
            </w:r>
            <w:r w:rsidRPr="008B5706">
              <w:rPr>
                <w:rFonts w:ascii="Arial" w:hAnsi="Arial" w:cs="Arial"/>
                <w:sz w:val="22"/>
                <w:szCs w:val="22"/>
              </w:rPr>
              <w:t>related equipment.</w:t>
            </w:r>
          </w:p>
        </w:tc>
        <w:tc>
          <w:tcPr>
            <w:tcW w:w="270" w:type="dxa"/>
            <w:tcBorders>
              <w:top w:val="nil"/>
              <w:left w:val="nil"/>
              <w:bottom w:val="nil"/>
              <w:right w:val="nil"/>
            </w:tcBorders>
          </w:tcPr>
          <w:p w14:paraId="6D695301" w14:textId="77777777" w:rsidR="00E71281" w:rsidRPr="008D0300" w:rsidRDefault="00E71281" w:rsidP="00E71281">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7CA2380F" w14:textId="41BAECAA" w:rsidR="00E71281" w:rsidRPr="008D0300" w:rsidRDefault="00E71281" w:rsidP="00E71281">
            <w:pPr>
              <w:jc w:val="right"/>
              <w:rPr>
                <w:rFonts w:ascii="Arial" w:hAnsi="Arial" w:cs="Arial"/>
                <w:sz w:val="22"/>
                <w:szCs w:val="22"/>
              </w:rPr>
            </w:pPr>
            <w:r>
              <w:rPr>
                <w:rFonts w:ascii="Arial" w:hAnsi="Arial" w:cs="Arial"/>
                <w:sz w:val="22"/>
                <w:szCs w:val="22"/>
              </w:rPr>
              <w:t>$</w:t>
            </w:r>
            <w:r w:rsidR="009B35B6">
              <w:rPr>
                <w:rFonts w:ascii="Arial" w:hAnsi="Arial" w:cs="Arial"/>
                <w:sz w:val="22"/>
                <w:szCs w:val="22"/>
              </w:rPr>
              <w:t>0</w:t>
            </w:r>
            <w:r w:rsidR="00EF21E4">
              <w:rPr>
                <w:rFonts w:ascii="Arial" w:hAnsi="Arial" w:cs="Arial"/>
                <w:sz w:val="22"/>
                <w:szCs w:val="22"/>
              </w:rPr>
              <w:t>.3</w:t>
            </w:r>
            <w:r w:rsidR="00F07375">
              <w:rPr>
                <w:rFonts w:ascii="Arial" w:hAnsi="Arial" w:cs="Arial"/>
                <w:sz w:val="22"/>
                <w:szCs w:val="22"/>
              </w:rPr>
              <w:t xml:space="preserve"> </w:t>
            </w:r>
            <w:r>
              <w:rPr>
                <w:rFonts w:ascii="Arial" w:hAnsi="Arial" w:cs="Arial"/>
                <w:sz w:val="22"/>
                <w:szCs w:val="22"/>
              </w:rPr>
              <w:t xml:space="preserve">M </w:t>
            </w:r>
          </w:p>
        </w:tc>
      </w:tr>
      <w:tr w:rsidR="00E71281" w:rsidRPr="008D0300" w14:paraId="3E7D8486" w14:textId="77777777" w:rsidTr="00266917">
        <w:trPr>
          <w:cantSplit/>
          <w:jc w:val="center"/>
        </w:trPr>
        <w:tc>
          <w:tcPr>
            <w:tcW w:w="571" w:type="dxa"/>
            <w:tcBorders>
              <w:top w:val="nil"/>
              <w:left w:val="nil"/>
              <w:bottom w:val="nil"/>
              <w:right w:val="nil"/>
            </w:tcBorders>
          </w:tcPr>
          <w:p w14:paraId="2F969344" w14:textId="4C416FE4" w:rsidR="00E71281" w:rsidRDefault="00D918A4" w:rsidP="00E71281">
            <w:pPr>
              <w:rPr>
                <w:rFonts w:ascii="Arial" w:hAnsi="Arial" w:cs="Arial"/>
                <w:sz w:val="22"/>
                <w:szCs w:val="22"/>
              </w:rPr>
            </w:pPr>
            <w:r>
              <w:rPr>
                <w:rFonts w:ascii="Arial" w:hAnsi="Arial" w:cs="Arial"/>
                <w:sz w:val="22"/>
                <w:szCs w:val="22"/>
              </w:rPr>
              <w:t>6</w:t>
            </w:r>
          </w:p>
        </w:tc>
        <w:tc>
          <w:tcPr>
            <w:tcW w:w="268" w:type="dxa"/>
            <w:tcBorders>
              <w:top w:val="nil"/>
              <w:left w:val="nil"/>
              <w:bottom w:val="nil"/>
              <w:right w:val="nil"/>
            </w:tcBorders>
          </w:tcPr>
          <w:p w14:paraId="36F0D58F" w14:textId="2254F062" w:rsidR="00E71281" w:rsidRDefault="00E71281" w:rsidP="00E7128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7C5CA2E" w14:textId="1C4A018E" w:rsidR="00E71281" w:rsidRDefault="00EF21E4" w:rsidP="00E71281">
            <w:pPr>
              <w:rPr>
                <w:rFonts w:ascii="Arial" w:hAnsi="Arial" w:cs="Arial"/>
                <w:sz w:val="22"/>
                <w:szCs w:val="22"/>
              </w:rPr>
            </w:pPr>
            <w:r>
              <w:rPr>
                <w:rFonts w:ascii="Arial" w:hAnsi="Arial" w:cs="Arial"/>
                <w:sz w:val="22"/>
                <w:szCs w:val="22"/>
              </w:rPr>
              <w:t>FMD Capital LTL</w:t>
            </w:r>
            <w:r w:rsidR="00E71281">
              <w:rPr>
                <w:rFonts w:ascii="Arial" w:hAnsi="Arial" w:cs="Arial"/>
                <w:sz w:val="22"/>
                <w:szCs w:val="22"/>
              </w:rPr>
              <w:t xml:space="preserve">: </w:t>
            </w:r>
            <w:r>
              <w:rPr>
                <w:rFonts w:ascii="Arial" w:hAnsi="Arial" w:cs="Arial"/>
                <w:sz w:val="22"/>
                <w:szCs w:val="22"/>
              </w:rPr>
              <w:t xml:space="preserve">Extend </w:t>
            </w:r>
            <w:r w:rsidR="00403ADE" w:rsidRPr="00EF21E4">
              <w:rPr>
                <w:rFonts w:ascii="Arial" w:hAnsi="Arial" w:cs="Arial"/>
                <w:sz w:val="22"/>
                <w:szCs w:val="22"/>
              </w:rPr>
              <w:t xml:space="preserve">Renton Red Lion and SeaTac Sleep-Inn </w:t>
            </w:r>
            <w:r w:rsidRPr="00EF21E4">
              <w:rPr>
                <w:rFonts w:ascii="Arial" w:hAnsi="Arial" w:cs="Arial"/>
                <w:sz w:val="22"/>
                <w:szCs w:val="22"/>
              </w:rPr>
              <w:t>leases through December 31, 2021.</w:t>
            </w:r>
          </w:p>
        </w:tc>
        <w:tc>
          <w:tcPr>
            <w:tcW w:w="270" w:type="dxa"/>
            <w:tcBorders>
              <w:top w:val="nil"/>
              <w:left w:val="nil"/>
              <w:bottom w:val="nil"/>
              <w:right w:val="nil"/>
            </w:tcBorders>
          </w:tcPr>
          <w:p w14:paraId="45217D1D" w14:textId="77777777" w:rsidR="00E71281" w:rsidRPr="008D0300" w:rsidRDefault="00E71281" w:rsidP="00E71281">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30C98845" w14:textId="4FAEFF44" w:rsidR="00E71281" w:rsidRDefault="00E71281" w:rsidP="00E71281">
            <w:pPr>
              <w:jc w:val="right"/>
              <w:rPr>
                <w:rFonts w:ascii="Arial" w:hAnsi="Arial" w:cs="Arial"/>
                <w:sz w:val="22"/>
                <w:szCs w:val="22"/>
              </w:rPr>
            </w:pPr>
            <w:r>
              <w:rPr>
                <w:rFonts w:ascii="Arial" w:hAnsi="Arial" w:cs="Arial"/>
                <w:sz w:val="22"/>
                <w:szCs w:val="22"/>
              </w:rPr>
              <w:t>$</w:t>
            </w:r>
            <w:r w:rsidR="004203B3">
              <w:rPr>
                <w:rFonts w:ascii="Arial" w:hAnsi="Arial" w:cs="Arial"/>
                <w:sz w:val="22"/>
                <w:szCs w:val="22"/>
              </w:rPr>
              <w:t>1.4</w:t>
            </w:r>
            <w:r>
              <w:rPr>
                <w:rFonts w:ascii="Arial" w:hAnsi="Arial" w:cs="Arial"/>
                <w:sz w:val="22"/>
                <w:szCs w:val="22"/>
              </w:rPr>
              <w:t xml:space="preserve"> M</w:t>
            </w:r>
          </w:p>
        </w:tc>
      </w:tr>
      <w:tr w:rsidR="00E71281" w:rsidRPr="008D0300" w14:paraId="598A15EC" w14:textId="77777777" w:rsidTr="00266917">
        <w:trPr>
          <w:cantSplit/>
          <w:jc w:val="center"/>
        </w:trPr>
        <w:tc>
          <w:tcPr>
            <w:tcW w:w="571" w:type="dxa"/>
            <w:tcBorders>
              <w:top w:val="nil"/>
              <w:left w:val="nil"/>
              <w:bottom w:val="nil"/>
              <w:right w:val="nil"/>
            </w:tcBorders>
          </w:tcPr>
          <w:p w14:paraId="544044B2" w14:textId="76B87AAF" w:rsidR="00E71281" w:rsidRDefault="00D918A4" w:rsidP="00E71281">
            <w:pPr>
              <w:rPr>
                <w:rFonts w:ascii="Arial" w:hAnsi="Arial" w:cs="Arial"/>
                <w:sz w:val="22"/>
                <w:szCs w:val="22"/>
              </w:rPr>
            </w:pPr>
            <w:r>
              <w:rPr>
                <w:rFonts w:ascii="Arial" w:hAnsi="Arial" w:cs="Arial"/>
                <w:sz w:val="22"/>
                <w:szCs w:val="22"/>
              </w:rPr>
              <w:t>7</w:t>
            </w:r>
          </w:p>
        </w:tc>
        <w:tc>
          <w:tcPr>
            <w:tcW w:w="268" w:type="dxa"/>
            <w:tcBorders>
              <w:top w:val="nil"/>
              <w:left w:val="nil"/>
              <w:bottom w:val="nil"/>
              <w:right w:val="nil"/>
            </w:tcBorders>
          </w:tcPr>
          <w:p w14:paraId="4098436B" w14:textId="77777777" w:rsidR="00E71281" w:rsidRDefault="00E71281" w:rsidP="00E7128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2C5F4926" w14:textId="49FCBBA8" w:rsidR="00E71281" w:rsidRDefault="0097779F" w:rsidP="00E71281">
            <w:pPr>
              <w:rPr>
                <w:rFonts w:ascii="Arial" w:hAnsi="Arial" w:cs="Arial"/>
                <w:sz w:val="22"/>
                <w:szCs w:val="22"/>
              </w:rPr>
            </w:pPr>
            <w:r>
              <w:rPr>
                <w:rFonts w:ascii="Arial" w:hAnsi="Arial" w:cs="Arial"/>
                <w:sz w:val="22"/>
                <w:szCs w:val="22"/>
              </w:rPr>
              <w:t>FMD Capital BRR</w:t>
            </w:r>
            <w:r w:rsidR="00E71281">
              <w:rPr>
                <w:rFonts w:ascii="Arial" w:hAnsi="Arial" w:cs="Arial"/>
                <w:sz w:val="22"/>
                <w:szCs w:val="22"/>
              </w:rPr>
              <w:t xml:space="preserve">: </w:t>
            </w:r>
            <w:r>
              <w:rPr>
                <w:rFonts w:ascii="Arial" w:hAnsi="Arial" w:cs="Arial"/>
                <w:sz w:val="22"/>
                <w:szCs w:val="22"/>
              </w:rPr>
              <w:t>C</w:t>
            </w:r>
            <w:r w:rsidRPr="0097779F">
              <w:rPr>
                <w:rFonts w:ascii="Arial" w:hAnsi="Arial" w:cs="Arial"/>
                <w:sz w:val="22"/>
                <w:szCs w:val="22"/>
              </w:rPr>
              <w:t xml:space="preserve">onstruction costs to restore </w:t>
            </w:r>
            <w:r>
              <w:rPr>
                <w:rFonts w:ascii="Arial" w:hAnsi="Arial" w:cs="Arial"/>
                <w:sz w:val="22"/>
                <w:szCs w:val="22"/>
              </w:rPr>
              <w:t>county-</w:t>
            </w:r>
            <w:r w:rsidRPr="0097779F">
              <w:rPr>
                <w:rFonts w:ascii="Arial" w:hAnsi="Arial" w:cs="Arial"/>
                <w:sz w:val="22"/>
                <w:szCs w:val="22"/>
              </w:rPr>
              <w:t>leased hotels in Issaquah, Renton, and SeaTac to pre-</w:t>
            </w:r>
            <w:r>
              <w:rPr>
                <w:rFonts w:ascii="Arial" w:hAnsi="Arial" w:cs="Arial"/>
                <w:sz w:val="22"/>
                <w:szCs w:val="22"/>
              </w:rPr>
              <w:t>c</w:t>
            </w:r>
            <w:r w:rsidRPr="0097779F">
              <w:rPr>
                <w:rFonts w:ascii="Arial" w:hAnsi="Arial" w:cs="Arial"/>
                <w:sz w:val="22"/>
                <w:szCs w:val="22"/>
              </w:rPr>
              <w:t>ounty lease facility condition</w:t>
            </w:r>
            <w:r>
              <w:rPr>
                <w:rFonts w:ascii="Arial" w:hAnsi="Arial" w:cs="Arial"/>
                <w:sz w:val="22"/>
                <w:szCs w:val="22"/>
              </w:rPr>
              <w:t>s.</w:t>
            </w:r>
          </w:p>
        </w:tc>
        <w:tc>
          <w:tcPr>
            <w:tcW w:w="270" w:type="dxa"/>
            <w:tcBorders>
              <w:top w:val="nil"/>
              <w:left w:val="nil"/>
              <w:bottom w:val="nil"/>
              <w:right w:val="nil"/>
            </w:tcBorders>
          </w:tcPr>
          <w:p w14:paraId="5E85F225" w14:textId="77777777" w:rsidR="00E71281" w:rsidRPr="008D0300" w:rsidRDefault="00E71281" w:rsidP="00E71281">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53A7703F" w14:textId="679BA5E2" w:rsidR="00E71281" w:rsidRDefault="00E71281" w:rsidP="00E71281">
            <w:pPr>
              <w:jc w:val="right"/>
              <w:rPr>
                <w:rFonts w:ascii="Arial" w:hAnsi="Arial" w:cs="Arial"/>
                <w:sz w:val="22"/>
                <w:szCs w:val="22"/>
              </w:rPr>
            </w:pPr>
            <w:r>
              <w:rPr>
                <w:rFonts w:ascii="Arial" w:hAnsi="Arial" w:cs="Arial"/>
                <w:sz w:val="22"/>
                <w:szCs w:val="22"/>
              </w:rPr>
              <w:t>$</w:t>
            </w:r>
            <w:r w:rsidR="0097779F">
              <w:rPr>
                <w:rFonts w:ascii="Arial" w:hAnsi="Arial" w:cs="Arial"/>
                <w:sz w:val="22"/>
                <w:szCs w:val="22"/>
              </w:rPr>
              <w:t>12.0</w:t>
            </w:r>
            <w:r>
              <w:rPr>
                <w:rFonts w:ascii="Arial" w:hAnsi="Arial" w:cs="Arial"/>
                <w:sz w:val="22"/>
                <w:szCs w:val="22"/>
              </w:rPr>
              <w:t xml:space="preserve"> M</w:t>
            </w:r>
          </w:p>
        </w:tc>
      </w:tr>
      <w:tr w:rsidR="00E71281" w:rsidRPr="008D0300" w14:paraId="0717DC39" w14:textId="77777777" w:rsidTr="00266917">
        <w:trPr>
          <w:cantSplit/>
          <w:trHeight w:val="756"/>
          <w:jc w:val="center"/>
        </w:trPr>
        <w:tc>
          <w:tcPr>
            <w:tcW w:w="571" w:type="dxa"/>
            <w:tcBorders>
              <w:top w:val="nil"/>
              <w:left w:val="nil"/>
              <w:bottom w:val="single" w:sz="4" w:space="0" w:color="auto"/>
              <w:right w:val="nil"/>
            </w:tcBorders>
          </w:tcPr>
          <w:p w14:paraId="2177F44D" w14:textId="397F6667" w:rsidR="00E71281" w:rsidRDefault="00D918A4" w:rsidP="00E71281">
            <w:pPr>
              <w:rPr>
                <w:rFonts w:ascii="Arial" w:hAnsi="Arial" w:cs="Arial"/>
                <w:sz w:val="22"/>
                <w:szCs w:val="22"/>
              </w:rPr>
            </w:pPr>
            <w:r>
              <w:rPr>
                <w:rFonts w:ascii="Arial" w:hAnsi="Arial" w:cs="Arial"/>
                <w:sz w:val="22"/>
                <w:szCs w:val="22"/>
              </w:rPr>
              <w:t>8</w:t>
            </w:r>
          </w:p>
        </w:tc>
        <w:tc>
          <w:tcPr>
            <w:tcW w:w="268" w:type="dxa"/>
            <w:tcBorders>
              <w:top w:val="nil"/>
              <w:left w:val="nil"/>
              <w:bottom w:val="single" w:sz="4" w:space="0" w:color="auto"/>
              <w:right w:val="nil"/>
            </w:tcBorders>
          </w:tcPr>
          <w:p w14:paraId="11E3E13A" w14:textId="77777777" w:rsidR="00E71281" w:rsidRDefault="00E71281" w:rsidP="00E71281">
            <w:pPr>
              <w:rPr>
                <w:rFonts w:ascii="Arial" w:hAnsi="Arial" w:cs="Arial"/>
                <w:sz w:val="22"/>
                <w:szCs w:val="22"/>
              </w:rPr>
            </w:pPr>
          </w:p>
        </w:tc>
        <w:tc>
          <w:tcPr>
            <w:tcW w:w="7081" w:type="dxa"/>
            <w:tcBorders>
              <w:top w:val="nil"/>
              <w:left w:val="nil"/>
              <w:bottom w:val="single" w:sz="4" w:space="0" w:color="auto"/>
              <w:right w:val="nil"/>
            </w:tcBorders>
            <w:tcMar>
              <w:top w:w="72" w:type="dxa"/>
              <w:left w:w="115" w:type="dxa"/>
              <w:bottom w:w="72" w:type="dxa"/>
              <w:right w:w="115" w:type="dxa"/>
            </w:tcMar>
          </w:tcPr>
          <w:p w14:paraId="6E442AD6" w14:textId="12683D02" w:rsidR="00E71281" w:rsidRDefault="00EB796B" w:rsidP="00DC05E4">
            <w:pPr>
              <w:rPr>
                <w:rFonts w:ascii="Arial" w:hAnsi="Arial" w:cs="Arial"/>
                <w:sz w:val="22"/>
                <w:szCs w:val="22"/>
              </w:rPr>
            </w:pPr>
            <w:r>
              <w:rPr>
                <w:rFonts w:ascii="Arial" w:hAnsi="Arial" w:cs="Arial"/>
                <w:sz w:val="22"/>
                <w:szCs w:val="22"/>
              </w:rPr>
              <w:t>FMD Capital BRR: W</w:t>
            </w:r>
            <w:r w:rsidRPr="00EB796B">
              <w:rPr>
                <w:rFonts w:ascii="Arial" w:hAnsi="Arial" w:cs="Arial"/>
                <w:sz w:val="22"/>
                <w:szCs w:val="22"/>
              </w:rPr>
              <w:t xml:space="preserve">ater damage repairs to the Aurora trailer </w:t>
            </w:r>
            <w:r>
              <w:rPr>
                <w:rFonts w:ascii="Arial" w:hAnsi="Arial" w:cs="Arial"/>
                <w:sz w:val="22"/>
                <w:szCs w:val="22"/>
              </w:rPr>
              <w:t xml:space="preserve">shelter </w:t>
            </w:r>
            <w:r w:rsidRPr="00EB796B">
              <w:rPr>
                <w:rFonts w:ascii="Arial" w:hAnsi="Arial" w:cs="Arial"/>
                <w:sz w:val="22"/>
                <w:szCs w:val="22"/>
              </w:rPr>
              <w:t>site.</w:t>
            </w:r>
          </w:p>
        </w:tc>
        <w:tc>
          <w:tcPr>
            <w:tcW w:w="270" w:type="dxa"/>
            <w:tcBorders>
              <w:top w:val="nil"/>
              <w:left w:val="nil"/>
              <w:bottom w:val="single" w:sz="4" w:space="0" w:color="auto"/>
              <w:right w:val="nil"/>
            </w:tcBorders>
          </w:tcPr>
          <w:p w14:paraId="482C397F" w14:textId="77777777" w:rsidR="00E71281" w:rsidRPr="008D0300" w:rsidRDefault="00E71281" w:rsidP="00E71281">
            <w:pPr>
              <w:jc w:val="right"/>
              <w:rPr>
                <w:rFonts w:ascii="Arial" w:hAnsi="Arial" w:cs="Arial"/>
                <w:sz w:val="22"/>
                <w:szCs w:val="22"/>
              </w:rPr>
            </w:pPr>
          </w:p>
        </w:tc>
        <w:tc>
          <w:tcPr>
            <w:tcW w:w="1170" w:type="dxa"/>
            <w:tcBorders>
              <w:top w:val="nil"/>
              <w:left w:val="nil"/>
              <w:bottom w:val="single" w:sz="4" w:space="0" w:color="auto"/>
              <w:right w:val="single" w:sz="2" w:space="0" w:color="FFFFFF" w:themeColor="background1"/>
            </w:tcBorders>
            <w:tcMar>
              <w:top w:w="72" w:type="dxa"/>
              <w:left w:w="115" w:type="dxa"/>
              <w:bottom w:w="72" w:type="dxa"/>
              <w:right w:w="115" w:type="dxa"/>
            </w:tcMar>
          </w:tcPr>
          <w:p w14:paraId="63A68A63" w14:textId="09378BEA" w:rsidR="00E71281" w:rsidRDefault="00E71281" w:rsidP="00E71281">
            <w:pPr>
              <w:jc w:val="right"/>
              <w:rPr>
                <w:rFonts w:ascii="Arial" w:hAnsi="Arial" w:cs="Arial"/>
                <w:sz w:val="22"/>
                <w:szCs w:val="22"/>
              </w:rPr>
            </w:pPr>
            <w:r>
              <w:rPr>
                <w:rFonts w:ascii="Arial" w:hAnsi="Arial" w:cs="Arial"/>
                <w:sz w:val="22"/>
                <w:szCs w:val="22"/>
              </w:rPr>
              <w:t>$</w:t>
            </w:r>
            <w:r w:rsidR="00EB796B">
              <w:rPr>
                <w:rFonts w:ascii="Arial" w:hAnsi="Arial" w:cs="Arial"/>
                <w:sz w:val="22"/>
                <w:szCs w:val="22"/>
              </w:rPr>
              <w:t>0.4</w:t>
            </w:r>
            <w:r>
              <w:rPr>
                <w:rFonts w:ascii="Arial" w:hAnsi="Arial" w:cs="Arial"/>
                <w:sz w:val="22"/>
                <w:szCs w:val="22"/>
              </w:rPr>
              <w:t xml:space="preserve"> M</w:t>
            </w:r>
          </w:p>
        </w:tc>
      </w:tr>
      <w:tr w:rsidR="002C0D08" w:rsidRPr="008D0300" w14:paraId="3EB14070" w14:textId="77777777" w:rsidTr="006E3C2E">
        <w:trPr>
          <w:cantSplit/>
          <w:trHeight w:val="638"/>
          <w:jc w:val="center"/>
        </w:trPr>
        <w:tc>
          <w:tcPr>
            <w:tcW w:w="9360" w:type="dxa"/>
            <w:gridSpan w:val="5"/>
            <w:tcBorders>
              <w:top w:val="single" w:sz="4" w:space="0" w:color="auto"/>
              <w:left w:val="nil"/>
              <w:bottom w:val="single" w:sz="4" w:space="0" w:color="auto"/>
              <w:right w:val="single" w:sz="2" w:space="0" w:color="FFFFFF" w:themeColor="background1"/>
            </w:tcBorders>
            <w:shd w:val="clear" w:color="auto" w:fill="F2F2F2" w:themeFill="background1" w:themeFillShade="F2"/>
            <w:vAlign w:val="center"/>
          </w:tcPr>
          <w:p w14:paraId="70EC9230" w14:textId="550EF23C" w:rsidR="002C0D08" w:rsidRPr="00B0787C" w:rsidRDefault="002C0D08" w:rsidP="002C0D08">
            <w:pPr>
              <w:rPr>
                <w:rFonts w:ascii="Arial" w:hAnsi="Arial" w:cs="Arial"/>
                <w:b/>
                <w:bCs/>
                <w:sz w:val="22"/>
                <w:szCs w:val="22"/>
              </w:rPr>
            </w:pPr>
            <w:r w:rsidRPr="00B0787C">
              <w:rPr>
                <w:rFonts w:ascii="Arial" w:hAnsi="Arial" w:cs="Arial"/>
                <w:b/>
                <w:bCs/>
                <w:sz w:val="22"/>
                <w:szCs w:val="22"/>
              </w:rPr>
              <w:t>Civil Legal Aid and Immigrant Community Supports</w:t>
            </w:r>
          </w:p>
        </w:tc>
      </w:tr>
      <w:tr w:rsidR="00E71281" w:rsidRPr="008D0300" w14:paraId="7E21DDA6" w14:textId="77777777" w:rsidTr="00266917">
        <w:trPr>
          <w:cantSplit/>
          <w:jc w:val="center"/>
        </w:trPr>
        <w:tc>
          <w:tcPr>
            <w:tcW w:w="571" w:type="dxa"/>
            <w:tcBorders>
              <w:top w:val="single" w:sz="4" w:space="0" w:color="auto"/>
              <w:left w:val="nil"/>
              <w:bottom w:val="nil"/>
              <w:right w:val="nil"/>
            </w:tcBorders>
          </w:tcPr>
          <w:p w14:paraId="4FD84287" w14:textId="44365B58" w:rsidR="00E71281" w:rsidRDefault="007006C0" w:rsidP="00E71281">
            <w:pPr>
              <w:rPr>
                <w:rFonts w:ascii="Arial" w:hAnsi="Arial" w:cs="Arial"/>
                <w:sz w:val="22"/>
                <w:szCs w:val="22"/>
              </w:rPr>
            </w:pPr>
            <w:r>
              <w:rPr>
                <w:rFonts w:ascii="Arial" w:hAnsi="Arial" w:cs="Arial"/>
                <w:sz w:val="22"/>
                <w:szCs w:val="22"/>
              </w:rPr>
              <w:t>9</w:t>
            </w:r>
          </w:p>
        </w:tc>
        <w:tc>
          <w:tcPr>
            <w:tcW w:w="268" w:type="dxa"/>
            <w:tcBorders>
              <w:top w:val="single" w:sz="4" w:space="0" w:color="auto"/>
              <w:left w:val="nil"/>
              <w:bottom w:val="nil"/>
              <w:right w:val="nil"/>
            </w:tcBorders>
          </w:tcPr>
          <w:p w14:paraId="367D0AC3" w14:textId="77777777" w:rsidR="00E71281" w:rsidRDefault="00E71281" w:rsidP="00E71281">
            <w:pPr>
              <w:rPr>
                <w:rFonts w:ascii="Arial" w:hAnsi="Arial" w:cs="Arial"/>
                <w:sz w:val="22"/>
                <w:szCs w:val="22"/>
              </w:rPr>
            </w:pPr>
          </w:p>
        </w:tc>
        <w:tc>
          <w:tcPr>
            <w:tcW w:w="7081" w:type="dxa"/>
            <w:tcBorders>
              <w:top w:val="single" w:sz="4" w:space="0" w:color="auto"/>
              <w:left w:val="nil"/>
              <w:bottom w:val="nil"/>
              <w:right w:val="nil"/>
            </w:tcBorders>
            <w:tcMar>
              <w:top w:w="72" w:type="dxa"/>
              <w:left w:w="115" w:type="dxa"/>
              <w:bottom w:w="72" w:type="dxa"/>
              <w:right w:w="115" w:type="dxa"/>
            </w:tcMar>
          </w:tcPr>
          <w:p w14:paraId="7612ACE2" w14:textId="59708417" w:rsidR="00E71281" w:rsidRDefault="00007BD6" w:rsidP="00E71281">
            <w:pPr>
              <w:rPr>
                <w:rFonts w:ascii="Arial" w:hAnsi="Arial" w:cs="Arial"/>
                <w:sz w:val="22"/>
                <w:szCs w:val="22"/>
              </w:rPr>
            </w:pPr>
            <w:r>
              <w:rPr>
                <w:rFonts w:ascii="Arial" w:hAnsi="Arial" w:cs="Arial"/>
                <w:sz w:val="22"/>
                <w:szCs w:val="22"/>
              </w:rPr>
              <w:t>DCHS</w:t>
            </w:r>
            <w:r w:rsidR="00E71281">
              <w:rPr>
                <w:rFonts w:ascii="Arial" w:hAnsi="Arial" w:cs="Arial"/>
                <w:sz w:val="22"/>
                <w:szCs w:val="22"/>
              </w:rPr>
              <w:t xml:space="preserve">: </w:t>
            </w:r>
            <w:r w:rsidR="00A448EC">
              <w:rPr>
                <w:rFonts w:ascii="Arial" w:hAnsi="Arial" w:cs="Arial"/>
                <w:sz w:val="22"/>
                <w:szCs w:val="22"/>
              </w:rPr>
              <w:t>C</w:t>
            </w:r>
            <w:r w:rsidR="006F51DF">
              <w:rPr>
                <w:rFonts w:ascii="Arial" w:hAnsi="Arial" w:cs="Arial"/>
                <w:sz w:val="22"/>
                <w:szCs w:val="22"/>
              </w:rPr>
              <w:t>ivil</w:t>
            </w:r>
            <w:r w:rsidR="00FB2713">
              <w:rPr>
                <w:rFonts w:ascii="Arial" w:hAnsi="Arial" w:cs="Arial"/>
                <w:sz w:val="22"/>
                <w:szCs w:val="22"/>
              </w:rPr>
              <w:t xml:space="preserve"> legal aid</w:t>
            </w:r>
            <w:r w:rsidR="005D2F12">
              <w:rPr>
                <w:rFonts w:ascii="Arial" w:hAnsi="Arial" w:cs="Arial"/>
                <w:sz w:val="22"/>
                <w:szCs w:val="22"/>
              </w:rPr>
              <w:t>.</w:t>
            </w:r>
          </w:p>
        </w:tc>
        <w:tc>
          <w:tcPr>
            <w:tcW w:w="270" w:type="dxa"/>
            <w:tcBorders>
              <w:top w:val="single" w:sz="4" w:space="0" w:color="auto"/>
              <w:left w:val="nil"/>
              <w:bottom w:val="nil"/>
              <w:right w:val="nil"/>
            </w:tcBorders>
          </w:tcPr>
          <w:p w14:paraId="457F5655" w14:textId="77777777" w:rsidR="00E71281" w:rsidRPr="008D0300" w:rsidRDefault="00E71281" w:rsidP="00E71281">
            <w:pPr>
              <w:jc w:val="right"/>
              <w:rPr>
                <w:rFonts w:ascii="Arial" w:hAnsi="Arial" w:cs="Arial"/>
                <w:sz w:val="22"/>
                <w:szCs w:val="22"/>
              </w:rPr>
            </w:pPr>
          </w:p>
        </w:tc>
        <w:tc>
          <w:tcPr>
            <w:tcW w:w="1170" w:type="dxa"/>
            <w:tcBorders>
              <w:top w:val="single" w:sz="4" w:space="0" w:color="auto"/>
              <w:left w:val="nil"/>
              <w:bottom w:val="nil"/>
              <w:right w:val="single" w:sz="2" w:space="0" w:color="FFFFFF" w:themeColor="background1"/>
            </w:tcBorders>
            <w:tcMar>
              <w:top w:w="72" w:type="dxa"/>
              <w:left w:w="115" w:type="dxa"/>
              <w:bottom w:w="72" w:type="dxa"/>
              <w:right w:w="115" w:type="dxa"/>
            </w:tcMar>
          </w:tcPr>
          <w:p w14:paraId="411FDB03" w14:textId="522FEC26" w:rsidR="00E71281" w:rsidRDefault="00DC05E4" w:rsidP="00E71281">
            <w:pPr>
              <w:jc w:val="right"/>
              <w:rPr>
                <w:rFonts w:ascii="Arial" w:hAnsi="Arial" w:cs="Arial"/>
                <w:sz w:val="22"/>
                <w:szCs w:val="22"/>
              </w:rPr>
            </w:pPr>
            <w:r>
              <w:rPr>
                <w:rFonts w:ascii="Arial" w:hAnsi="Arial" w:cs="Arial"/>
                <w:sz w:val="22"/>
                <w:szCs w:val="22"/>
              </w:rPr>
              <w:t>$</w:t>
            </w:r>
            <w:r w:rsidR="00E815C7">
              <w:rPr>
                <w:rFonts w:ascii="Arial" w:hAnsi="Arial" w:cs="Arial"/>
                <w:sz w:val="22"/>
                <w:szCs w:val="22"/>
              </w:rPr>
              <w:t>2.0</w:t>
            </w:r>
            <w:r>
              <w:rPr>
                <w:rFonts w:ascii="Arial" w:hAnsi="Arial" w:cs="Arial"/>
                <w:sz w:val="22"/>
                <w:szCs w:val="22"/>
              </w:rPr>
              <w:t xml:space="preserve"> M</w:t>
            </w:r>
          </w:p>
        </w:tc>
      </w:tr>
      <w:tr w:rsidR="00DC05E4" w:rsidRPr="008D0300" w14:paraId="06B8A5C9" w14:textId="77777777" w:rsidTr="00266917">
        <w:trPr>
          <w:cantSplit/>
          <w:trHeight w:val="684"/>
          <w:jc w:val="center"/>
        </w:trPr>
        <w:tc>
          <w:tcPr>
            <w:tcW w:w="571" w:type="dxa"/>
            <w:tcBorders>
              <w:top w:val="nil"/>
              <w:left w:val="nil"/>
              <w:bottom w:val="single" w:sz="4" w:space="0" w:color="auto"/>
              <w:right w:val="nil"/>
            </w:tcBorders>
          </w:tcPr>
          <w:p w14:paraId="74412828" w14:textId="4AB1DDEF" w:rsidR="00DC05E4" w:rsidRDefault="007006C0" w:rsidP="00DC05E4">
            <w:pPr>
              <w:rPr>
                <w:rFonts w:ascii="Arial" w:hAnsi="Arial" w:cs="Arial"/>
                <w:sz w:val="22"/>
                <w:szCs w:val="22"/>
              </w:rPr>
            </w:pPr>
            <w:r>
              <w:rPr>
                <w:rFonts w:ascii="Arial" w:hAnsi="Arial" w:cs="Arial"/>
                <w:sz w:val="22"/>
                <w:szCs w:val="22"/>
              </w:rPr>
              <w:t>10</w:t>
            </w:r>
          </w:p>
        </w:tc>
        <w:tc>
          <w:tcPr>
            <w:tcW w:w="268" w:type="dxa"/>
            <w:tcBorders>
              <w:top w:val="nil"/>
              <w:left w:val="nil"/>
              <w:bottom w:val="single" w:sz="4" w:space="0" w:color="auto"/>
              <w:right w:val="nil"/>
            </w:tcBorders>
          </w:tcPr>
          <w:p w14:paraId="02AE744E" w14:textId="77777777" w:rsidR="00DC05E4" w:rsidRDefault="00DC05E4" w:rsidP="00DC05E4">
            <w:pPr>
              <w:rPr>
                <w:rFonts w:ascii="Arial" w:hAnsi="Arial" w:cs="Arial"/>
                <w:sz w:val="22"/>
                <w:szCs w:val="22"/>
              </w:rPr>
            </w:pPr>
          </w:p>
        </w:tc>
        <w:tc>
          <w:tcPr>
            <w:tcW w:w="7081" w:type="dxa"/>
            <w:tcBorders>
              <w:top w:val="nil"/>
              <w:left w:val="nil"/>
              <w:bottom w:val="single" w:sz="4" w:space="0" w:color="auto"/>
              <w:right w:val="nil"/>
            </w:tcBorders>
            <w:tcMar>
              <w:top w:w="72" w:type="dxa"/>
              <w:left w:w="115" w:type="dxa"/>
              <w:bottom w:w="72" w:type="dxa"/>
              <w:right w:w="115" w:type="dxa"/>
            </w:tcMar>
          </w:tcPr>
          <w:p w14:paraId="79B08BDB" w14:textId="5AB7F39D" w:rsidR="00DC05E4" w:rsidRDefault="00E815C7" w:rsidP="00DC05E4">
            <w:pPr>
              <w:rPr>
                <w:rFonts w:ascii="Arial" w:hAnsi="Arial" w:cs="Arial"/>
                <w:sz w:val="22"/>
                <w:szCs w:val="22"/>
              </w:rPr>
            </w:pPr>
            <w:r>
              <w:rPr>
                <w:rFonts w:ascii="Arial" w:hAnsi="Arial" w:cs="Arial"/>
                <w:sz w:val="22"/>
                <w:szCs w:val="22"/>
              </w:rPr>
              <w:t>DCHS: S</w:t>
            </w:r>
            <w:r w:rsidRPr="00E815C7">
              <w:rPr>
                <w:rFonts w:ascii="Arial" w:hAnsi="Arial" w:cs="Arial"/>
                <w:sz w:val="22"/>
                <w:szCs w:val="22"/>
              </w:rPr>
              <w:t>upport for immigrant community that have not been able to access federal benefits.</w:t>
            </w:r>
          </w:p>
        </w:tc>
        <w:tc>
          <w:tcPr>
            <w:tcW w:w="270" w:type="dxa"/>
            <w:tcBorders>
              <w:top w:val="nil"/>
              <w:left w:val="nil"/>
              <w:bottom w:val="single" w:sz="4" w:space="0" w:color="auto"/>
              <w:right w:val="nil"/>
            </w:tcBorders>
          </w:tcPr>
          <w:p w14:paraId="04F24142" w14:textId="77777777" w:rsidR="00DC05E4" w:rsidRPr="008D0300" w:rsidRDefault="00DC05E4" w:rsidP="00DC05E4">
            <w:pPr>
              <w:jc w:val="right"/>
              <w:rPr>
                <w:rFonts w:ascii="Arial" w:hAnsi="Arial" w:cs="Arial"/>
                <w:sz w:val="22"/>
                <w:szCs w:val="22"/>
              </w:rPr>
            </w:pPr>
          </w:p>
        </w:tc>
        <w:tc>
          <w:tcPr>
            <w:tcW w:w="1170" w:type="dxa"/>
            <w:tcBorders>
              <w:top w:val="nil"/>
              <w:left w:val="nil"/>
              <w:bottom w:val="single" w:sz="4" w:space="0" w:color="auto"/>
              <w:right w:val="single" w:sz="2" w:space="0" w:color="FFFFFF" w:themeColor="background1"/>
            </w:tcBorders>
            <w:tcMar>
              <w:top w:w="72" w:type="dxa"/>
              <w:left w:w="115" w:type="dxa"/>
              <w:bottom w:w="72" w:type="dxa"/>
              <w:right w:w="115" w:type="dxa"/>
            </w:tcMar>
          </w:tcPr>
          <w:p w14:paraId="5CBE2C5C" w14:textId="010FACBA" w:rsidR="00DC05E4" w:rsidRDefault="00DC05E4" w:rsidP="00DC05E4">
            <w:pPr>
              <w:jc w:val="right"/>
              <w:rPr>
                <w:rFonts w:ascii="Arial" w:hAnsi="Arial" w:cs="Arial"/>
                <w:sz w:val="22"/>
                <w:szCs w:val="22"/>
              </w:rPr>
            </w:pPr>
            <w:r>
              <w:rPr>
                <w:rFonts w:ascii="Arial" w:hAnsi="Arial" w:cs="Arial"/>
                <w:sz w:val="22"/>
                <w:szCs w:val="22"/>
              </w:rPr>
              <w:t>$1</w:t>
            </w:r>
            <w:r w:rsidR="00D84BAD">
              <w:rPr>
                <w:rFonts w:ascii="Arial" w:hAnsi="Arial" w:cs="Arial"/>
                <w:sz w:val="22"/>
                <w:szCs w:val="22"/>
              </w:rPr>
              <w:t>1</w:t>
            </w:r>
            <w:r>
              <w:rPr>
                <w:rFonts w:ascii="Arial" w:hAnsi="Arial" w:cs="Arial"/>
                <w:sz w:val="22"/>
                <w:szCs w:val="22"/>
              </w:rPr>
              <w:t>.2 M</w:t>
            </w:r>
          </w:p>
        </w:tc>
      </w:tr>
      <w:tr w:rsidR="00D84BAD" w:rsidRPr="008D0300" w14:paraId="31F0E729" w14:textId="77777777" w:rsidTr="006F51DF">
        <w:trPr>
          <w:cantSplit/>
          <w:trHeight w:val="638"/>
          <w:jc w:val="center"/>
        </w:trPr>
        <w:tc>
          <w:tcPr>
            <w:tcW w:w="9360" w:type="dxa"/>
            <w:gridSpan w:val="5"/>
            <w:tcBorders>
              <w:top w:val="single" w:sz="4" w:space="0" w:color="auto"/>
              <w:left w:val="nil"/>
              <w:bottom w:val="single" w:sz="4" w:space="0" w:color="auto"/>
              <w:right w:val="single" w:sz="2" w:space="0" w:color="FFFFFF" w:themeColor="background1"/>
            </w:tcBorders>
            <w:shd w:val="clear" w:color="auto" w:fill="F2F2F2" w:themeFill="background1" w:themeFillShade="F2"/>
            <w:vAlign w:val="center"/>
          </w:tcPr>
          <w:p w14:paraId="42EA4F4C" w14:textId="316316F4" w:rsidR="00D84BAD" w:rsidRPr="006F51DF" w:rsidRDefault="007013B1" w:rsidP="00D84BAD">
            <w:pPr>
              <w:rPr>
                <w:rFonts w:ascii="Arial" w:hAnsi="Arial" w:cs="Arial"/>
                <w:b/>
                <w:bCs/>
                <w:sz w:val="22"/>
                <w:szCs w:val="22"/>
              </w:rPr>
            </w:pPr>
            <w:r w:rsidRPr="006F51DF">
              <w:rPr>
                <w:rFonts w:ascii="Arial" w:hAnsi="Arial" w:cs="Arial"/>
                <w:b/>
                <w:bCs/>
                <w:sz w:val="22"/>
                <w:szCs w:val="22"/>
              </w:rPr>
              <w:t xml:space="preserve">Economic </w:t>
            </w:r>
            <w:r w:rsidR="006F51DF" w:rsidRPr="006F51DF">
              <w:rPr>
                <w:rFonts w:ascii="Arial" w:hAnsi="Arial" w:cs="Arial"/>
                <w:b/>
                <w:bCs/>
                <w:sz w:val="22"/>
                <w:szCs w:val="22"/>
              </w:rPr>
              <w:t>Recovery and Workforce Development</w:t>
            </w:r>
          </w:p>
        </w:tc>
      </w:tr>
      <w:tr w:rsidR="00DC05E4" w:rsidRPr="008D0300" w14:paraId="4F9EBEEE" w14:textId="77777777" w:rsidTr="00891FEA">
        <w:trPr>
          <w:cantSplit/>
          <w:trHeight w:val="23"/>
          <w:jc w:val="center"/>
        </w:trPr>
        <w:tc>
          <w:tcPr>
            <w:tcW w:w="571" w:type="dxa"/>
            <w:tcBorders>
              <w:top w:val="single" w:sz="4" w:space="0" w:color="auto"/>
              <w:left w:val="nil"/>
              <w:bottom w:val="nil"/>
              <w:right w:val="nil"/>
            </w:tcBorders>
          </w:tcPr>
          <w:p w14:paraId="5BD811B6" w14:textId="08090368" w:rsidR="00DC05E4" w:rsidRDefault="007006C0" w:rsidP="00DC05E4">
            <w:pPr>
              <w:rPr>
                <w:rFonts w:ascii="Arial" w:hAnsi="Arial" w:cs="Arial"/>
                <w:sz w:val="22"/>
                <w:szCs w:val="22"/>
              </w:rPr>
            </w:pPr>
            <w:r>
              <w:rPr>
                <w:rFonts w:ascii="Arial" w:hAnsi="Arial" w:cs="Arial"/>
                <w:sz w:val="22"/>
                <w:szCs w:val="22"/>
              </w:rPr>
              <w:lastRenderedPageBreak/>
              <w:t>11</w:t>
            </w:r>
          </w:p>
        </w:tc>
        <w:tc>
          <w:tcPr>
            <w:tcW w:w="268" w:type="dxa"/>
            <w:tcBorders>
              <w:top w:val="single" w:sz="4" w:space="0" w:color="auto"/>
              <w:left w:val="nil"/>
              <w:bottom w:val="nil"/>
              <w:right w:val="nil"/>
            </w:tcBorders>
          </w:tcPr>
          <w:p w14:paraId="0B2C61B7" w14:textId="77777777" w:rsidR="00DC05E4" w:rsidRDefault="00DC05E4" w:rsidP="00DC05E4">
            <w:pPr>
              <w:rPr>
                <w:rFonts w:ascii="Arial" w:hAnsi="Arial" w:cs="Arial"/>
                <w:sz w:val="22"/>
                <w:szCs w:val="22"/>
              </w:rPr>
            </w:pPr>
          </w:p>
        </w:tc>
        <w:tc>
          <w:tcPr>
            <w:tcW w:w="7081" w:type="dxa"/>
            <w:tcBorders>
              <w:top w:val="single" w:sz="4" w:space="0" w:color="auto"/>
              <w:left w:val="nil"/>
              <w:bottom w:val="nil"/>
              <w:right w:val="nil"/>
            </w:tcBorders>
            <w:tcMar>
              <w:top w:w="72" w:type="dxa"/>
              <w:left w:w="115" w:type="dxa"/>
              <w:bottom w:w="72" w:type="dxa"/>
              <w:right w:w="115" w:type="dxa"/>
            </w:tcMar>
          </w:tcPr>
          <w:p w14:paraId="40AD60DA" w14:textId="3D0BE091" w:rsidR="00DC05E4" w:rsidRDefault="00A448EC" w:rsidP="00DC05E4">
            <w:pPr>
              <w:rPr>
                <w:rFonts w:ascii="Arial" w:hAnsi="Arial" w:cs="Arial"/>
                <w:sz w:val="22"/>
                <w:szCs w:val="22"/>
              </w:rPr>
            </w:pPr>
            <w:r>
              <w:rPr>
                <w:rFonts w:ascii="Arial" w:hAnsi="Arial" w:cs="Arial"/>
                <w:sz w:val="22"/>
                <w:szCs w:val="22"/>
              </w:rPr>
              <w:t>PSB</w:t>
            </w:r>
            <w:r w:rsidR="003F3BA5">
              <w:rPr>
                <w:rFonts w:ascii="Arial" w:hAnsi="Arial" w:cs="Arial"/>
                <w:sz w:val="22"/>
                <w:szCs w:val="22"/>
              </w:rPr>
              <w:t xml:space="preserve">: </w:t>
            </w:r>
            <w:r w:rsidRPr="00A448EC">
              <w:rPr>
                <w:rFonts w:ascii="Arial" w:hAnsi="Arial" w:cs="Arial"/>
                <w:sz w:val="22"/>
                <w:szCs w:val="22"/>
              </w:rPr>
              <w:t xml:space="preserve">‘Recovery Corps’ to connect dislocated workers of color, bilingual workers and youth with in-demand jobs in prioritized sectors that can be connected to long-term career pathways that lead to better jobs and better pay. </w:t>
            </w:r>
            <w:r>
              <w:rPr>
                <w:rFonts w:ascii="Arial" w:hAnsi="Arial" w:cs="Arial"/>
                <w:sz w:val="22"/>
                <w:szCs w:val="22"/>
              </w:rPr>
              <w:t>Provide support for</w:t>
            </w:r>
            <w:r w:rsidRPr="00A448EC">
              <w:rPr>
                <w:rFonts w:ascii="Arial" w:hAnsi="Arial" w:cs="Arial"/>
                <w:sz w:val="22"/>
                <w:szCs w:val="22"/>
              </w:rPr>
              <w:t xml:space="preserve"> workers affected by the COVID-19 pandemic through wrap-around services to provide basic needs, upskilling low wage workers, and job subsidies. </w:t>
            </w:r>
            <w:r w:rsidR="007D19BF">
              <w:rPr>
                <w:rFonts w:ascii="Arial" w:hAnsi="Arial" w:cs="Arial"/>
                <w:sz w:val="22"/>
                <w:szCs w:val="22"/>
              </w:rPr>
              <w:t xml:space="preserve">Moneys would be competitively awarded to </w:t>
            </w:r>
            <w:r w:rsidR="00780BFF">
              <w:rPr>
                <w:rFonts w:ascii="Arial" w:hAnsi="Arial" w:cs="Arial"/>
                <w:sz w:val="22"/>
                <w:szCs w:val="22"/>
              </w:rPr>
              <w:t xml:space="preserve">workforce and training programs that equitably </w:t>
            </w:r>
            <w:r w:rsidRPr="00A448EC">
              <w:rPr>
                <w:rFonts w:ascii="Arial" w:hAnsi="Arial" w:cs="Arial"/>
                <w:sz w:val="22"/>
                <w:szCs w:val="22"/>
              </w:rPr>
              <w:t>creat</w:t>
            </w:r>
            <w:r w:rsidR="00780BFF">
              <w:rPr>
                <w:rFonts w:ascii="Arial" w:hAnsi="Arial" w:cs="Arial"/>
                <w:sz w:val="22"/>
                <w:szCs w:val="22"/>
              </w:rPr>
              <w:t>e</w:t>
            </w:r>
            <w:r w:rsidRPr="00A448EC">
              <w:rPr>
                <w:rFonts w:ascii="Arial" w:hAnsi="Arial" w:cs="Arial"/>
                <w:sz w:val="22"/>
                <w:szCs w:val="22"/>
              </w:rPr>
              <w:t xml:space="preserve"> career pathways for adults and youth</w:t>
            </w:r>
            <w:r w:rsidR="00780BFF">
              <w:rPr>
                <w:rFonts w:ascii="Arial" w:hAnsi="Arial" w:cs="Arial"/>
                <w:sz w:val="22"/>
                <w:szCs w:val="22"/>
              </w:rPr>
              <w:t>.</w:t>
            </w:r>
          </w:p>
        </w:tc>
        <w:tc>
          <w:tcPr>
            <w:tcW w:w="270" w:type="dxa"/>
            <w:tcBorders>
              <w:top w:val="single" w:sz="4" w:space="0" w:color="auto"/>
              <w:left w:val="nil"/>
              <w:bottom w:val="nil"/>
              <w:right w:val="nil"/>
            </w:tcBorders>
          </w:tcPr>
          <w:p w14:paraId="56696DF3" w14:textId="77777777" w:rsidR="00DC05E4" w:rsidRPr="008D0300" w:rsidRDefault="00DC05E4" w:rsidP="00DC05E4">
            <w:pPr>
              <w:jc w:val="right"/>
              <w:rPr>
                <w:rFonts w:ascii="Arial" w:hAnsi="Arial" w:cs="Arial"/>
                <w:sz w:val="22"/>
                <w:szCs w:val="22"/>
              </w:rPr>
            </w:pPr>
          </w:p>
        </w:tc>
        <w:tc>
          <w:tcPr>
            <w:tcW w:w="1170" w:type="dxa"/>
            <w:tcBorders>
              <w:top w:val="single" w:sz="4" w:space="0" w:color="auto"/>
              <w:left w:val="nil"/>
              <w:bottom w:val="nil"/>
              <w:right w:val="single" w:sz="2" w:space="0" w:color="FFFFFF" w:themeColor="background1"/>
            </w:tcBorders>
            <w:tcMar>
              <w:top w:w="72" w:type="dxa"/>
              <w:left w:w="115" w:type="dxa"/>
              <w:bottom w:w="72" w:type="dxa"/>
              <w:right w:w="115" w:type="dxa"/>
            </w:tcMar>
          </w:tcPr>
          <w:p w14:paraId="25ABEC8E" w14:textId="3022CDD8" w:rsidR="00DC05E4" w:rsidRDefault="003F3BA5" w:rsidP="00DC05E4">
            <w:pPr>
              <w:jc w:val="right"/>
              <w:rPr>
                <w:rFonts w:ascii="Arial" w:hAnsi="Arial" w:cs="Arial"/>
                <w:sz w:val="22"/>
                <w:szCs w:val="22"/>
              </w:rPr>
            </w:pPr>
            <w:r>
              <w:rPr>
                <w:rFonts w:ascii="Arial" w:hAnsi="Arial" w:cs="Arial"/>
                <w:sz w:val="22"/>
                <w:szCs w:val="22"/>
              </w:rPr>
              <w:t>$</w:t>
            </w:r>
            <w:r w:rsidR="007D19BF">
              <w:rPr>
                <w:rFonts w:ascii="Arial" w:hAnsi="Arial" w:cs="Arial"/>
                <w:sz w:val="22"/>
                <w:szCs w:val="22"/>
              </w:rPr>
              <w:t>3.2</w:t>
            </w:r>
            <w:r>
              <w:rPr>
                <w:rFonts w:ascii="Arial" w:hAnsi="Arial" w:cs="Arial"/>
                <w:sz w:val="22"/>
                <w:szCs w:val="22"/>
              </w:rPr>
              <w:t xml:space="preserve"> M</w:t>
            </w:r>
          </w:p>
        </w:tc>
      </w:tr>
      <w:tr w:rsidR="00891FEA" w:rsidRPr="008D0300" w14:paraId="5FFCE027" w14:textId="77777777" w:rsidTr="00891FEA">
        <w:trPr>
          <w:cantSplit/>
          <w:trHeight w:val="23"/>
          <w:jc w:val="center"/>
        </w:trPr>
        <w:tc>
          <w:tcPr>
            <w:tcW w:w="571" w:type="dxa"/>
            <w:tcBorders>
              <w:top w:val="nil"/>
              <w:left w:val="nil"/>
              <w:bottom w:val="nil"/>
              <w:right w:val="nil"/>
            </w:tcBorders>
          </w:tcPr>
          <w:p w14:paraId="2DD10AEA" w14:textId="581C3110" w:rsidR="00891FEA" w:rsidRDefault="00891FEA" w:rsidP="00DC05E4">
            <w:pPr>
              <w:rPr>
                <w:rFonts w:ascii="Arial" w:hAnsi="Arial" w:cs="Arial"/>
                <w:sz w:val="22"/>
                <w:szCs w:val="22"/>
              </w:rPr>
            </w:pPr>
            <w:r>
              <w:rPr>
                <w:rFonts w:ascii="Arial" w:hAnsi="Arial" w:cs="Arial"/>
                <w:sz w:val="22"/>
                <w:szCs w:val="22"/>
              </w:rPr>
              <w:t>1</w:t>
            </w:r>
            <w:r w:rsidR="007006C0">
              <w:rPr>
                <w:rFonts w:ascii="Arial" w:hAnsi="Arial" w:cs="Arial"/>
                <w:sz w:val="22"/>
                <w:szCs w:val="22"/>
              </w:rPr>
              <w:t>2</w:t>
            </w:r>
          </w:p>
        </w:tc>
        <w:tc>
          <w:tcPr>
            <w:tcW w:w="268" w:type="dxa"/>
            <w:tcBorders>
              <w:top w:val="nil"/>
              <w:left w:val="nil"/>
              <w:bottom w:val="nil"/>
              <w:right w:val="nil"/>
            </w:tcBorders>
          </w:tcPr>
          <w:p w14:paraId="479C90F8" w14:textId="77777777" w:rsidR="00891FEA" w:rsidRDefault="00891FEA" w:rsidP="00DC05E4">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C724B64" w14:textId="084DE0E1" w:rsidR="00891FEA" w:rsidRDefault="00891FEA" w:rsidP="00DC05E4">
            <w:pPr>
              <w:rPr>
                <w:rFonts w:ascii="Arial" w:hAnsi="Arial" w:cs="Arial"/>
                <w:sz w:val="22"/>
                <w:szCs w:val="22"/>
              </w:rPr>
            </w:pPr>
            <w:r>
              <w:rPr>
                <w:rFonts w:ascii="Arial" w:hAnsi="Arial" w:cs="Arial"/>
                <w:sz w:val="22"/>
                <w:szCs w:val="22"/>
              </w:rPr>
              <w:t xml:space="preserve">PSB: Support </w:t>
            </w:r>
            <w:bookmarkStart w:id="1" w:name="_Hlk76392615"/>
            <w:r>
              <w:rPr>
                <w:rFonts w:ascii="Arial" w:hAnsi="Arial" w:cs="Arial"/>
                <w:sz w:val="22"/>
                <w:szCs w:val="22"/>
              </w:rPr>
              <w:t>i</w:t>
            </w:r>
            <w:r w:rsidRPr="00891FEA">
              <w:rPr>
                <w:rFonts w:ascii="Arial" w:hAnsi="Arial" w:cs="Arial"/>
                <w:sz w:val="22"/>
                <w:szCs w:val="22"/>
              </w:rPr>
              <w:t>mplementation of a regional economic recovery plan to build a more resilient and equitable economy for women and people of color.</w:t>
            </w:r>
            <w:bookmarkEnd w:id="1"/>
            <w:r w:rsidRPr="00891FEA">
              <w:rPr>
                <w:rFonts w:ascii="Arial" w:hAnsi="Arial" w:cs="Arial"/>
                <w:sz w:val="22"/>
                <w:szCs w:val="22"/>
              </w:rPr>
              <w:t xml:space="preserve"> </w:t>
            </w:r>
            <w:r w:rsidR="009A0810">
              <w:rPr>
                <w:rFonts w:ascii="Arial" w:hAnsi="Arial" w:cs="Arial"/>
                <w:sz w:val="22"/>
                <w:szCs w:val="22"/>
              </w:rPr>
              <w:t>This would support one FTE and remaining m</w:t>
            </w:r>
            <w:r>
              <w:rPr>
                <w:rFonts w:ascii="Arial" w:hAnsi="Arial" w:cs="Arial"/>
                <w:sz w:val="22"/>
                <w:szCs w:val="22"/>
              </w:rPr>
              <w:t>oneys</w:t>
            </w:r>
            <w:r w:rsidRPr="00891FEA">
              <w:rPr>
                <w:rFonts w:ascii="Arial" w:hAnsi="Arial" w:cs="Arial"/>
                <w:sz w:val="22"/>
                <w:szCs w:val="22"/>
              </w:rPr>
              <w:t xml:space="preserve"> </w:t>
            </w:r>
            <w:r>
              <w:rPr>
                <w:rFonts w:ascii="Arial" w:hAnsi="Arial" w:cs="Arial"/>
                <w:sz w:val="22"/>
                <w:szCs w:val="22"/>
              </w:rPr>
              <w:t>would</w:t>
            </w:r>
            <w:r w:rsidRPr="00891FEA">
              <w:rPr>
                <w:rFonts w:ascii="Arial" w:hAnsi="Arial" w:cs="Arial"/>
                <w:sz w:val="22"/>
                <w:szCs w:val="22"/>
              </w:rPr>
              <w:t xml:space="preserve"> be </w:t>
            </w:r>
            <w:r>
              <w:rPr>
                <w:rFonts w:ascii="Arial" w:hAnsi="Arial" w:cs="Arial"/>
                <w:sz w:val="22"/>
                <w:szCs w:val="22"/>
              </w:rPr>
              <w:t xml:space="preserve">competitively </w:t>
            </w:r>
            <w:r w:rsidRPr="00891FEA">
              <w:rPr>
                <w:rFonts w:ascii="Arial" w:hAnsi="Arial" w:cs="Arial"/>
                <w:sz w:val="22"/>
                <w:szCs w:val="22"/>
              </w:rPr>
              <w:t xml:space="preserve">awarded to a public-private organization that leads regional economic development in </w:t>
            </w:r>
            <w:r>
              <w:rPr>
                <w:rFonts w:ascii="Arial" w:hAnsi="Arial" w:cs="Arial"/>
                <w:sz w:val="22"/>
                <w:szCs w:val="22"/>
              </w:rPr>
              <w:t>the county.</w:t>
            </w:r>
          </w:p>
        </w:tc>
        <w:tc>
          <w:tcPr>
            <w:tcW w:w="270" w:type="dxa"/>
            <w:tcBorders>
              <w:top w:val="nil"/>
              <w:left w:val="nil"/>
              <w:bottom w:val="nil"/>
              <w:right w:val="nil"/>
            </w:tcBorders>
          </w:tcPr>
          <w:p w14:paraId="27C3183E" w14:textId="77777777" w:rsidR="00891FEA" w:rsidRPr="008D0300" w:rsidRDefault="00891FEA" w:rsidP="00DC05E4">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285BEFF" w14:textId="69220432" w:rsidR="009A0810" w:rsidRDefault="009A0810" w:rsidP="009A0810">
            <w:pPr>
              <w:jc w:val="right"/>
              <w:rPr>
                <w:rFonts w:ascii="Arial" w:hAnsi="Arial" w:cs="Arial"/>
                <w:sz w:val="22"/>
                <w:szCs w:val="22"/>
              </w:rPr>
            </w:pPr>
            <w:r>
              <w:rPr>
                <w:rFonts w:ascii="Arial" w:hAnsi="Arial" w:cs="Arial"/>
                <w:sz w:val="22"/>
                <w:szCs w:val="22"/>
              </w:rPr>
              <w:t>$1.0 M</w:t>
            </w:r>
          </w:p>
        </w:tc>
      </w:tr>
      <w:tr w:rsidR="00DC05E4" w:rsidRPr="008D0300" w14:paraId="3DE2B907" w14:textId="77777777" w:rsidTr="00266917">
        <w:trPr>
          <w:cantSplit/>
          <w:jc w:val="center"/>
        </w:trPr>
        <w:tc>
          <w:tcPr>
            <w:tcW w:w="571" w:type="dxa"/>
            <w:tcBorders>
              <w:top w:val="nil"/>
              <w:left w:val="nil"/>
              <w:bottom w:val="nil"/>
              <w:right w:val="nil"/>
            </w:tcBorders>
          </w:tcPr>
          <w:p w14:paraId="180F84E8" w14:textId="44BA41E7" w:rsidR="00DC05E4" w:rsidRDefault="009912A7" w:rsidP="00DC05E4">
            <w:pPr>
              <w:rPr>
                <w:rFonts w:ascii="Arial" w:hAnsi="Arial" w:cs="Arial"/>
                <w:sz w:val="22"/>
                <w:szCs w:val="22"/>
              </w:rPr>
            </w:pPr>
            <w:r>
              <w:rPr>
                <w:rFonts w:ascii="Arial" w:hAnsi="Arial" w:cs="Arial"/>
                <w:sz w:val="22"/>
                <w:szCs w:val="22"/>
              </w:rPr>
              <w:t>1</w:t>
            </w:r>
            <w:r w:rsidR="007006C0">
              <w:rPr>
                <w:rFonts w:ascii="Arial" w:hAnsi="Arial" w:cs="Arial"/>
                <w:sz w:val="22"/>
                <w:szCs w:val="22"/>
              </w:rPr>
              <w:t>3</w:t>
            </w:r>
          </w:p>
        </w:tc>
        <w:tc>
          <w:tcPr>
            <w:tcW w:w="268" w:type="dxa"/>
            <w:tcBorders>
              <w:top w:val="nil"/>
              <w:left w:val="nil"/>
              <w:bottom w:val="nil"/>
              <w:right w:val="nil"/>
            </w:tcBorders>
          </w:tcPr>
          <w:p w14:paraId="266A86F5" w14:textId="77777777" w:rsidR="00DC05E4" w:rsidRDefault="00DC05E4" w:rsidP="00DC05E4">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FC83434" w14:textId="0DE8285B" w:rsidR="00DC05E4" w:rsidRDefault="00780BFF" w:rsidP="00DC05E4">
            <w:pPr>
              <w:rPr>
                <w:rFonts w:ascii="Arial" w:hAnsi="Arial" w:cs="Arial"/>
                <w:sz w:val="22"/>
                <w:szCs w:val="22"/>
              </w:rPr>
            </w:pPr>
            <w:r w:rsidRPr="00175680">
              <w:rPr>
                <w:rFonts w:ascii="Arial" w:hAnsi="Arial" w:cs="Arial"/>
                <w:color w:val="C0504D" w:themeColor="accent2"/>
                <w:sz w:val="22"/>
                <w:szCs w:val="22"/>
              </w:rPr>
              <w:t>PSB</w:t>
            </w:r>
            <w:r w:rsidR="00685312" w:rsidRPr="00175680">
              <w:rPr>
                <w:rFonts w:ascii="Arial" w:hAnsi="Arial" w:cs="Arial"/>
                <w:color w:val="C0504D" w:themeColor="accent2"/>
                <w:sz w:val="22"/>
                <w:szCs w:val="22"/>
              </w:rPr>
              <w:t xml:space="preserve">: </w:t>
            </w:r>
            <w:r w:rsidR="00284E35" w:rsidRPr="00756B18">
              <w:rPr>
                <w:rFonts w:ascii="Arial" w:hAnsi="Arial" w:cs="Arial"/>
                <w:color w:val="C0504D" w:themeColor="accent2"/>
                <w:sz w:val="22"/>
                <w:szCs w:val="22"/>
              </w:rPr>
              <w:t xml:space="preserve">Contract with an alliance </w:t>
            </w:r>
            <w:r w:rsidR="00756B18" w:rsidRPr="00756B18">
              <w:rPr>
                <w:rFonts w:ascii="Arial" w:hAnsi="Arial" w:cs="Arial"/>
                <w:color w:val="C0504D" w:themeColor="accent2"/>
                <w:sz w:val="22"/>
                <w:szCs w:val="22"/>
              </w:rPr>
              <w:t xml:space="preserve">composed of BIPOC-led community organizations </w:t>
            </w:r>
            <w:r w:rsidR="00284E35" w:rsidRPr="00756B18">
              <w:rPr>
                <w:rFonts w:ascii="Arial" w:hAnsi="Arial" w:cs="Arial"/>
                <w:color w:val="C0504D" w:themeColor="accent2"/>
                <w:sz w:val="22"/>
                <w:szCs w:val="22"/>
              </w:rPr>
              <w:t>to establish an "equitable recovery" program</w:t>
            </w:r>
            <w:r w:rsidR="00756B18" w:rsidRPr="00756B18">
              <w:rPr>
                <w:rFonts w:ascii="Arial" w:hAnsi="Arial" w:cs="Arial"/>
                <w:color w:val="C0504D" w:themeColor="accent2"/>
                <w:sz w:val="22"/>
                <w:szCs w:val="22"/>
              </w:rPr>
              <w:t xml:space="preserve">, which establishes </w:t>
            </w:r>
            <w:r w:rsidR="00284E35" w:rsidRPr="00756B18">
              <w:rPr>
                <w:rFonts w:ascii="Arial" w:hAnsi="Arial" w:cs="Arial"/>
                <w:color w:val="C0504D" w:themeColor="accent2"/>
                <w:sz w:val="22"/>
                <w:szCs w:val="22"/>
              </w:rPr>
              <w:t xml:space="preserve">a community infrastructure for elected leaders and institutional partners to engage with </w:t>
            </w:r>
            <w:r w:rsidR="00756B18" w:rsidRPr="00756B18">
              <w:rPr>
                <w:rFonts w:ascii="Arial" w:hAnsi="Arial" w:cs="Arial"/>
                <w:color w:val="C0504D" w:themeColor="accent2"/>
                <w:sz w:val="22"/>
                <w:szCs w:val="22"/>
              </w:rPr>
              <w:t xml:space="preserve">BIPOC </w:t>
            </w:r>
            <w:r w:rsidR="00284E35" w:rsidRPr="00756B18">
              <w:rPr>
                <w:rFonts w:ascii="Arial" w:hAnsi="Arial" w:cs="Arial"/>
                <w:color w:val="C0504D" w:themeColor="accent2"/>
                <w:sz w:val="22"/>
                <w:szCs w:val="22"/>
              </w:rPr>
              <w:t>communities in public planning and policy formation to advance economic equity.</w:t>
            </w:r>
          </w:p>
        </w:tc>
        <w:tc>
          <w:tcPr>
            <w:tcW w:w="270" w:type="dxa"/>
            <w:tcBorders>
              <w:top w:val="nil"/>
              <w:left w:val="nil"/>
              <w:bottom w:val="nil"/>
              <w:right w:val="nil"/>
            </w:tcBorders>
          </w:tcPr>
          <w:p w14:paraId="1E878882" w14:textId="77777777" w:rsidR="00DC05E4" w:rsidRPr="008D0300" w:rsidRDefault="00DC05E4" w:rsidP="00DC05E4">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508C9FFE" w14:textId="1D253C47" w:rsidR="00DC05E4" w:rsidRDefault="00520536" w:rsidP="00DC05E4">
            <w:pPr>
              <w:jc w:val="right"/>
              <w:rPr>
                <w:rFonts w:ascii="Arial" w:hAnsi="Arial" w:cs="Arial"/>
                <w:sz w:val="22"/>
                <w:szCs w:val="22"/>
              </w:rPr>
            </w:pPr>
            <w:r>
              <w:rPr>
                <w:rFonts w:ascii="Arial" w:hAnsi="Arial" w:cs="Arial"/>
                <w:sz w:val="22"/>
                <w:szCs w:val="22"/>
              </w:rPr>
              <w:t>$1.</w:t>
            </w:r>
            <w:r w:rsidR="00484B9B">
              <w:rPr>
                <w:rFonts w:ascii="Arial" w:hAnsi="Arial" w:cs="Arial"/>
                <w:sz w:val="22"/>
                <w:szCs w:val="22"/>
              </w:rPr>
              <w:t>0</w:t>
            </w:r>
            <w:r>
              <w:rPr>
                <w:rFonts w:ascii="Arial" w:hAnsi="Arial" w:cs="Arial"/>
                <w:sz w:val="22"/>
                <w:szCs w:val="22"/>
              </w:rPr>
              <w:t xml:space="preserve"> M</w:t>
            </w:r>
          </w:p>
        </w:tc>
      </w:tr>
      <w:tr w:rsidR="00DC05E4" w:rsidRPr="008D0300" w14:paraId="7108F761" w14:textId="77777777" w:rsidTr="00266917">
        <w:trPr>
          <w:cantSplit/>
          <w:jc w:val="center"/>
        </w:trPr>
        <w:tc>
          <w:tcPr>
            <w:tcW w:w="571" w:type="dxa"/>
            <w:tcBorders>
              <w:top w:val="nil"/>
              <w:left w:val="nil"/>
              <w:bottom w:val="nil"/>
              <w:right w:val="nil"/>
            </w:tcBorders>
          </w:tcPr>
          <w:p w14:paraId="217385A7" w14:textId="7ED621F0" w:rsidR="00DC05E4" w:rsidRDefault="009912A7" w:rsidP="00DC05E4">
            <w:pPr>
              <w:rPr>
                <w:rFonts w:ascii="Arial" w:hAnsi="Arial" w:cs="Arial"/>
                <w:sz w:val="22"/>
                <w:szCs w:val="22"/>
              </w:rPr>
            </w:pPr>
            <w:r>
              <w:rPr>
                <w:rFonts w:ascii="Arial" w:hAnsi="Arial" w:cs="Arial"/>
                <w:sz w:val="22"/>
                <w:szCs w:val="22"/>
              </w:rPr>
              <w:t>1</w:t>
            </w:r>
            <w:r w:rsidR="007006C0">
              <w:rPr>
                <w:rFonts w:ascii="Arial" w:hAnsi="Arial" w:cs="Arial"/>
                <w:sz w:val="22"/>
                <w:szCs w:val="22"/>
              </w:rPr>
              <w:t>4</w:t>
            </w:r>
          </w:p>
        </w:tc>
        <w:tc>
          <w:tcPr>
            <w:tcW w:w="268" w:type="dxa"/>
            <w:tcBorders>
              <w:top w:val="nil"/>
              <w:left w:val="nil"/>
              <w:bottom w:val="nil"/>
              <w:right w:val="nil"/>
            </w:tcBorders>
          </w:tcPr>
          <w:p w14:paraId="67DB2DC2" w14:textId="77777777" w:rsidR="00DC05E4" w:rsidRDefault="00DC05E4" w:rsidP="00DC05E4">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E77605D" w14:textId="19251D0A" w:rsidR="00DC05E4" w:rsidRDefault="00484B9B" w:rsidP="00DC05E4">
            <w:pPr>
              <w:rPr>
                <w:rFonts w:ascii="Arial" w:hAnsi="Arial" w:cs="Arial"/>
                <w:sz w:val="22"/>
                <w:szCs w:val="22"/>
              </w:rPr>
            </w:pPr>
            <w:r>
              <w:rPr>
                <w:rFonts w:ascii="Arial" w:hAnsi="Arial" w:cs="Arial"/>
                <w:sz w:val="22"/>
                <w:szCs w:val="22"/>
              </w:rPr>
              <w:t xml:space="preserve">PSB: </w:t>
            </w:r>
            <w:r w:rsidR="003F6FBA">
              <w:rPr>
                <w:rFonts w:ascii="Arial" w:hAnsi="Arial" w:cs="Arial"/>
                <w:sz w:val="22"/>
                <w:szCs w:val="22"/>
              </w:rPr>
              <w:t xml:space="preserve">Support for </w:t>
            </w:r>
            <w:r w:rsidR="00E63C42">
              <w:rPr>
                <w:rFonts w:ascii="Arial" w:hAnsi="Arial" w:cs="Arial"/>
                <w:sz w:val="22"/>
                <w:szCs w:val="22"/>
              </w:rPr>
              <w:t>transportation network company</w:t>
            </w:r>
            <w:r w:rsidR="003F6FBA">
              <w:rPr>
                <w:rFonts w:ascii="Arial" w:hAnsi="Arial" w:cs="Arial"/>
                <w:sz w:val="22"/>
                <w:szCs w:val="22"/>
              </w:rPr>
              <w:t xml:space="preserve"> (TNC) </w:t>
            </w:r>
            <w:r w:rsidR="00092632">
              <w:rPr>
                <w:rFonts w:ascii="Arial" w:hAnsi="Arial" w:cs="Arial"/>
                <w:sz w:val="22"/>
                <w:szCs w:val="22"/>
              </w:rPr>
              <w:t>workers and their families</w:t>
            </w:r>
            <w:r w:rsidR="003F6FBA">
              <w:rPr>
                <w:rFonts w:ascii="Arial" w:hAnsi="Arial" w:cs="Arial"/>
                <w:sz w:val="22"/>
                <w:szCs w:val="22"/>
              </w:rPr>
              <w:t xml:space="preserve"> </w:t>
            </w:r>
            <w:r w:rsidR="00092632">
              <w:rPr>
                <w:rFonts w:ascii="Arial" w:hAnsi="Arial" w:cs="Arial"/>
                <w:sz w:val="22"/>
                <w:szCs w:val="22"/>
              </w:rPr>
              <w:t>for c</w:t>
            </w:r>
            <w:r w:rsidR="003F6FBA" w:rsidRPr="003F6FBA">
              <w:rPr>
                <w:rFonts w:ascii="Arial" w:hAnsi="Arial" w:cs="Arial"/>
                <w:sz w:val="22"/>
                <w:szCs w:val="22"/>
              </w:rPr>
              <w:t xml:space="preserve">ulturally and linguistically appropriate public health and social service outreach, case management, </w:t>
            </w:r>
            <w:r w:rsidR="00DD2FD9" w:rsidRPr="003F6FBA">
              <w:rPr>
                <w:rFonts w:ascii="Arial" w:hAnsi="Arial" w:cs="Arial"/>
                <w:sz w:val="22"/>
                <w:szCs w:val="22"/>
              </w:rPr>
              <w:t>interpretation,</w:t>
            </w:r>
            <w:r w:rsidR="003F6FBA" w:rsidRPr="003F6FBA">
              <w:rPr>
                <w:rFonts w:ascii="Arial" w:hAnsi="Arial" w:cs="Arial"/>
                <w:sz w:val="22"/>
                <w:szCs w:val="22"/>
              </w:rPr>
              <w:t xml:space="preserve"> and Pandemic Unemployment Assistance application support</w:t>
            </w:r>
            <w:r w:rsidR="00DD2FD9">
              <w:rPr>
                <w:rFonts w:ascii="Arial" w:hAnsi="Arial" w:cs="Arial"/>
                <w:sz w:val="22"/>
                <w:szCs w:val="22"/>
              </w:rPr>
              <w:t xml:space="preserve">. The moneys would also be used to </w:t>
            </w:r>
            <w:r w:rsidR="003F6FBA" w:rsidRPr="003F6FBA">
              <w:rPr>
                <w:rFonts w:ascii="Arial" w:hAnsi="Arial" w:cs="Arial"/>
                <w:sz w:val="22"/>
                <w:szCs w:val="22"/>
              </w:rPr>
              <w:t xml:space="preserve">prepare a report on disruptions to the transportation industry caused by </w:t>
            </w:r>
            <w:r w:rsidR="00DD2FD9">
              <w:rPr>
                <w:rFonts w:ascii="Arial" w:hAnsi="Arial" w:cs="Arial"/>
                <w:sz w:val="22"/>
                <w:szCs w:val="22"/>
              </w:rPr>
              <w:t>the pandemic</w:t>
            </w:r>
            <w:r w:rsidR="003F6FBA" w:rsidRPr="003F6FBA">
              <w:rPr>
                <w:rFonts w:ascii="Arial" w:hAnsi="Arial" w:cs="Arial"/>
                <w:sz w:val="22"/>
                <w:szCs w:val="22"/>
              </w:rPr>
              <w:t xml:space="preserve">.  </w:t>
            </w:r>
            <w:r w:rsidR="00E63C42">
              <w:rPr>
                <w:rFonts w:ascii="Arial" w:hAnsi="Arial" w:cs="Arial"/>
                <w:sz w:val="22"/>
                <w:szCs w:val="22"/>
              </w:rPr>
              <w:t>Moneys</w:t>
            </w:r>
            <w:r w:rsidR="003F6FBA" w:rsidRPr="003F6FBA">
              <w:rPr>
                <w:rFonts w:ascii="Arial" w:hAnsi="Arial" w:cs="Arial"/>
                <w:sz w:val="22"/>
                <w:szCs w:val="22"/>
              </w:rPr>
              <w:t xml:space="preserve"> </w:t>
            </w:r>
            <w:r w:rsidR="00E63C42">
              <w:rPr>
                <w:rFonts w:ascii="Arial" w:hAnsi="Arial" w:cs="Arial"/>
                <w:sz w:val="22"/>
                <w:szCs w:val="22"/>
              </w:rPr>
              <w:t>would</w:t>
            </w:r>
            <w:r w:rsidR="003F6FBA" w:rsidRPr="003F6FBA">
              <w:rPr>
                <w:rFonts w:ascii="Arial" w:hAnsi="Arial" w:cs="Arial"/>
                <w:sz w:val="22"/>
                <w:szCs w:val="22"/>
              </w:rPr>
              <w:t xml:space="preserve"> be </w:t>
            </w:r>
            <w:r w:rsidR="00E63C42">
              <w:rPr>
                <w:rFonts w:ascii="Arial" w:hAnsi="Arial" w:cs="Arial"/>
                <w:sz w:val="22"/>
                <w:szCs w:val="22"/>
              </w:rPr>
              <w:t xml:space="preserve">competitively </w:t>
            </w:r>
            <w:r w:rsidR="003F6FBA" w:rsidRPr="003F6FBA">
              <w:rPr>
                <w:rFonts w:ascii="Arial" w:hAnsi="Arial" w:cs="Arial"/>
                <w:sz w:val="22"/>
                <w:szCs w:val="22"/>
              </w:rPr>
              <w:t xml:space="preserve">awarded to an organization who specializes in providing culturally and linguistically appropriate services to </w:t>
            </w:r>
            <w:r w:rsidR="00E63C42">
              <w:rPr>
                <w:rFonts w:ascii="Arial" w:hAnsi="Arial" w:cs="Arial"/>
                <w:sz w:val="22"/>
                <w:szCs w:val="22"/>
              </w:rPr>
              <w:t>TNC workers</w:t>
            </w:r>
            <w:r w:rsidR="003F6FBA" w:rsidRPr="003F6FBA">
              <w:rPr>
                <w:rFonts w:ascii="Arial" w:hAnsi="Arial" w:cs="Arial"/>
                <w:sz w:val="22"/>
                <w:szCs w:val="22"/>
              </w:rPr>
              <w:t>.</w:t>
            </w:r>
          </w:p>
        </w:tc>
        <w:tc>
          <w:tcPr>
            <w:tcW w:w="270" w:type="dxa"/>
            <w:tcBorders>
              <w:top w:val="nil"/>
              <w:left w:val="nil"/>
              <w:bottom w:val="nil"/>
              <w:right w:val="nil"/>
            </w:tcBorders>
          </w:tcPr>
          <w:p w14:paraId="24B8B76A" w14:textId="77777777" w:rsidR="00DC05E4" w:rsidRPr="008D0300" w:rsidRDefault="00DC05E4" w:rsidP="00DC05E4">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5D611900" w14:textId="162FAF50" w:rsidR="00DC05E4" w:rsidRDefault="0057577E" w:rsidP="00DC05E4">
            <w:pPr>
              <w:jc w:val="right"/>
              <w:rPr>
                <w:rFonts w:ascii="Arial" w:hAnsi="Arial" w:cs="Arial"/>
                <w:sz w:val="22"/>
                <w:szCs w:val="22"/>
              </w:rPr>
            </w:pPr>
            <w:r>
              <w:rPr>
                <w:rFonts w:ascii="Arial" w:hAnsi="Arial" w:cs="Arial"/>
                <w:sz w:val="22"/>
                <w:szCs w:val="22"/>
              </w:rPr>
              <w:t>$</w:t>
            </w:r>
            <w:r w:rsidR="00B650DA">
              <w:rPr>
                <w:rFonts w:ascii="Arial" w:hAnsi="Arial" w:cs="Arial"/>
                <w:sz w:val="22"/>
                <w:szCs w:val="22"/>
              </w:rPr>
              <w:t>0.3</w:t>
            </w:r>
            <w:r>
              <w:rPr>
                <w:rFonts w:ascii="Arial" w:hAnsi="Arial" w:cs="Arial"/>
                <w:sz w:val="22"/>
                <w:szCs w:val="22"/>
              </w:rPr>
              <w:t xml:space="preserve"> M</w:t>
            </w:r>
          </w:p>
        </w:tc>
      </w:tr>
      <w:tr w:rsidR="009B63C1" w:rsidRPr="008D0300" w14:paraId="0D42C68D" w14:textId="77777777" w:rsidTr="00903987">
        <w:trPr>
          <w:cantSplit/>
          <w:trHeight w:val="1269"/>
          <w:jc w:val="center"/>
        </w:trPr>
        <w:tc>
          <w:tcPr>
            <w:tcW w:w="571" w:type="dxa"/>
            <w:tcBorders>
              <w:top w:val="nil"/>
              <w:left w:val="nil"/>
              <w:bottom w:val="single" w:sz="4" w:space="0" w:color="auto"/>
              <w:right w:val="nil"/>
            </w:tcBorders>
          </w:tcPr>
          <w:p w14:paraId="625E5E95" w14:textId="0B153D33" w:rsidR="009B63C1" w:rsidRDefault="009B63C1" w:rsidP="009B63C1">
            <w:pPr>
              <w:rPr>
                <w:rFonts w:ascii="Arial" w:hAnsi="Arial" w:cs="Arial"/>
                <w:sz w:val="22"/>
                <w:szCs w:val="22"/>
              </w:rPr>
            </w:pPr>
            <w:r>
              <w:rPr>
                <w:rFonts w:ascii="Arial" w:hAnsi="Arial" w:cs="Arial"/>
                <w:sz w:val="22"/>
                <w:szCs w:val="22"/>
              </w:rPr>
              <w:t>1</w:t>
            </w:r>
            <w:r w:rsidR="007006C0">
              <w:rPr>
                <w:rFonts w:ascii="Arial" w:hAnsi="Arial" w:cs="Arial"/>
                <w:sz w:val="22"/>
                <w:szCs w:val="22"/>
              </w:rPr>
              <w:t>5</w:t>
            </w:r>
          </w:p>
        </w:tc>
        <w:tc>
          <w:tcPr>
            <w:tcW w:w="268" w:type="dxa"/>
            <w:tcBorders>
              <w:top w:val="nil"/>
              <w:left w:val="nil"/>
              <w:bottom w:val="single" w:sz="4" w:space="0" w:color="auto"/>
              <w:right w:val="nil"/>
            </w:tcBorders>
          </w:tcPr>
          <w:p w14:paraId="595F77C8" w14:textId="77777777" w:rsidR="009B63C1" w:rsidRDefault="009B63C1" w:rsidP="009B63C1">
            <w:pPr>
              <w:rPr>
                <w:rFonts w:ascii="Arial" w:hAnsi="Arial" w:cs="Arial"/>
                <w:sz w:val="22"/>
                <w:szCs w:val="22"/>
              </w:rPr>
            </w:pPr>
          </w:p>
        </w:tc>
        <w:tc>
          <w:tcPr>
            <w:tcW w:w="7081" w:type="dxa"/>
            <w:tcBorders>
              <w:top w:val="nil"/>
              <w:left w:val="nil"/>
              <w:bottom w:val="single" w:sz="4" w:space="0" w:color="auto"/>
              <w:right w:val="nil"/>
            </w:tcBorders>
            <w:tcMar>
              <w:top w:w="72" w:type="dxa"/>
              <w:left w:w="115" w:type="dxa"/>
              <w:bottom w:w="72" w:type="dxa"/>
              <w:right w:w="115" w:type="dxa"/>
            </w:tcMar>
          </w:tcPr>
          <w:p w14:paraId="3E8324F3" w14:textId="00FF333D" w:rsidR="009B63C1" w:rsidRPr="002A2946" w:rsidRDefault="00F921D6" w:rsidP="009B63C1">
            <w:pPr>
              <w:rPr>
                <w:rFonts w:ascii="Arial" w:hAnsi="Arial" w:cs="Arial"/>
                <w:sz w:val="22"/>
                <w:szCs w:val="22"/>
              </w:rPr>
            </w:pPr>
            <w:r w:rsidRPr="002A2946">
              <w:rPr>
                <w:rFonts w:ascii="Arial" w:hAnsi="Arial" w:cs="Arial"/>
                <w:sz w:val="22"/>
                <w:szCs w:val="22"/>
              </w:rPr>
              <w:t>PSB: New virtual hiring hall to serve as a hub linking underrepresented workers, community organizations, labor, and employers. Workers will be offered both virtual and in-person multi</w:t>
            </w:r>
            <w:r w:rsidR="002A2946">
              <w:rPr>
                <w:rFonts w:ascii="Arial" w:hAnsi="Arial" w:cs="Arial"/>
                <w:sz w:val="22"/>
                <w:szCs w:val="22"/>
              </w:rPr>
              <w:t>-</w:t>
            </w:r>
            <w:r w:rsidRPr="002A2946">
              <w:rPr>
                <w:rFonts w:ascii="Arial" w:hAnsi="Arial" w:cs="Arial"/>
                <w:sz w:val="22"/>
                <w:szCs w:val="22"/>
              </w:rPr>
              <w:t xml:space="preserve">lingual training.  </w:t>
            </w:r>
          </w:p>
        </w:tc>
        <w:tc>
          <w:tcPr>
            <w:tcW w:w="270" w:type="dxa"/>
            <w:tcBorders>
              <w:top w:val="nil"/>
              <w:left w:val="nil"/>
              <w:bottom w:val="single" w:sz="4" w:space="0" w:color="auto"/>
              <w:right w:val="nil"/>
            </w:tcBorders>
          </w:tcPr>
          <w:p w14:paraId="482D4A54" w14:textId="77777777" w:rsidR="009B63C1" w:rsidRPr="008D0300" w:rsidRDefault="009B63C1" w:rsidP="009B63C1">
            <w:pPr>
              <w:jc w:val="right"/>
              <w:rPr>
                <w:rFonts w:ascii="Arial" w:hAnsi="Arial" w:cs="Arial"/>
                <w:sz w:val="22"/>
                <w:szCs w:val="22"/>
              </w:rPr>
            </w:pPr>
          </w:p>
        </w:tc>
        <w:tc>
          <w:tcPr>
            <w:tcW w:w="1170" w:type="dxa"/>
            <w:tcBorders>
              <w:top w:val="nil"/>
              <w:left w:val="nil"/>
              <w:bottom w:val="single" w:sz="4" w:space="0" w:color="auto"/>
              <w:right w:val="single" w:sz="2" w:space="0" w:color="FFFFFF" w:themeColor="background1"/>
            </w:tcBorders>
            <w:tcMar>
              <w:top w:w="72" w:type="dxa"/>
              <w:left w:w="115" w:type="dxa"/>
              <w:bottom w:w="72" w:type="dxa"/>
              <w:right w:w="115" w:type="dxa"/>
            </w:tcMar>
          </w:tcPr>
          <w:p w14:paraId="0C89605F" w14:textId="7563CCBD" w:rsidR="009B63C1" w:rsidRDefault="0057577E" w:rsidP="009B63C1">
            <w:pPr>
              <w:jc w:val="right"/>
              <w:rPr>
                <w:rFonts w:ascii="Arial" w:hAnsi="Arial" w:cs="Arial"/>
                <w:sz w:val="22"/>
                <w:szCs w:val="22"/>
              </w:rPr>
            </w:pPr>
            <w:r>
              <w:rPr>
                <w:rFonts w:ascii="Arial" w:hAnsi="Arial" w:cs="Arial"/>
                <w:sz w:val="22"/>
                <w:szCs w:val="22"/>
              </w:rPr>
              <w:t>$</w:t>
            </w:r>
            <w:r w:rsidR="002A2946">
              <w:rPr>
                <w:rFonts w:ascii="Arial" w:hAnsi="Arial" w:cs="Arial"/>
                <w:sz w:val="22"/>
                <w:szCs w:val="22"/>
              </w:rPr>
              <w:t>0.2</w:t>
            </w:r>
            <w:r>
              <w:rPr>
                <w:rFonts w:ascii="Arial" w:hAnsi="Arial" w:cs="Arial"/>
                <w:sz w:val="22"/>
                <w:szCs w:val="22"/>
              </w:rPr>
              <w:t xml:space="preserve"> M</w:t>
            </w:r>
          </w:p>
        </w:tc>
      </w:tr>
      <w:tr w:rsidR="002A2946" w:rsidRPr="008D0300" w14:paraId="560ED37C" w14:textId="77777777" w:rsidTr="00903987">
        <w:trPr>
          <w:cantSplit/>
          <w:trHeight w:val="620"/>
          <w:jc w:val="center"/>
        </w:trPr>
        <w:tc>
          <w:tcPr>
            <w:tcW w:w="9360" w:type="dxa"/>
            <w:gridSpan w:val="5"/>
            <w:tcBorders>
              <w:top w:val="single" w:sz="4" w:space="0" w:color="auto"/>
              <w:left w:val="nil"/>
              <w:bottom w:val="single" w:sz="4" w:space="0" w:color="auto"/>
              <w:right w:val="single" w:sz="2" w:space="0" w:color="FFFFFF" w:themeColor="background1"/>
            </w:tcBorders>
            <w:shd w:val="clear" w:color="auto" w:fill="F2F2F2" w:themeFill="background1" w:themeFillShade="F2"/>
            <w:vAlign w:val="center"/>
          </w:tcPr>
          <w:p w14:paraId="0AC22B96" w14:textId="480D9DC4" w:rsidR="002A2946" w:rsidRPr="002A2946" w:rsidRDefault="00903987" w:rsidP="002A2946">
            <w:pPr>
              <w:rPr>
                <w:rFonts w:ascii="Arial" w:hAnsi="Arial" w:cs="Arial"/>
                <w:b/>
                <w:bCs/>
                <w:sz w:val="22"/>
                <w:szCs w:val="22"/>
              </w:rPr>
            </w:pPr>
            <w:r>
              <w:rPr>
                <w:rFonts w:ascii="Arial" w:hAnsi="Arial" w:cs="Arial"/>
                <w:b/>
                <w:bCs/>
                <w:sz w:val="22"/>
                <w:szCs w:val="22"/>
              </w:rPr>
              <w:t>County Operations in Response to Pandemic</w:t>
            </w:r>
          </w:p>
        </w:tc>
      </w:tr>
      <w:tr w:rsidR="009B63C1" w:rsidRPr="008D0300" w14:paraId="33210825" w14:textId="77777777" w:rsidTr="00903987">
        <w:trPr>
          <w:cantSplit/>
          <w:jc w:val="center"/>
        </w:trPr>
        <w:tc>
          <w:tcPr>
            <w:tcW w:w="571" w:type="dxa"/>
            <w:tcBorders>
              <w:top w:val="single" w:sz="4" w:space="0" w:color="auto"/>
              <w:left w:val="nil"/>
              <w:bottom w:val="nil"/>
              <w:right w:val="nil"/>
            </w:tcBorders>
          </w:tcPr>
          <w:p w14:paraId="55C7BEE0" w14:textId="5D9279E0" w:rsidR="009B63C1" w:rsidRDefault="009B63C1" w:rsidP="009B63C1">
            <w:pPr>
              <w:rPr>
                <w:rFonts w:ascii="Arial" w:hAnsi="Arial" w:cs="Arial"/>
                <w:sz w:val="22"/>
                <w:szCs w:val="22"/>
              </w:rPr>
            </w:pPr>
            <w:r>
              <w:rPr>
                <w:rFonts w:ascii="Arial" w:hAnsi="Arial" w:cs="Arial"/>
                <w:sz w:val="22"/>
                <w:szCs w:val="22"/>
              </w:rPr>
              <w:t>1</w:t>
            </w:r>
            <w:r w:rsidR="007006C0">
              <w:rPr>
                <w:rFonts w:ascii="Arial" w:hAnsi="Arial" w:cs="Arial"/>
                <w:sz w:val="22"/>
                <w:szCs w:val="22"/>
              </w:rPr>
              <w:t>6</w:t>
            </w:r>
          </w:p>
        </w:tc>
        <w:tc>
          <w:tcPr>
            <w:tcW w:w="268" w:type="dxa"/>
            <w:tcBorders>
              <w:top w:val="single" w:sz="4" w:space="0" w:color="auto"/>
              <w:left w:val="nil"/>
              <w:bottom w:val="nil"/>
              <w:right w:val="nil"/>
            </w:tcBorders>
          </w:tcPr>
          <w:p w14:paraId="6AF2854B" w14:textId="77777777" w:rsidR="009B63C1" w:rsidRDefault="009B63C1" w:rsidP="009B63C1">
            <w:pPr>
              <w:rPr>
                <w:rFonts w:ascii="Arial" w:hAnsi="Arial" w:cs="Arial"/>
                <w:sz w:val="22"/>
                <w:szCs w:val="22"/>
              </w:rPr>
            </w:pPr>
          </w:p>
        </w:tc>
        <w:tc>
          <w:tcPr>
            <w:tcW w:w="7081" w:type="dxa"/>
            <w:tcBorders>
              <w:top w:val="single" w:sz="4" w:space="0" w:color="auto"/>
              <w:left w:val="nil"/>
              <w:bottom w:val="nil"/>
              <w:right w:val="nil"/>
            </w:tcBorders>
            <w:tcMar>
              <w:top w:w="72" w:type="dxa"/>
              <w:left w:w="115" w:type="dxa"/>
              <w:bottom w:w="72" w:type="dxa"/>
              <w:right w:w="115" w:type="dxa"/>
            </w:tcMar>
          </w:tcPr>
          <w:p w14:paraId="74F079FD" w14:textId="70D1641C" w:rsidR="009B63C1" w:rsidRDefault="006C23C4" w:rsidP="009B63C1">
            <w:pPr>
              <w:rPr>
                <w:rFonts w:ascii="Arial" w:hAnsi="Arial" w:cs="Arial"/>
                <w:sz w:val="22"/>
                <w:szCs w:val="22"/>
              </w:rPr>
            </w:pPr>
            <w:r>
              <w:rPr>
                <w:rFonts w:ascii="Arial" w:hAnsi="Arial" w:cs="Arial"/>
                <w:sz w:val="22"/>
                <w:szCs w:val="22"/>
              </w:rPr>
              <w:t xml:space="preserve">Assessments: </w:t>
            </w:r>
            <w:r w:rsidRPr="006C23C4">
              <w:rPr>
                <w:rFonts w:ascii="Arial" w:hAnsi="Arial" w:cs="Arial"/>
                <w:sz w:val="22"/>
                <w:szCs w:val="22"/>
              </w:rPr>
              <w:t>overtime associated with COVID-19. COVID-19 business process safety protocols for appraisers have constrained standard field and office operations and staff have been directly affected by COVID-19. To meet mandated deadlines, overtime is used to cover the additional time it takes to complete work and to cover COVID-related absences.</w:t>
            </w:r>
          </w:p>
        </w:tc>
        <w:tc>
          <w:tcPr>
            <w:tcW w:w="270" w:type="dxa"/>
            <w:tcBorders>
              <w:top w:val="single" w:sz="4" w:space="0" w:color="auto"/>
              <w:left w:val="nil"/>
              <w:bottom w:val="nil"/>
              <w:right w:val="nil"/>
            </w:tcBorders>
          </w:tcPr>
          <w:p w14:paraId="4884E6E8" w14:textId="77777777" w:rsidR="009B63C1" w:rsidRPr="008D0300" w:rsidRDefault="009B63C1" w:rsidP="009B63C1">
            <w:pPr>
              <w:jc w:val="right"/>
              <w:rPr>
                <w:rFonts w:ascii="Arial" w:hAnsi="Arial" w:cs="Arial"/>
                <w:sz w:val="22"/>
                <w:szCs w:val="22"/>
              </w:rPr>
            </w:pPr>
          </w:p>
        </w:tc>
        <w:tc>
          <w:tcPr>
            <w:tcW w:w="1170" w:type="dxa"/>
            <w:tcBorders>
              <w:top w:val="single" w:sz="4" w:space="0" w:color="auto"/>
              <w:left w:val="nil"/>
              <w:bottom w:val="nil"/>
              <w:right w:val="single" w:sz="2" w:space="0" w:color="FFFFFF" w:themeColor="background1"/>
            </w:tcBorders>
            <w:tcMar>
              <w:top w:w="72" w:type="dxa"/>
              <w:left w:w="115" w:type="dxa"/>
              <w:bottom w:w="72" w:type="dxa"/>
              <w:right w:w="115" w:type="dxa"/>
            </w:tcMar>
          </w:tcPr>
          <w:p w14:paraId="2D9B1FD5" w14:textId="3EFE65BD" w:rsidR="009B63C1" w:rsidRDefault="0057577E" w:rsidP="009B63C1">
            <w:pPr>
              <w:jc w:val="right"/>
              <w:rPr>
                <w:rFonts w:ascii="Arial" w:hAnsi="Arial" w:cs="Arial"/>
                <w:sz w:val="22"/>
                <w:szCs w:val="22"/>
              </w:rPr>
            </w:pPr>
            <w:r>
              <w:rPr>
                <w:rFonts w:ascii="Arial" w:hAnsi="Arial" w:cs="Arial"/>
                <w:sz w:val="22"/>
                <w:szCs w:val="22"/>
              </w:rPr>
              <w:t>$</w:t>
            </w:r>
            <w:r w:rsidR="00160FBB">
              <w:rPr>
                <w:rFonts w:ascii="Arial" w:hAnsi="Arial" w:cs="Arial"/>
                <w:sz w:val="22"/>
                <w:szCs w:val="22"/>
              </w:rPr>
              <w:t>0.3</w:t>
            </w:r>
            <w:r w:rsidR="002C52E0">
              <w:rPr>
                <w:rFonts w:ascii="Arial" w:hAnsi="Arial" w:cs="Arial"/>
                <w:sz w:val="22"/>
                <w:szCs w:val="22"/>
              </w:rPr>
              <w:t xml:space="preserve"> </w:t>
            </w:r>
            <w:r>
              <w:rPr>
                <w:rFonts w:ascii="Arial" w:hAnsi="Arial" w:cs="Arial"/>
                <w:sz w:val="22"/>
                <w:szCs w:val="22"/>
              </w:rPr>
              <w:t>M</w:t>
            </w:r>
          </w:p>
        </w:tc>
      </w:tr>
      <w:tr w:rsidR="009B63C1" w:rsidRPr="008D0300" w14:paraId="6ABD958F" w14:textId="77777777" w:rsidTr="00266917">
        <w:trPr>
          <w:cantSplit/>
          <w:jc w:val="center"/>
        </w:trPr>
        <w:tc>
          <w:tcPr>
            <w:tcW w:w="571" w:type="dxa"/>
            <w:tcBorders>
              <w:top w:val="nil"/>
              <w:left w:val="nil"/>
              <w:bottom w:val="nil"/>
              <w:right w:val="nil"/>
            </w:tcBorders>
          </w:tcPr>
          <w:p w14:paraId="15423E26" w14:textId="43A25333" w:rsidR="009B63C1" w:rsidRDefault="009B63C1" w:rsidP="009B63C1">
            <w:pPr>
              <w:rPr>
                <w:rFonts w:ascii="Arial" w:hAnsi="Arial" w:cs="Arial"/>
                <w:sz w:val="22"/>
                <w:szCs w:val="22"/>
              </w:rPr>
            </w:pPr>
            <w:r>
              <w:rPr>
                <w:rFonts w:ascii="Arial" w:hAnsi="Arial" w:cs="Arial"/>
                <w:sz w:val="22"/>
                <w:szCs w:val="22"/>
              </w:rPr>
              <w:t>1</w:t>
            </w:r>
            <w:r w:rsidR="007006C0">
              <w:rPr>
                <w:rFonts w:ascii="Arial" w:hAnsi="Arial" w:cs="Arial"/>
                <w:sz w:val="22"/>
                <w:szCs w:val="22"/>
              </w:rPr>
              <w:t>7</w:t>
            </w:r>
          </w:p>
        </w:tc>
        <w:tc>
          <w:tcPr>
            <w:tcW w:w="268" w:type="dxa"/>
            <w:tcBorders>
              <w:top w:val="nil"/>
              <w:left w:val="nil"/>
              <w:bottom w:val="nil"/>
              <w:right w:val="nil"/>
            </w:tcBorders>
          </w:tcPr>
          <w:p w14:paraId="2956EEF4"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719D47F" w14:textId="20923C99" w:rsidR="009B63C1" w:rsidRDefault="006C23C4" w:rsidP="009B63C1">
            <w:pPr>
              <w:rPr>
                <w:rFonts w:ascii="Arial" w:hAnsi="Arial" w:cs="Arial"/>
                <w:sz w:val="22"/>
                <w:szCs w:val="22"/>
              </w:rPr>
            </w:pPr>
            <w:r>
              <w:rPr>
                <w:rFonts w:ascii="Arial" w:hAnsi="Arial" w:cs="Arial"/>
                <w:sz w:val="22"/>
                <w:szCs w:val="22"/>
              </w:rPr>
              <w:t>DAJD</w:t>
            </w:r>
            <w:r w:rsidR="009B63C1">
              <w:rPr>
                <w:rFonts w:ascii="Arial" w:hAnsi="Arial" w:cs="Arial"/>
                <w:sz w:val="22"/>
                <w:szCs w:val="22"/>
              </w:rPr>
              <w:t xml:space="preserve">: </w:t>
            </w:r>
            <w:r>
              <w:rPr>
                <w:rFonts w:ascii="Arial" w:hAnsi="Arial" w:cs="Arial"/>
                <w:sz w:val="22"/>
                <w:szCs w:val="22"/>
              </w:rPr>
              <w:t>D</w:t>
            </w:r>
            <w:r w:rsidRPr="006C23C4">
              <w:rPr>
                <w:rFonts w:ascii="Arial" w:hAnsi="Arial" w:cs="Arial"/>
                <w:sz w:val="22"/>
                <w:szCs w:val="22"/>
              </w:rPr>
              <w:t xml:space="preserve">econtamination services and </w:t>
            </w:r>
            <w:r w:rsidR="007C0E25">
              <w:rPr>
                <w:rFonts w:ascii="Arial" w:hAnsi="Arial" w:cs="Arial"/>
                <w:sz w:val="22"/>
                <w:szCs w:val="22"/>
              </w:rPr>
              <w:t xml:space="preserve">COVID-19 </w:t>
            </w:r>
            <w:r w:rsidRPr="006C23C4">
              <w:rPr>
                <w:rFonts w:ascii="Arial" w:hAnsi="Arial" w:cs="Arial"/>
                <w:sz w:val="22"/>
                <w:szCs w:val="22"/>
              </w:rPr>
              <w:t>testing of staff following a COVID-19 outbreak in detention facilities in Spring 2021.</w:t>
            </w:r>
          </w:p>
        </w:tc>
        <w:tc>
          <w:tcPr>
            <w:tcW w:w="270" w:type="dxa"/>
            <w:tcBorders>
              <w:top w:val="nil"/>
              <w:left w:val="nil"/>
              <w:bottom w:val="nil"/>
              <w:right w:val="nil"/>
            </w:tcBorders>
          </w:tcPr>
          <w:p w14:paraId="04F9B50D" w14:textId="77777777" w:rsidR="009B63C1" w:rsidRPr="008D0300" w:rsidRDefault="009B63C1" w:rsidP="009B63C1">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7AA36DF0" w14:textId="061EF0C3" w:rsidR="009B63C1" w:rsidRDefault="0057577E" w:rsidP="009B63C1">
            <w:pPr>
              <w:jc w:val="right"/>
              <w:rPr>
                <w:rFonts w:ascii="Arial" w:hAnsi="Arial" w:cs="Arial"/>
                <w:sz w:val="22"/>
                <w:szCs w:val="22"/>
              </w:rPr>
            </w:pPr>
            <w:r>
              <w:rPr>
                <w:rFonts w:ascii="Arial" w:hAnsi="Arial" w:cs="Arial"/>
                <w:sz w:val="22"/>
                <w:szCs w:val="22"/>
              </w:rPr>
              <w:t>$</w:t>
            </w:r>
            <w:r w:rsidR="007C0E25">
              <w:rPr>
                <w:rFonts w:ascii="Arial" w:hAnsi="Arial" w:cs="Arial"/>
                <w:sz w:val="22"/>
                <w:szCs w:val="22"/>
              </w:rPr>
              <w:t xml:space="preserve">0.6 </w:t>
            </w:r>
            <w:r>
              <w:rPr>
                <w:rFonts w:ascii="Arial" w:hAnsi="Arial" w:cs="Arial"/>
                <w:sz w:val="22"/>
                <w:szCs w:val="22"/>
              </w:rPr>
              <w:t>M</w:t>
            </w:r>
          </w:p>
        </w:tc>
      </w:tr>
      <w:tr w:rsidR="009B63C1" w:rsidRPr="008D0300" w14:paraId="126D9DA0" w14:textId="77777777" w:rsidTr="00266917">
        <w:trPr>
          <w:cantSplit/>
          <w:jc w:val="center"/>
        </w:trPr>
        <w:tc>
          <w:tcPr>
            <w:tcW w:w="571" w:type="dxa"/>
            <w:tcBorders>
              <w:top w:val="nil"/>
              <w:left w:val="nil"/>
              <w:bottom w:val="single" w:sz="12" w:space="0" w:color="auto"/>
              <w:right w:val="nil"/>
            </w:tcBorders>
          </w:tcPr>
          <w:p w14:paraId="087429CF" w14:textId="77777777" w:rsidR="009B63C1" w:rsidRPr="008D0300" w:rsidRDefault="009B63C1" w:rsidP="009B63C1">
            <w:pPr>
              <w:rPr>
                <w:rFonts w:ascii="Arial" w:hAnsi="Arial" w:cs="Arial"/>
                <w:b/>
                <w:sz w:val="22"/>
                <w:szCs w:val="22"/>
              </w:rPr>
            </w:pPr>
          </w:p>
        </w:tc>
        <w:tc>
          <w:tcPr>
            <w:tcW w:w="268" w:type="dxa"/>
            <w:tcBorders>
              <w:top w:val="nil"/>
              <w:left w:val="nil"/>
              <w:bottom w:val="single" w:sz="12" w:space="0" w:color="auto"/>
              <w:right w:val="nil"/>
            </w:tcBorders>
          </w:tcPr>
          <w:p w14:paraId="6190E267" w14:textId="0189399F" w:rsidR="009B63C1" w:rsidRPr="008D0300" w:rsidRDefault="009B63C1" w:rsidP="009B63C1">
            <w:pPr>
              <w:rPr>
                <w:rFonts w:ascii="Arial" w:hAnsi="Arial" w:cs="Arial"/>
                <w:b/>
                <w:sz w:val="22"/>
                <w:szCs w:val="22"/>
              </w:rPr>
            </w:pPr>
          </w:p>
        </w:tc>
        <w:tc>
          <w:tcPr>
            <w:tcW w:w="7081" w:type="dxa"/>
            <w:tcBorders>
              <w:top w:val="nil"/>
              <w:left w:val="nil"/>
              <w:bottom w:val="single" w:sz="12" w:space="0" w:color="auto"/>
              <w:right w:val="nil"/>
            </w:tcBorders>
            <w:tcMar>
              <w:top w:w="72" w:type="dxa"/>
              <w:left w:w="115" w:type="dxa"/>
              <w:bottom w:w="72" w:type="dxa"/>
              <w:right w:w="115" w:type="dxa"/>
            </w:tcMar>
          </w:tcPr>
          <w:p w14:paraId="40D7EA80" w14:textId="00C0051D" w:rsidR="009B63C1" w:rsidRPr="008D0300" w:rsidRDefault="009B63C1" w:rsidP="009B63C1">
            <w:pPr>
              <w:rPr>
                <w:rFonts w:ascii="Arial" w:hAnsi="Arial" w:cs="Arial"/>
                <w:b/>
                <w:sz w:val="22"/>
                <w:szCs w:val="22"/>
              </w:rPr>
            </w:pPr>
          </w:p>
        </w:tc>
        <w:tc>
          <w:tcPr>
            <w:tcW w:w="270" w:type="dxa"/>
            <w:tcBorders>
              <w:top w:val="nil"/>
              <w:left w:val="single" w:sz="2" w:space="0" w:color="FFFFFF" w:themeColor="background1"/>
              <w:bottom w:val="single" w:sz="12" w:space="0" w:color="auto"/>
              <w:right w:val="single" w:sz="2" w:space="0" w:color="FFFFFF" w:themeColor="background1"/>
            </w:tcBorders>
          </w:tcPr>
          <w:p w14:paraId="6F2DDEDB" w14:textId="77777777" w:rsidR="009B63C1" w:rsidRPr="00B33952" w:rsidRDefault="009B63C1" w:rsidP="009B63C1">
            <w:pPr>
              <w:jc w:val="right"/>
              <w:rPr>
                <w:rFonts w:ascii="Arial" w:hAnsi="Arial" w:cs="Arial"/>
                <w:b/>
                <w:sz w:val="22"/>
                <w:szCs w:val="22"/>
              </w:rPr>
            </w:pPr>
          </w:p>
        </w:tc>
        <w:tc>
          <w:tcPr>
            <w:tcW w:w="1170"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4DCB7C55" w14:textId="3373487C" w:rsidR="009B63C1" w:rsidRPr="00B33952" w:rsidRDefault="009B63C1" w:rsidP="009B63C1">
            <w:pPr>
              <w:jc w:val="right"/>
              <w:rPr>
                <w:rFonts w:ascii="Arial" w:hAnsi="Arial" w:cs="Arial"/>
                <w:b/>
                <w:sz w:val="22"/>
                <w:szCs w:val="22"/>
              </w:rPr>
            </w:pPr>
            <w:r w:rsidRPr="001D1A7E">
              <w:rPr>
                <w:rFonts w:ascii="Arial" w:hAnsi="Arial" w:cs="Arial"/>
                <w:b/>
                <w:color w:val="C0504D" w:themeColor="accent2"/>
                <w:sz w:val="22"/>
                <w:szCs w:val="22"/>
              </w:rPr>
              <w:t>$</w:t>
            </w:r>
            <w:r w:rsidR="00160FBB" w:rsidRPr="001D1A7E">
              <w:rPr>
                <w:rFonts w:ascii="Arial" w:hAnsi="Arial" w:cs="Arial"/>
                <w:b/>
                <w:color w:val="C0504D" w:themeColor="accent2"/>
                <w:sz w:val="22"/>
                <w:szCs w:val="22"/>
              </w:rPr>
              <w:t>3</w:t>
            </w:r>
            <w:r w:rsidR="0037405D" w:rsidRPr="001D1A7E">
              <w:rPr>
                <w:rFonts w:ascii="Arial" w:hAnsi="Arial" w:cs="Arial"/>
                <w:b/>
                <w:color w:val="C0504D" w:themeColor="accent2"/>
                <w:sz w:val="22"/>
                <w:szCs w:val="22"/>
              </w:rPr>
              <w:t>9</w:t>
            </w:r>
            <w:r w:rsidR="00160FBB" w:rsidRPr="001D1A7E">
              <w:rPr>
                <w:rFonts w:ascii="Arial" w:hAnsi="Arial" w:cs="Arial"/>
                <w:b/>
                <w:color w:val="C0504D" w:themeColor="accent2"/>
                <w:sz w:val="22"/>
                <w:szCs w:val="22"/>
              </w:rPr>
              <w:t>.</w:t>
            </w:r>
            <w:r w:rsidR="0037405D" w:rsidRPr="001D1A7E">
              <w:rPr>
                <w:rFonts w:ascii="Arial" w:hAnsi="Arial" w:cs="Arial"/>
                <w:b/>
                <w:color w:val="C0504D" w:themeColor="accent2"/>
                <w:sz w:val="22"/>
                <w:szCs w:val="22"/>
              </w:rPr>
              <w:t>2</w:t>
            </w:r>
            <w:r w:rsidRPr="001D1A7E">
              <w:rPr>
                <w:rFonts w:ascii="Arial" w:hAnsi="Arial" w:cs="Arial"/>
                <w:b/>
                <w:color w:val="C0504D" w:themeColor="accent2"/>
                <w:sz w:val="22"/>
                <w:szCs w:val="22"/>
              </w:rPr>
              <w:t xml:space="preserve"> M</w:t>
            </w:r>
          </w:p>
        </w:tc>
      </w:tr>
    </w:tbl>
    <w:p w14:paraId="1606A2B5" w14:textId="7EDA11DA" w:rsidR="00D64A16" w:rsidRDefault="00D64A16" w:rsidP="00481D11">
      <w:pPr>
        <w:keepNext/>
        <w:spacing w:line="259" w:lineRule="auto"/>
        <w:jc w:val="both"/>
        <w:rPr>
          <w:rFonts w:ascii="Arial" w:hAnsi="Arial" w:cs="Arial"/>
          <w:b/>
          <w:bCs/>
          <w:szCs w:val="24"/>
        </w:rPr>
      </w:pPr>
    </w:p>
    <w:p w14:paraId="6A0FC060" w14:textId="687146A1" w:rsidR="00270CB0" w:rsidRDefault="00C54B68" w:rsidP="00394518">
      <w:pPr>
        <w:spacing w:line="259" w:lineRule="auto"/>
        <w:jc w:val="both"/>
        <w:rPr>
          <w:rFonts w:ascii="Arial" w:hAnsi="Arial" w:cs="Arial"/>
          <w:szCs w:val="24"/>
        </w:rPr>
      </w:pPr>
      <w:r>
        <w:rPr>
          <w:rFonts w:ascii="Arial" w:hAnsi="Arial" w:cs="Arial"/>
          <w:i/>
          <w:iCs/>
          <w:szCs w:val="24"/>
        </w:rPr>
        <w:t>FMD Capital LTL</w:t>
      </w:r>
      <w:r w:rsidRPr="00C54B68">
        <w:rPr>
          <w:rFonts w:ascii="Arial" w:hAnsi="Arial" w:cs="Arial"/>
          <w:i/>
          <w:iCs/>
          <w:szCs w:val="24"/>
        </w:rPr>
        <w:t xml:space="preserve">: Extend Renton Red Lion </w:t>
      </w:r>
      <w:r>
        <w:rPr>
          <w:rFonts w:ascii="Arial" w:hAnsi="Arial" w:cs="Arial"/>
          <w:i/>
          <w:iCs/>
          <w:szCs w:val="24"/>
        </w:rPr>
        <w:t>L</w:t>
      </w:r>
      <w:r w:rsidRPr="00C54B68">
        <w:rPr>
          <w:rFonts w:ascii="Arial" w:hAnsi="Arial" w:cs="Arial"/>
          <w:i/>
          <w:iCs/>
          <w:szCs w:val="24"/>
        </w:rPr>
        <w:t>ease</w:t>
      </w:r>
      <w:r w:rsidR="00DB1288" w:rsidRPr="00DB1288">
        <w:rPr>
          <w:rFonts w:ascii="Arial" w:hAnsi="Arial" w:cs="Arial"/>
          <w:i/>
          <w:iCs/>
          <w:szCs w:val="24"/>
        </w:rPr>
        <w:t>.</w:t>
      </w:r>
      <w:r w:rsidR="00DB1288" w:rsidRPr="00DB1288">
        <w:rPr>
          <w:rFonts w:ascii="Arial" w:hAnsi="Arial" w:cs="Arial"/>
          <w:szCs w:val="24"/>
        </w:rPr>
        <w:t xml:space="preserve">  </w:t>
      </w:r>
      <w:r w:rsidR="00593B14">
        <w:rPr>
          <w:rFonts w:ascii="Arial" w:hAnsi="Arial" w:cs="Arial"/>
          <w:szCs w:val="24"/>
        </w:rPr>
        <w:t xml:space="preserve"> </w:t>
      </w:r>
      <w:r w:rsidR="003C1681">
        <w:rPr>
          <w:rFonts w:ascii="Arial" w:hAnsi="Arial" w:cs="Arial"/>
          <w:szCs w:val="24"/>
        </w:rPr>
        <w:t xml:space="preserve">On </w:t>
      </w:r>
      <w:r w:rsidR="004C275D">
        <w:rPr>
          <w:rFonts w:ascii="Arial" w:hAnsi="Arial" w:cs="Arial"/>
          <w:szCs w:val="24"/>
        </w:rPr>
        <w:t xml:space="preserve">June 22, 2021, the executive announced the county’s purchase of the </w:t>
      </w:r>
      <w:r w:rsidR="003C1681" w:rsidRPr="003C1681">
        <w:rPr>
          <w:rFonts w:ascii="Arial" w:hAnsi="Arial" w:cs="Arial"/>
          <w:szCs w:val="24"/>
        </w:rPr>
        <w:t xml:space="preserve">former Extended Stay America hotel in </w:t>
      </w:r>
      <w:r w:rsidR="004C275D">
        <w:rPr>
          <w:rFonts w:ascii="Arial" w:hAnsi="Arial" w:cs="Arial"/>
          <w:szCs w:val="24"/>
        </w:rPr>
        <w:t xml:space="preserve">the City of </w:t>
      </w:r>
      <w:r w:rsidR="003C1681" w:rsidRPr="003C1681">
        <w:rPr>
          <w:rFonts w:ascii="Arial" w:hAnsi="Arial" w:cs="Arial"/>
          <w:szCs w:val="24"/>
        </w:rPr>
        <w:t>Renton</w:t>
      </w:r>
      <w:r w:rsidR="004C275D">
        <w:rPr>
          <w:rFonts w:ascii="Arial" w:hAnsi="Arial" w:cs="Arial"/>
          <w:szCs w:val="24"/>
        </w:rPr>
        <w:t xml:space="preserve"> for </w:t>
      </w:r>
      <w:r w:rsidR="003C1681" w:rsidRPr="003C1681">
        <w:rPr>
          <w:rFonts w:ascii="Arial" w:hAnsi="Arial" w:cs="Arial"/>
          <w:szCs w:val="24"/>
        </w:rPr>
        <w:t xml:space="preserve">$28.6 million </w:t>
      </w:r>
      <w:r w:rsidR="004C275D">
        <w:rPr>
          <w:rFonts w:ascii="Arial" w:hAnsi="Arial" w:cs="Arial"/>
          <w:szCs w:val="24"/>
        </w:rPr>
        <w:t>using revenues from the Health through Housing sales tax.</w:t>
      </w:r>
      <w:r w:rsidR="00580A76">
        <w:rPr>
          <w:rFonts w:ascii="Arial" w:hAnsi="Arial" w:cs="Arial"/>
          <w:szCs w:val="24"/>
        </w:rPr>
        <w:t xml:space="preserve"> </w:t>
      </w:r>
      <w:r w:rsidR="006F234A" w:rsidRPr="006F234A">
        <w:rPr>
          <w:rFonts w:ascii="Arial" w:hAnsi="Arial" w:cs="Arial"/>
          <w:szCs w:val="24"/>
        </w:rPr>
        <w:lastRenderedPageBreak/>
        <w:t>The hotel, located at 1150 Oakesdale Avenue Southwest, was constructed in 1998 and contains 110 units and sits on approximately 3.88 acres. The site has one three-story structure, one building for storage, and parking areas. Each room has a kitchenette, full bathroom, a bed</w:t>
      </w:r>
      <w:r w:rsidR="00270CB0">
        <w:rPr>
          <w:rFonts w:ascii="Arial" w:hAnsi="Arial" w:cs="Arial"/>
          <w:szCs w:val="24"/>
        </w:rPr>
        <w:t>,</w:t>
      </w:r>
      <w:r w:rsidR="006F234A" w:rsidRPr="006F234A">
        <w:rPr>
          <w:rFonts w:ascii="Arial" w:hAnsi="Arial" w:cs="Arial"/>
          <w:szCs w:val="24"/>
        </w:rPr>
        <w:t xml:space="preserve"> and a small seating area.</w:t>
      </w:r>
      <w:r w:rsidR="00FE4000">
        <w:rPr>
          <w:rFonts w:ascii="Arial" w:hAnsi="Arial" w:cs="Arial"/>
          <w:szCs w:val="24"/>
        </w:rPr>
        <w:t xml:space="preserve"> </w:t>
      </w:r>
    </w:p>
    <w:p w14:paraId="289F4CCC" w14:textId="77777777" w:rsidR="00270CB0" w:rsidRDefault="00270CB0" w:rsidP="00394518">
      <w:pPr>
        <w:spacing w:line="259" w:lineRule="auto"/>
        <w:jc w:val="both"/>
        <w:rPr>
          <w:rFonts w:ascii="Arial" w:hAnsi="Arial" w:cs="Arial"/>
          <w:szCs w:val="24"/>
        </w:rPr>
      </w:pPr>
    </w:p>
    <w:p w14:paraId="2FC6B290" w14:textId="5E0DFFDF" w:rsidR="003741FC" w:rsidRDefault="00270CB0" w:rsidP="00394518">
      <w:pPr>
        <w:spacing w:line="259" w:lineRule="auto"/>
        <w:jc w:val="both"/>
        <w:rPr>
          <w:rFonts w:ascii="Arial" w:hAnsi="Arial" w:cs="Arial"/>
          <w:szCs w:val="24"/>
        </w:rPr>
      </w:pPr>
      <w:r>
        <w:rPr>
          <w:rFonts w:ascii="Arial" w:hAnsi="Arial" w:cs="Arial"/>
          <w:szCs w:val="24"/>
        </w:rPr>
        <w:t xml:space="preserve">The executive press release from </w:t>
      </w:r>
      <w:r w:rsidR="00B22090">
        <w:rPr>
          <w:rFonts w:ascii="Arial" w:hAnsi="Arial" w:cs="Arial"/>
          <w:szCs w:val="24"/>
        </w:rPr>
        <w:t>June 22, 2021</w:t>
      </w:r>
      <w:r w:rsidR="00B22090">
        <w:rPr>
          <w:rStyle w:val="FootnoteReference"/>
          <w:rFonts w:ascii="Arial" w:hAnsi="Arial" w:cs="Arial"/>
          <w:szCs w:val="24"/>
        </w:rPr>
        <w:footnoteReference w:id="16"/>
      </w:r>
      <w:r w:rsidR="00B22090">
        <w:rPr>
          <w:rFonts w:ascii="Arial" w:hAnsi="Arial" w:cs="Arial"/>
          <w:szCs w:val="24"/>
        </w:rPr>
        <w:t xml:space="preserve"> states that t</w:t>
      </w:r>
      <w:r w:rsidR="00FE4000" w:rsidRPr="00FE4000">
        <w:rPr>
          <w:rFonts w:ascii="Arial" w:hAnsi="Arial" w:cs="Arial"/>
          <w:szCs w:val="24"/>
        </w:rPr>
        <w:t>he hotel will provide housing for people experiencing chronic homelessness, along with 24/7 onsite staffing that will include case management, employment counseling, and access to health and behavioral health services.</w:t>
      </w:r>
      <w:r w:rsidR="00B22090">
        <w:rPr>
          <w:rFonts w:ascii="Arial" w:hAnsi="Arial" w:cs="Arial"/>
          <w:szCs w:val="24"/>
        </w:rPr>
        <w:t xml:space="preserve"> </w:t>
      </w:r>
      <w:r w:rsidR="00FE4000" w:rsidRPr="00FE4000">
        <w:rPr>
          <w:rFonts w:ascii="Arial" w:hAnsi="Arial" w:cs="Arial"/>
          <w:szCs w:val="24"/>
        </w:rPr>
        <w:t xml:space="preserve">A competitive process will determine the onsite service provider before the facility is operational later </w:t>
      </w:r>
      <w:r w:rsidR="003954DB">
        <w:rPr>
          <w:rFonts w:ascii="Arial" w:hAnsi="Arial" w:cs="Arial"/>
          <w:szCs w:val="24"/>
        </w:rPr>
        <w:t>in 2021</w:t>
      </w:r>
      <w:r w:rsidR="00F302DF">
        <w:rPr>
          <w:rFonts w:ascii="Arial" w:hAnsi="Arial" w:cs="Arial"/>
          <w:szCs w:val="24"/>
        </w:rPr>
        <w:t xml:space="preserve">. </w:t>
      </w:r>
    </w:p>
    <w:p w14:paraId="3E55E803" w14:textId="77777777" w:rsidR="00257861" w:rsidRPr="003741FC" w:rsidRDefault="00257861" w:rsidP="00394518">
      <w:pPr>
        <w:spacing w:line="259" w:lineRule="auto"/>
        <w:jc w:val="both"/>
        <w:rPr>
          <w:rFonts w:ascii="Arial" w:hAnsi="Arial" w:cs="Arial"/>
          <w:szCs w:val="24"/>
        </w:rPr>
      </w:pPr>
    </w:p>
    <w:p w14:paraId="192A8BEF" w14:textId="105EA730" w:rsidR="00603F16" w:rsidRPr="00D10A3D" w:rsidRDefault="003741FC" w:rsidP="00D10A3D">
      <w:pPr>
        <w:spacing w:line="259" w:lineRule="auto"/>
        <w:jc w:val="both"/>
        <w:rPr>
          <w:rFonts w:ascii="Arial" w:hAnsi="Arial" w:cs="Arial"/>
          <w:szCs w:val="24"/>
        </w:rPr>
      </w:pPr>
      <w:r>
        <w:rPr>
          <w:rFonts w:ascii="Arial" w:hAnsi="Arial" w:cs="Arial"/>
          <w:szCs w:val="24"/>
        </w:rPr>
        <w:t xml:space="preserve">The executive press release also states that the county </w:t>
      </w:r>
      <w:r w:rsidR="00F302DF" w:rsidRPr="00F302DF">
        <w:rPr>
          <w:rFonts w:ascii="Arial" w:hAnsi="Arial" w:cs="Arial"/>
          <w:szCs w:val="24"/>
        </w:rPr>
        <w:t xml:space="preserve">and the City of Renton are working to resolve legal issues related to the emergency siting and operation of a pandemic response shelter deintensification hotel in 2020. As part of that agreement, the County is working to phase out the shelter use at the Red Lion Hotel while also ensuring that the shelter guests can move directly to other housing purchased under the Health through Housing program. </w:t>
      </w:r>
      <w:r w:rsidR="00603F16">
        <w:rPr>
          <w:rFonts w:ascii="Arial" w:hAnsi="Arial" w:cs="Arial"/>
          <w:color w:val="C0504D" w:themeColor="accent2"/>
          <w:szCs w:val="24"/>
        </w:rPr>
        <w:t>The agreement states</w:t>
      </w:r>
      <w:r w:rsidR="00603F16" w:rsidRPr="00F1355F">
        <w:rPr>
          <w:rFonts w:ascii="Arial" w:hAnsi="Arial" w:cs="Arial"/>
          <w:color w:val="C0504D" w:themeColor="accent2"/>
          <w:szCs w:val="24"/>
        </w:rPr>
        <w:t xml:space="preserve"> that </w:t>
      </w:r>
      <w:r w:rsidR="00603F16">
        <w:rPr>
          <w:rFonts w:ascii="Arial" w:hAnsi="Arial" w:cs="Arial"/>
          <w:color w:val="C0504D" w:themeColor="accent2"/>
          <w:szCs w:val="24"/>
        </w:rPr>
        <w:t>the county</w:t>
      </w:r>
      <w:r w:rsidR="00603F16" w:rsidRPr="00F1355F">
        <w:rPr>
          <w:rFonts w:ascii="Arial" w:hAnsi="Arial" w:cs="Arial"/>
          <w:color w:val="C0504D" w:themeColor="accent2"/>
          <w:szCs w:val="24"/>
        </w:rPr>
        <w:t xml:space="preserve"> will strive to have half of the residents moved out by the end of September 2021 and the remaining half no later than the end of September 2022.  </w:t>
      </w:r>
      <w:r w:rsidR="00603F16">
        <w:rPr>
          <w:rFonts w:ascii="Arial" w:hAnsi="Arial" w:cs="Arial"/>
          <w:color w:val="C0504D" w:themeColor="accent2"/>
          <w:szCs w:val="24"/>
        </w:rPr>
        <w:t>Executive staff state that the</w:t>
      </w:r>
      <w:r w:rsidR="00603F16" w:rsidRPr="00F1355F">
        <w:rPr>
          <w:rFonts w:ascii="Arial" w:hAnsi="Arial" w:cs="Arial"/>
          <w:color w:val="C0504D" w:themeColor="accent2"/>
          <w:szCs w:val="24"/>
        </w:rPr>
        <w:t xml:space="preserve"> goal </w:t>
      </w:r>
      <w:r w:rsidR="00603F16">
        <w:rPr>
          <w:rFonts w:ascii="Arial" w:hAnsi="Arial" w:cs="Arial"/>
          <w:color w:val="C0504D" w:themeColor="accent2"/>
          <w:szCs w:val="24"/>
        </w:rPr>
        <w:t xml:space="preserve">of the county and the </w:t>
      </w:r>
      <w:r w:rsidR="00603F16" w:rsidRPr="00F1355F">
        <w:rPr>
          <w:rFonts w:ascii="Arial" w:hAnsi="Arial" w:cs="Arial"/>
          <w:color w:val="C0504D" w:themeColor="accent2"/>
          <w:szCs w:val="24"/>
        </w:rPr>
        <w:t xml:space="preserve">current expectation is that all residents will be moved </w:t>
      </w:r>
      <w:r w:rsidR="00603F16">
        <w:rPr>
          <w:rFonts w:ascii="Arial" w:hAnsi="Arial" w:cs="Arial"/>
          <w:color w:val="C0504D" w:themeColor="accent2"/>
          <w:szCs w:val="24"/>
        </w:rPr>
        <w:t xml:space="preserve">out </w:t>
      </w:r>
      <w:r w:rsidR="00603F16" w:rsidRPr="00F1355F">
        <w:rPr>
          <w:rFonts w:ascii="Arial" w:hAnsi="Arial" w:cs="Arial"/>
          <w:color w:val="C0504D" w:themeColor="accent2"/>
          <w:szCs w:val="24"/>
        </w:rPr>
        <w:t xml:space="preserve">by the end of December 2021.  </w:t>
      </w:r>
      <w:r w:rsidR="00D10A3D">
        <w:rPr>
          <w:rFonts w:ascii="Arial" w:hAnsi="Arial" w:cs="Arial"/>
          <w:szCs w:val="24"/>
        </w:rPr>
        <w:t>15%</w:t>
      </w:r>
      <w:r w:rsidR="00D10A3D" w:rsidRPr="00F302DF">
        <w:rPr>
          <w:rFonts w:ascii="Arial" w:hAnsi="Arial" w:cs="Arial"/>
          <w:szCs w:val="24"/>
        </w:rPr>
        <w:t xml:space="preserve"> of units will be provided to individuals living in or near Renton or have ties to the community. </w:t>
      </w:r>
      <w:r w:rsidR="00D10A3D">
        <w:rPr>
          <w:rFonts w:ascii="Arial" w:hAnsi="Arial" w:cs="Arial"/>
          <w:szCs w:val="24"/>
        </w:rPr>
        <w:t>The county</w:t>
      </w:r>
      <w:r w:rsidR="00D10A3D" w:rsidRPr="00F302DF">
        <w:rPr>
          <w:rFonts w:ascii="Arial" w:hAnsi="Arial" w:cs="Arial"/>
          <w:szCs w:val="24"/>
        </w:rPr>
        <w:t xml:space="preserve"> will coordinate the first phase of closure of the </w:t>
      </w:r>
      <w:r w:rsidR="00D10A3D">
        <w:rPr>
          <w:rFonts w:ascii="Arial" w:hAnsi="Arial" w:cs="Arial"/>
          <w:szCs w:val="24"/>
        </w:rPr>
        <w:t xml:space="preserve">Red Lion Hotel </w:t>
      </w:r>
      <w:r w:rsidR="00D10A3D" w:rsidRPr="00F302DF">
        <w:rPr>
          <w:rFonts w:ascii="Arial" w:hAnsi="Arial" w:cs="Arial"/>
          <w:szCs w:val="24"/>
        </w:rPr>
        <w:t>shelter site in tandem with the opening of the housing at the Extended Stay site.</w:t>
      </w:r>
      <w:r w:rsidR="00D10A3D">
        <w:rPr>
          <w:rFonts w:ascii="Arial" w:hAnsi="Arial" w:cs="Arial"/>
          <w:szCs w:val="24"/>
        </w:rPr>
        <w:t xml:space="preserve"> The proposed COVID 8 would support the lease extension of the Red Lion Hotel for the remainder of 2021.</w:t>
      </w:r>
      <w:r w:rsidR="008C61EF" w:rsidRPr="008C61EF">
        <w:rPr>
          <w:rFonts w:ascii="Arial" w:hAnsi="Arial" w:cs="Arial"/>
          <w:color w:val="C0504D" w:themeColor="accent2"/>
          <w:szCs w:val="24"/>
        </w:rPr>
        <w:t xml:space="preserve"> </w:t>
      </w:r>
      <w:r w:rsidR="008C61EF">
        <w:rPr>
          <w:rFonts w:ascii="Arial" w:hAnsi="Arial" w:cs="Arial"/>
          <w:color w:val="C0504D" w:themeColor="accent2"/>
          <w:szCs w:val="24"/>
        </w:rPr>
        <w:t>Executive staff state that they</w:t>
      </w:r>
      <w:r w:rsidR="008C61EF" w:rsidRPr="00F1355F">
        <w:rPr>
          <w:rFonts w:ascii="Arial" w:hAnsi="Arial" w:cs="Arial"/>
          <w:color w:val="C0504D" w:themeColor="accent2"/>
          <w:szCs w:val="24"/>
        </w:rPr>
        <w:t xml:space="preserve"> are currently working with the </w:t>
      </w:r>
      <w:r w:rsidR="008C61EF">
        <w:rPr>
          <w:rFonts w:ascii="Arial" w:hAnsi="Arial" w:cs="Arial"/>
          <w:color w:val="C0504D" w:themeColor="accent2"/>
          <w:szCs w:val="24"/>
        </w:rPr>
        <w:t>Renton Red Lion</w:t>
      </w:r>
      <w:r w:rsidR="008C61EF" w:rsidRPr="00F1355F">
        <w:rPr>
          <w:rFonts w:ascii="Arial" w:hAnsi="Arial" w:cs="Arial"/>
          <w:color w:val="C0504D" w:themeColor="accent2"/>
          <w:szCs w:val="24"/>
        </w:rPr>
        <w:t xml:space="preserve"> to extend the lease into 2022 so </w:t>
      </w:r>
      <w:r w:rsidR="008C61EF">
        <w:rPr>
          <w:rFonts w:ascii="Arial" w:hAnsi="Arial" w:cs="Arial"/>
          <w:color w:val="C0504D" w:themeColor="accent2"/>
          <w:szCs w:val="24"/>
        </w:rPr>
        <w:t>that the county would</w:t>
      </w:r>
      <w:r w:rsidR="008C61EF" w:rsidRPr="00F1355F">
        <w:rPr>
          <w:rFonts w:ascii="Arial" w:hAnsi="Arial" w:cs="Arial"/>
          <w:color w:val="C0504D" w:themeColor="accent2"/>
          <w:szCs w:val="24"/>
        </w:rPr>
        <w:t xml:space="preserve"> have time to make necessary repairs to the building.</w:t>
      </w:r>
    </w:p>
    <w:p w14:paraId="1D4DE9E5" w14:textId="04C2D111" w:rsidR="00EE1869" w:rsidRDefault="00EE1869" w:rsidP="00603F16">
      <w:pPr>
        <w:keepNext/>
        <w:spacing w:line="259" w:lineRule="auto"/>
        <w:jc w:val="both"/>
        <w:rPr>
          <w:rFonts w:ascii="Arial" w:hAnsi="Arial" w:cs="Arial"/>
          <w:color w:val="C0504D" w:themeColor="accent2"/>
          <w:szCs w:val="24"/>
        </w:rPr>
      </w:pPr>
    </w:p>
    <w:p w14:paraId="702F078F" w14:textId="5E6CD6CD" w:rsidR="00EE1869" w:rsidRDefault="00EE1869" w:rsidP="00EE1869">
      <w:pPr>
        <w:keepNext/>
        <w:spacing w:line="259" w:lineRule="auto"/>
        <w:jc w:val="both"/>
        <w:rPr>
          <w:rFonts w:ascii="Arial" w:hAnsi="Arial" w:cs="Arial"/>
          <w:color w:val="C0504D" w:themeColor="accent2"/>
          <w:szCs w:val="24"/>
        </w:rPr>
      </w:pPr>
      <w:r>
        <w:rPr>
          <w:rFonts w:ascii="Arial" w:hAnsi="Arial" w:cs="Arial"/>
          <w:color w:val="C0504D" w:themeColor="accent2"/>
          <w:szCs w:val="24"/>
        </w:rPr>
        <w:t>Lastly, executive staff confirmed that t</w:t>
      </w:r>
      <w:r w:rsidRPr="00E31948">
        <w:rPr>
          <w:rFonts w:ascii="Arial" w:hAnsi="Arial" w:cs="Arial"/>
          <w:color w:val="C0504D" w:themeColor="accent2"/>
          <w:szCs w:val="24"/>
        </w:rPr>
        <w:t xml:space="preserve">he </w:t>
      </w:r>
      <w:r>
        <w:rPr>
          <w:rFonts w:ascii="Arial" w:hAnsi="Arial" w:cs="Arial"/>
          <w:color w:val="C0504D" w:themeColor="accent2"/>
          <w:szCs w:val="24"/>
        </w:rPr>
        <w:t>c</w:t>
      </w:r>
      <w:r w:rsidRPr="00E31948">
        <w:rPr>
          <w:rFonts w:ascii="Arial" w:hAnsi="Arial" w:cs="Arial"/>
          <w:color w:val="C0504D" w:themeColor="accent2"/>
          <w:szCs w:val="24"/>
        </w:rPr>
        <w:t xml:space="preserve">ounty has contracted </w:t>
      </w:r>
      <w:r>
        <w:rPr>
          <w:rFonts w:ascii="Arial" w:hAnsi="Arial" w:cs="Arial"/>
          <w:color w:val="C0504D" w:themeColor="accent2"/>
          <w:szCs w:val="24"/>
        </w:rPr>
        <w:t xml:space="preserve">with </w:t>
      </w:r>
      <w:r w:rsidR="00435E50">
        <w:rPr>
          <w:rFonts w:ascii="Arial" w:hAnsi="Arial" w:cs="Arial"/>
          <w:color w:val="C0504D" w:themeColor="accent2"/>
          <w:szCs w:val="24"/>
        </w:rPr>
        <w:t xml:space="preserve">an </w:t>
      </w:r>
      <w:r>
        <w:rPr>
          <w:rFonts w:ascii="Arial" w:hAnsi="Arial" w:cs="Arial"/>
          <w:color w:val="C0504D" w:themeColor="accent2"/>
          <w:szCs w:val="24"/>
        </w:rPr>
        <w:t xml:space="preserve">appraiser </w:t>
      </w:r>
      <w:r w:rsidRPr="00E31948">
        <w:rPr>
          <w:rFonts w:ascii="Arial" w:hAnsi="Arial" w:cs="Arial"/>
          <w:color w:val="C0504D" w:themeColor="accent2"/>
          <w:szCs w:val="24"/>
        </w:rPr>
        <w:t xml:space="preserve">to have an appraisal </w:t>
      </w:r>
      <w:r>
        <w:rPr>
          <w:rFonts w:ascii="Arial" w:hAnsi="Arial" w:cs="Arial"/>
          <w:color w:val="C0504D" w:themeColor="accent2"/>
          <w:szCs w:val="24"/>
        </w:rPr>
        <w:t>conducted for the Renton Red Lion hotel</w:t>
      </w:r>
      <w:r w:rsidRPr="00E31948">
        <w:rPr>
          <w:rFonts w:ascii="Arial" w:hAnsi="Arial" w:cs="Arial"/>
          <w:color w:val="C0504D" w:themeColor="accent2"/>
          <w:szCs w:val="24"/>
        </w:rPr>
        <w:t>. This appraisal is anticipated to be completed in the second half of August</w:t>
      </w:r>
      <w:r>
        <w:rPr>
          <w:rFonts w:ascii="Arial" w:hAnsi="Arial" w:cs="Arial"/>
          <w:color w:val="C0504D" w:themeColor="accent2"/>
          <w:szCs w:val="24"/>
        </w:rPr>
        <w:t xml:space="preserve"> 2021</w:t>
      </w:r>
      <w:r w:rsidRPr="00E31948">
        <w:rPr>
          <w:rFonts w:ascii="Arial" w:hAnsi="Arial" w:cs="Arial"/>
          <w:color w:val="C0504D" w:themeColor="accent2"/>
          <w:szCs w:val="24"/>
        </w:rPr>
        <w:t xml:space="preserve">. </w:t>
      </w:r>
      <w:r>
        <w:rPr>
          <w:rFonts w:ascii="Arial" w:hAnsi="Arial" w:cs="Arial"/>
          <w:color w:val="C0504D" w:themeColor="accent2"/>
          <w:szCs w:val="24"/>
        </w:rPr>
        <w:t>Executive staff also state that extending the lease of the Renton Red Lion hotel through the end of the year, as proposed in COVID 8, is the likely scenario. However, the</w:t>
      </w:r>
      <w:r w:rsidRPr="00E31948">
        <w:rPr>
          <w:rFonts w:ascii="Arial" w:hAnsi="Arial" w:cs="Arial"/>
          <w:color w:val="C0504D" w:themeColor="accent2"/>
          <w:szCs w:val="24"/>
        </w:rPr>
        <w:t xml:space="preserve"> appraisal </w:t>
      </w:r>
      <w:r>
        <w:rPr>
          <w:rFonts w:ascii="Arial" w:hAnsi="Arial" w:cs="Arial"/>
          <w:color w:val="C0504D" w:themeColor="accent2"/>
          <w:szCs w:val="24"/>
        </w:rPr>
        <w:t>will inform the executive’s final determination on the Renton Red Lion hotel.</w:t>
      </w:r>
    </w:p>
    <w:p w14:paraId="25CADC77" w14:textId="77777777" w:rsidR="00FC6EDB" w:rsidRDefault="00FC6EDB" w:rsidP="00481D11">
      <w:pPr>
        <w:keepNext/>
        <w:spacing w:line="259" w:lineRule="auto"/>
        <w:jc w:val="both"/>
        <w:rPr>
          <w:rFonts w:ascii="Arial" w:hAnsi="Arial" w:cs="Arial"/>
          <w:szCs w:val="24"/>
        </w:rPr>
      </w:pPr>
    </w:p>
    <w:p w14:paraId="5867AF33" w14:textId="4BFF2DB9" w:rsidR="007832B1" w:rsidRDefault="008E51AD" w:rsidP="008E51AD">
      <w:pPr>
        <w:keepNext/>
        <w:spacing w:line="259" w:lineRule="auto"/>
        <w:jc w:val="both"/>
        <w:rPr>
          <w:rFonts w:ascii="Arial" w:hAnsi="Arial" w:cs="Arial"/>
          <w:szCs w:val="24"/>
        </w:rPr>
      </w:pPr>
      <w:r w:rsidRPr="008E51AD">
        <w:rPr>
          <w:rFonts w:ascii="Arial" w:hAnsi="Arial" w:cs="Arial"/>
          <w:i/>
          <w:iCs/>
          <w:szCs w:val="24"/>
        </w:rPr>
        <w:t>FMD Capital BRR: Construction costs to restore county-leased hotels</w:t>
      </w:r>
      <w:r w:rsidR="00462C59" w:rsidRPr="00462C59">
        <w:rPr>
          <w:rFonts w:ascii="Arial" w:hAnsi="Arial" w:cs="Arial"/>
          <w:i/>
          <w:iCs/>
          <w:szCs w:val="24"/>
        </w:rPr>
        <w:t>.</w:t>
      </w:r>
      <w:r w:rsidR="00462C59">
        <w:rPr>
          <w:rFonts w:ascii="Arial" w:hAnsi="Arial" w:cs="Arial"/>
          <w:szCs w:val="24"/>
        </w:rPr>
        <w:t xml:space="preserve">   </w:t>
      </w:r>
      <w:r w:rsidR="007832B1">
        <w:rPr>
          <w:rFonts w:ascii="Arial" w:hAnsi="Arial" w:cs="Arial"/>
          <w:szCs w:val="24"/>
        </w:rPr>
        <w:t>Executive staff state that</w:t>
      </w:r>
      <w:r w:rsidR="00A921A6">
        <w:rPr>
          <w:rFonts w:ascii="Arial" w:hAnsi="Arial" w:cs="Arial"/>
          <w:szCs w:val="24"/>
        </w:rPr>
        <w:t xml:space="preserve"> most of the appropriation would support construction costs to restore the Renton Red Lion hotel. </w:t>
      </w:r>
      <w:r w:rsidR="00B30159">
        <w:rPr>
          <w:rFonts w:ascii="Arial" w:hAnsi="Arial" w:cs="Arial"/>
          <w:szCs w:val="24"/>
        </w:rPr>
        <w:t xml:space="preserve">Executive staff also state that these costs would not be covered by FEMA </w:t>
      </w:r>
      <w:r w:rsidR="00802278" w:rsidRPr="00E31948">
        <w:rPr>
          <w:rFonts w:ascii="Arial" w:hAnsi="Arial" w:cs="Arial"/>
          <w:color w:val="C0504D" w:themeColor="accent2"/>
          <w:szCs w:val="24"/>
        </w:rPr>
        <w:t>sin</w:t>
      </w:r>
      <w:r w:rsidR="0088393A" w:rsidRPr="00E31948">
        <w:rPr>
          <w:rFonts w:ascii="Arial" w:hAnsi="Arial" w:cs="Arial"/>
          <w:color w:val="C0504D" w:themeColor="accent2"/>
          <w:szCs w:val="24"/>
        </w:rPr>
        <w:t>ce</w:t>
      </w:r>
      <w:r w:rsidR="0070576E" w:rsidRPr="00E31948">
        <w:rPr>
          <w:rFonts w:ascii="Arial" w:hAnsi="Arial" w:cs="Arial"/>
          <w:color w:val="C0504D" w:themeColor="accent2"/>
          <w:szCs w:val="24"/>
        </w:rPr>
        <w:t xml:space="preserve"> FEMA</w:t>
      </w:r>
      <w:r w:rsidR="00341B7F" w:rsidRPr="00E31948">
        <w:rPr>
          <w:rFonts w:ascii="Arial" w:hAnsi="Arial" w:cs="Arial"/>
          <w:color w:val="C0504D" w:themeColor="accent2"/>
          <w:szCs w:val="24"/>
        </w:rPr>
        <w:t xml:space="preserve"> expressed</w:t>
      </w:r>
      <w:r w:rsidR="00471077" w:rsidRPr="00E31948">
        <w:rPr>
          <w:rFonts w:ascii="Arial" w:hAnsi="Arial" w:cs="Arial"/>
          <w:color w:val="C0504D" w:themeColor="accent2"/>
          <w:szCs w:val="24"/>
        </w:rPr>
        <w:t xml:space="preserve"> </w:t>
      </w:r>
      <w:r w:rsidR="00471077">
        <w:rPr>
          <w:rFonts w:ascii="Arial" w:hAnsi="Arial" w:cs="Arial"/>
          <w:szCs w:val="24"/>
        </w:rPr>
        <w:t>apprehensi</w:t>
      </w:r>
      <w:r w:rsidR="00341B7F">
        <w:rPr>
          <w:rFonts w:ascii="Arial" w:hAnsi="Arial" w:cs="Arial"/>
          <w:szCs w:val="24"/>
        </w:rPr>
        <w:t>on</w:t>
      </w:r>
      <w:r w:rsidR="00471077">
        <w:rPr>
          <w:rFonts w:ascii="Arial" w:hAnsi="Arial" w:cs="Arial"/>
          <w:szCs w:val="24"/>
        </w:rPr>
        <w:t xml:space="preserve"> of reimbursing expenses related to </w:t>
      </w:r>
      <w:r w:rsidR="00B30159">
        <w:rPr>
          <w:rFonts w:ascii="Arial" w:hAnsi="Arial" w:cs="Arial"/>
          <w:szCs w:val="24"/>
        </w:rPr>
        <w:t>deintensification facilities</w:t>
      </w:r>
      <w:r w:rsidR="00683698">
        <w:rPr>
          <w:rFonts w:ascii="Arial" w:hAnsi="Arial" w:cs="Arial"/>
          <w:szCs w:val="24"/>
        </w:rPr>
        <w:t xml:space="preserve"> </w:t>
      </w:r>
      <w:r w:rsidR="00683698" w:rsidRPr="00E31948">
        <w:rPr>
          <w:rFonts w:ascii="Arial" w:hAnsi="Arial" w:cs="Arial"/>
          <w:color w:val="C0504D" w:themeColor="accent2"/>
          <w:szCs w:val="24"/>
        </w:rPr>
        <w:t xml:space="preserve">as </w:t>
      </w:r>
      <w:r w:rsidR="00C86FD0" w:rsidRPr="00E31948">
        <w:rPr>
          <w:rFonts w:ascii="Arial" w:hAnsi="Arial" w:cs="Arial"/>
          <w:color w:val="C0504D" w:themeColor="accent2"/>
          <w:szCs w:val="24"/>
        </w:rPr>
        <w:t>these</w:t>
      </w:r>
      <w:r w:rsidR="007939B4" w:rsidRPr="00E31948">
        <w:rPr>
          <w:rFonts w:ascii="Arial" w:hAnsi="Arial" w:cs="Arial"/>
          <w:color w:val="C0504D" w:themeColor="accent2"/>
          <w:szCs w:val="24"/>
        </w:rPr>
        <w:t xml:space="preserve"> facilities did not fully meet </w:t>
      </w:r>
      <w:r w:rsidR="00C86FD0" w:rsidRPr="00E31948">
        <w:rPr>
          <w:rFonts w:ascii="Arial" w:hAnsi="Arial" w:cs="Arial"/>
          <w:color w:val="C0504D" w:themeColor="accent2"/>
          <w:szCs w:val="24"/>
        </w:rPr>
        <w:t xml:space="preserve">eligibility for </w:t>
      </w:r>
      <w:r w:rsidR="007939B4" w:rsidRPr="00E31948">
        <w:rPr>
          <w:rFonts w:ascii="Arial" w:hAnsi="Arial" w:cs="Arial"/>
          <w:color w:val="C0504D" w:themeColor="accent2"/>
          <w:szCs w:val="24"/>
        </w:rPr>
        <w:t xml:space="preserve">FEMA </w:t>
      </w:r>
      <w:r w:rsidR="00C86FD0" w:rsidRPr="00E31948">
        <w:rPr>
          <w:rFonts w:ascii="Arial" w:hAnsi="Arial" w:cs="Arial"/>
          <w:color w:val="C0504D" w:themeColor="accent2"/>
          <w:szCs w:val="24"/>
        </w:rPr>
        <w:t>funds</w:t>
      </w:r>
      <w:r w:rsidR="00471077">
        <w:rPr>
          <w:rFonts w:ascii="Arial" w:hAnsi="Arial" w:cs="Arial"/>
          <w:szCs w:val="24"/>
        </w:rPr>
        <w:t>.</w:t>
      </w:r>
    </w:p>
    <w:p w14:paraId="1789F843" w14:textId="2305E4F4" w:rsidR="00382D17" w:rsidRDefault="00382D17" w:rsidP="008E51AD">
      <w:pPr>
        <w:keepNext/>
        <w:spacing w:line="259" w:lineRule="auto"/>
        <w:jc w:val="both"/>
        <w:rPr>
          <w:rFonts w:ascii="Arial" w:hAnsi="Arial" w:cs="Arial"/>
          <w:szCs w:val="24"/>
        </w:rPr>
      </w:pPr>
    </w:p>
    <w:p w14:paraId="7F16AF47" w14:textId="1DAC211B" w:rsidR="00382D17" w:rsidRPr="00E31948" w:rsidRDefault="007E24C3" w:rsidP="005C4058">
      <w:pPr>
        <w:jc w:val="both"/>
        <w:rPr>
          <w:rFonts w:ascii="Arial" w:hAnsi="Arial" w:cs="Arial"/>
          <w:color w:val="C0504D" w:themeColor="accent2"/>
          <w:szCs w:val="24"/>
        </w:rPr>
      </w:pPr>
      <w:r w:rsidRPr="00E31948">
        <w:rPr>
          <w:rFonts w:ascii="Arial" w:hAnsi="Arial" w:cs="Arial"/>
          <w:color w:val="C0504D" w:themeColor="accent2"/>
          <w:szCs w:val="24"/>
        </w:rPr>
        <w:t>Since the July 6</w:t>
      </w:r>
      <w:r w:rsidRPr="00E31948">
        <w:rPr>
          <w:rFonts w:ascii="Arial" w:hAnsi="Arial" w:cs="Arial"/>
          <w:color w:val="C0504D" w:themeColor="accent2"/>
          <w:szCs w:val="24"/>
          <w:vertAlign w:val="superscript"/>
        </w:rPr>
        <w:t>th</w:t>
      </w:r>
      <w:r w:rsidRPr="00E31948">
        <w:rPr>
          <w:rFonts w:ascii="Arial" w:hAnsi="Arial" w:cs="Arial"/>
          <w:color w:val="C0504D" w:themeColor="accent2"/>
          <w:szCs w:val="24"/>
        </w:rPr>
        <w:t xml:space="preserve"> BFM Committee meeting, executive staff has </w:t>
      </w:r>
      <w:r w:rsidR="005C4058" w:rsidRPr="00E31948">
        <w:rPr>
          <w:rFonts w:ascii="Arial" w:hAnsi="Arial" w:cs="Arial"/>
          <w:color w:val="C0504D" w:themeColor="accent2"/>
          <w:szCs w:val="24"/>
        </w:rPr>
        <w:t xml:space="preserve">revised the estimate for the construction cost </w:t>
      </w:r>
      <w:r w:rsidR="00E31948" w:rsidRPr="00E31948">
        <w:rPr>
          <w:rFonts w:ascii="Arial" w:hAnsi="Arial" w:cs="Arial"/>
          <w:color w:val="C0504D" w:themeColor="accent2"/>
          <w:szCs w:val="24"/>
        </w:rPr>
        <w:t>and reduced it to $9 million.</w:t>
      </w:r>
      <w:r w:rsidRPr="00E31948">
        <w:rPr>
          <w:rFonts w:ascii="Arial" w:hAnsi="Arial" w:cs="Arial"/>
          <w:color w:val="C0504D" w:themeColor="accent2"/>
          <w:szCs w:val="24"/>
        </w:rPr>
        <w:t xml:space="preserve"> </w:t>
      </w:r>
      <w:r w:rsidR="00E31948" w:rsidRPr="00E31948">
        <w:rPr>
          <w:rFonts w:ascii="Arial" w:hAnsi="Arial" w:cs="Arial"/>
          <w:color w:val="C0504D" w:themeColor="accent2"/>
          <w:szCs w:val="24"/>
        </w:rPr>
        <w:t xml:space="preserve">Council staff is working with the BFM </w:t>
      </w:r>
      <w:r w:rsidR="00E31948" w:rsidRPr="00E31948">
        <w:rPr>
          <w:rFonts w:ascii="Arial" w:hAnsi="Arial" w:cs="Arial"/>
          <w:color w:val="C0504D" w:themeColor="accent2"/>
          <w:szCs w:val="24"/>
        </w:rPr>
        <w:lastRenderedPageBreak/>
        <w:t xml:space="preserve">Chair to include this reduction in </w:t>
      </w:r>
      <w:r w:rsidR="00BF452C">
        <w:rPr>
          <w:rFonts w:ascii="Arial" w:hAnsi="Arial" w:cs="Arial"/>
          <w:color w:val="C0504D" w:themeColor="accent2"/>
          <w:szCs w:val="24"/>
        </w:rPr>
        <w:t>the BFM Chair’s</w:t>
      </w:r>
      <w:r w:rsidR="00E31948" w:rsidRPr="00E31948">
        <w:rPr>
          <w:rFonts w:ascii="Arial" w:hAnsi="Arial" w:cs="Arial"/>
          <w:color w:val="C0504D" w:themeColor="accent2"/>
          <w:szCs w:val="24"/>
        </w:rPr>
        <w:t xml:space="preserve"> striking amendment. Executive staff is still working </w:t>
      </w:r>
      <w:r w:rsidR="002C6933">
        <w:rPr>
          <w:rFonts w:ascii="Arial" w:hAnsi="Arial" w:cs="Arial"/>
          <w:color w:val="C0504D" w:themeColor="accent2"/>
          <w:szCs w:val="24"/>
        </w:rPr>
        <w:t xml:space="preserve">to provide council staff </w:t>
      </w:r>
      <w:r w:rsidR="00E31948" w:rsidRPr="00E31948">
        <w:rPr>
          <w:rFonts w:ascii="Arial" w:hAnsi="Arial" w:cs="Arial"/>
          <w:color w:val="C0504D" w:themeColor="accent2"/>
          <w:szCs w:val="24"/>
        </w:rPr>
        <w:t xml:space="preserve">a detailed cost breakdown. </w:t>
      </w:r>
    </w:p>
    <w:p w14:paraId="2CAC5BAF" w14:textId="77777777" w:rsidR="00E31948" w:rsidRPr="00E31948" w:rsidRDefault="00E31948" w:rsidP="005C4058">
      <w:pPr>
        <w:jc w:val="both"/>
        <w:rPr>
          <w:rFonts w:ascii="Arial" w:hAnsi="Arial" w:cs="Arial"/>
          <w:color w:val="C0504D" w:themeColor="accent2"/>
          <w:szCs w:val="24"/>
        </w:rPr>
      </w:pPr>
    </w:p>
    <w:p w14:paraId="12EC3F34" w14:textId="77777777" w:rsidR="001B22A7" w:rsidRDefault="006477CD" w:rsidP="002C6933">
      <w:pPr>
        <w:keepNext/>
        <w:spacing w:line="259" w:lineRule="auto"/>
        <w:jc w:val="both"/>
        <w:rPr>
          <w:rFonts w:ascii="Arial" w:hAnsi="Arial" w:cs="Arial"/>
          <w:color w:val="C0504D" w:themeColor="accent2"/>
          <w:szCs w:val="24"/>
        </w:rPr>
      </w:pPr>
      <w:r>
        <w:rPr>
          <w:rFonts w:ascii="Arial" w:hAnsi="Arial" w:cs="Arial"/>
          <w:color w:val="C0504D" w:themeColor="accent2"/>
          <w:szCs w:val="24"/>
        </w:rPr>
        <w:t>Executive staff has con</w:t>
      </w:r>
      <w:r w:rsidR="000B16B8">
        <w:rPr>
          <w:rFonts w:ascii="Arial" w:hAnsi="Arial" w:cs="Arial"/>
          <w:color w:val="C0504D" w:themeColor="accent2"/>
          <w:szCs w:val="24"/>
        </w:rPr>
        <w:t xml:space="preserve">firmed that the county is responsible </w:t>
      </w:r>
      <w:r w:rsidR="00183D6D" w:rsidRPr="00E31948">
        <w:rPr>
          <w:rFonts w:ascii="Arial" w:hAnsi="Arial" w:cs="Arial"/>
          <w:color w:val="C0504D" w:themeColor="accent2"/>
          <w:szCs w:val="24"/>
        </w:rPr>
        <w:t xml:space="preserve">for damages incurred </w:t>
      </w:r>
      <w:r w:rsidR="000B16B8">
        <w:rPr>
          <w:rFonts w:ascii="Arial" w:hAnsi="Arial" w:cs="Arial"/>
          <w:color w:val="C0504D" w:themeColor="accent2"/>
          <w:szCs w:val="24"/>
        </w:rPr>
        <w:t>to the deintensification facilities during the leased period.</w:t>
      </w:r>
      <w:r w:rsidR="002C6933">
        <w:rPr>
          <w:rFonts w:ascii="Arial" w:hAnsi="Arial" w:cs="Arial"/>
          <w:color w:val="C0504D" w:themeColor="accent2"/>
          <w:szCs w:val="24"/>
        </w:rPr>
        <w:t xml:space="preserve">  The county</w:t>
      </w:r>
      <w:r w:rsidR="005F49BE">
        <w:rPr>
          <w:rFonts w:ascii="Arial" w:hAnsi="Arial" w:cs="Arial"/>
          <w:color w:val="C0504D" w:themeColor="accent2"/>
          <w:szCs w:val="24"/>
        </w:rPr>
        <w:t xml:space="preserve"> was responsible for maintenance costs and operating costs such as janitorial and utilities, however, the county contracted with </w:t>
      </w:r>
      <w:r w:rsidR="001B22A7">
        <w:rPr>
          <w:rFonts w:ascii="Arial" w:hAnsi="Arial" w:cs="Arial"/>
          <w:color w:val="C0504D" w:themeColor="accent2"/>
          <w:szCs w:val="24"/>
        </w:rPr>
        <w:t>the service providers to operate the deintensification facilities:</w:t>
      </w:r>
    </w:p>
    <w:p w14:paraId="34D1EFDC" w14:textId="17E752AA" w:rsidR="002C6933" w:rsidRDefault="001B22A7" w:rsidP="001B22A7">
      <w:pPr>
        <w:pStyle w:val="ListParagraph0"/>
        <w:keepNext/>
        <w:numPr>
          <w:ilvl w:val="0"/>
          <w:numId w:val="47"/>
        </w:numPr>
        <w:spacing w:line="259" w:lineRule="auto"/>
        <w:jc w:val="both"/>
        <w:rPr>
          <w:rFonts w:ascii="Arial" w:hAnsi="Arial" w:cs="Arial"/>
          <w:color w:val="C0504D" w:themeColor="accent2"/>
        </w:rPr>
      </w:pPr>
      <w:r>
        <w:rPr>
          <w:rFonts w:ascii="Arial" w:hAnsi="Arial" w:cs="Arial"/>
          <w:color w:val="C0504D" w:themeColor="accent2"/>
        </w:rPr>
        <w:t xml:space="preserve">Catholic Community Services </w:t>
      </w:r>
      <w:r w:rsidR="00D91EA8">
        <w:rPr>
          <w:rFonts w:ascii="Arial" w:hAnsi="Arial" w:cs="Arial"/>
          <w:color w:val="C0504D" w:themeColor="accent2"/>
        </w:rPr>
        <w:t>[contract ended]</w:t>
      </w:r>
      <w:r w:rsidR="0051458B">
        <w:rPr>
          <w:rFonts w:ascii="Arial" w:hAnsi="Arial" w:cs="Arial"/>
          <w:color w:val="C0504D" w:themeColor="accent2"/>
        </w:rPr>
        <w:t xml:space="preserve"> </w:t>
      </w:r>
      <w:r w:rsidRPr="001B22A7">
        <w:rPr>
          <w:rFonts w:ascii="Arial" w:hAnsi="Arial" w:cs="Arial"/>
          <w:color w:val="C0504D" w:themeColor="accent2"/>
        </w:rPr>
        <w:sym w:font="Wingdings" w:char="F0E0"/>
      </w:r>
      <w:r>
        <w:rPr>
          <w:rFonts w:ascii="Arial" w:hAnsi="Arial" w:cs="Arial"/>
          <w:color w:val="C0504D" w:themeColor="accent2"/>
        </w:rPr>
        <w:t xml:space="preserve"> Inn at Queen Anne (Seattle)</w:t>
      </w:r>
    </w:p>
    <w:p w14:paraId="20E0BB27" w14:textId="7EBFBEF9" w:rsidR="001B22A7" w:rsidRDefault="001B22A7" w:rsidP="001B22A7">
      <w:pPr>
        <w:pStyle w:val="ListParagraph0"/>
        <w:keepNext/>
        <w:numPr>
          <w:ilvl w:val="0"/>
          <w:numId w:val="47"/>
        </w:numPr>
        <w:spacing w:line="259" w:lineRule="auto"/>
        <w:jc w:val="both"/>
        <w:rPr>
          <w:rFonts w:ascii="Arial" w:hAnsi="Arial" w:cs="Arial"/>
          <w:color w:val="C0504D" w:themeColor="accent2"/>
        </w:rPr>
      </w:pPr>
      <w:r>
        <w:rPr>
          <w:rFonts w:ascii="Arial" w:hAnsi="Arial" w:cs="Arial"/>
          <w:color w:val="C0504D" w:themeColor="accent2"/>
        </w:rPr>
        <w:t xml:space="preserve">Catholic Community Services </w:t>
      </w:r>
      <w:r w:rsidR="00D91EA8">
        <w:rPr>
          <w:rFonts w:ascii="Arial" w:hAnsi="Arial" w:cs="Arial"/>
          <w:color w:val="C0504D" w:themeColor="accent2"/>
        </w:rPr>
        <w:t>[contract ended]</w:t>
      </w:r>
      <w:r w:rsidR="0051458B">
        <w:rPr>
          <w:rFonts w:ascii="Arial" w:hAnsi="Arial" w:cs="Arial"/>
          <w:color w:val="C0504D" w:themeColor="accent2"/>
        </w:rPr>
        <w:t xml:space="preserve"> </w:t>
      </w:r>
      <w:r w:rsidRPr="001B22A7">
        <w:rPr>
          <w:rFonts w:ascii="Arial" w:hAnsi="Arial" w:cs="Arial"/>
          <w:color w:val="C0504D" w:themeColor="accent2"/>
        </w:rPr>
        <w:sym w:font="Wingdings" w:char="F0E0"/>
      </w:r>
      <w:r>
        <w:rPr>
          <w:rFonts w:ascii="Arial" w:hAnsi="Arial" w:cs="Arial"/>
          <w:color w:val="C0504D" w:themeColor="accent2"/>
        </w:rPr>
        <w:t xml:space="preserve"> Sleep Inn (SeaTac)</w:t>
      </w:r>
    </w:p>
    <w:p w14:paraId="47636940" w14:textId="17B8B990" w:rsidR="001B22A7" w:rsidRPr="001B22A7" w:rsidRDefault="001B22A7" w:rsidP="001B22A7">
      <w:pPr>
        <w:pStyle w:val="ListParagraph0"/>
        <w:keepNext/>
        <w:numPr>
          <w:ilvl w:val="0"/>
          <w:numId w:val="47"/>
        </w:numPr>
        <w:spacing w:line="259" w:lineRule="auto"/>
        <w:jc w:val="both"/>
        <w:rPr>
          <w:rFonts w:ascii="Arial" w:hAnsi="Arial" w:cs="Arial"/>
          <w:color w:val="C0504D" w:themeColor="accent2"/>
        </w:rPr>
      </w:pPr>
      <w:r>
        <w:rPr>
          <w:rFonts w:ascii="Arial" w:hAnsi="Arial" w:cs="Arial"/>
          <w:color w:val="C0504D" w:themeColor="accent2"/>
        </w:rPr>
        <w:t>D</w:t>
      </w:r>
      <w:r w:rsidR="0051458B">
        <w:rPr>
          <w:rFonts w:ascii="Arial" w:hAnsi="Arial" w:cs="Arial"/>
          <w:color w:val="C0504D" w:themeColor="accent2"/>
        </w:rPr>
        <w:t xml:space="preserve">owntown Emergency Service Center (DESC) </w:t>
      </w:r>
      <w:r w:rsidR="00D91EA8">
        <w:rPr>
          <w:rFonts w:ascii="Arial" w:hAnsi="Arial" w:cs="Arial"/>
          <w:color w:val="C0504D" w:themeColor="accent2"/>
        </w:rPr>
        <w:t xml:space="preserve">[contract still active] </w:t>
      </w:r>
      <w:r w:rsidR="0051458B" w:rsidRPr="0051458B">
        <w:rPr>
          <w:rFonts w:ascii="Arial" w:hAnsi="Arial" w:cs="Arial"/>
          <w:color w:val="C0504D" w:themeColor="accent2"/>
        </w:rPr>
        <w:sym w:font="Wingdings" w:char="F0E0"/>
      </w:r>
      <w:r w:rsidR="0051458B">
        <w:rPr>
          <w:rFonts w:ascii="Arial" w:hAnsi="Arial" w:cs="Arial"/>
          <w:color w:val="C0504D" w:themeColor="accent2"/>
        </w:rPr>
        <w:t xml:space="preserve"> Red Lion (Renton)</w:t>
      </w:r>
    </w:p>
    <w:p w14:paraId="21477C32" w14:textId="77777777" w:rsidR="000A3C86" w:rsidRDefault="000A3C86" w:rsidP="00462C59">
      <w:pPr>
        <w:keepNext/>
        <w:spacing w:line="259" w:lineRule="auto"/>
        <w:jc w:val="both"/>
        <w:rPr>
          <w:rFonts w:ascii="Arial" w:hAnsi="Arial" w:cs="Arial"/>
          <w:szCs w:val="24"/>
        </w:rPr>
      </w:pPr>
    </w:p>
    <w:p w14:paraId="2D7E300D" w14:textId="0B540B6A" w:rsidR="00444510" w:rsidRPr="00462C59" w:rsidRDefault="008E51AD" w:rsidP="008E51AD">
      <w:pPr>
        <w:keepNext/>
        <w:spacing w:line="259" w:lineRule="auto"/>
        <w:jc w:val="both"/>
        <w:rPr>
          <w:rFonts w:ascii="Arial" w:hAnsi="Arial" w:cs="Arial"/>
          <w:szCs w:val="24"/>
        </w:rPr>
      </w:pPr>
      <w:r>
        <w:rPr>
          <w:rFonts w:ascii="Arial" w:hAnsi="Arial" w:cs="Arial"/>
          <w:i/>
          <w:iCs/>
          <w:szCs w:val="24"/>
        </w:rPr>
        <w:t>DCHS: Civil Legal Aid</w:t>
      </w:r>
      <w:r w:rsidR="006B4BBB" w:rsidRPr="006B4BBB">
        <w:rPr>
          <w:rFonts w:ascii="Arial" w:hAnsi="Arial" w:cs="Arial"/>
          <w:i/>
          <w:iCs/>
          <w:szCs w:val="24"/>
        </w:rPr>
        <w:t>.</w:t>
      </w:r>
      <w:r w:rsidR="00462C59" w:rsidRPr="00462C59">
        <w:rPr>
          <w:rFonts w:ascii="Arial" w:hAnsi="Arial" w:cs="Arial"/>
          <w:szCs w:val="24"/>
        </w:rPr>
        <w:t xml:space="preserve"> </w:t>
      </w:r>
      <w:r w:rsidR="006B4BBB">
        <w:rPr>
          <w:rFonts w:ascii="Arial" w:hAnsi="Arial" w:cs="Arial"/>
          <w:szCs w:val="24"/>
        </w:rPr>
        <w:t xml:space="preserve"> </w:t>
      </w:r>
      <w:r w:rsidR="00C84D10" w:rsidRPr="00C84D10">
        <w:rPr>
          <w:rFonts w:ascii="Arial" w:hAnsi="Arial" w:cs="Arial"/>
          <w:szCs w:val="24"/>
        </w:rPr>
        <w:t xml:space="preserve">Pending </w:t>
      </w:r>
      <w:r w:rsidR="00A330DD">
        <w:rPr>
          <w:rFonts w:ascii="Arial" w:hAnsi="Arial" w:cs="Arial"/>
          <w:szCs w:val="24"/>
        </w:rPr>
        <w:t xml:space="preserve">ARPA CLFRF </w:t>
      </w:r>
      <w:r w:rsidR="00C84D10" w:rsidRPr="00C84D10">
        <w:rPr>
          <w:rFonts w:ascii="Arial" w:hAnsi="Arial" w:cs="Arial"/>
          <w:szCs w:val="24"/>
        </w:rPr>
        <w:t xml:space="preserve">eligibility and procurement review, </w:t>
      </w:r>
      <w:r w:rsidR="00A330DD">
        <w:rPr>
          <w:rFonts w:ascii="Arial" w:hAnsi="Arial" w:cs="Arial"/>
          <w:szCs w:val="24"/>
        </w:rPr>
        <w:t xml:space="preserve">executive staff state that the $2.0 million proposed </w:t>
      </w:r>
      <w:r w:rsidR="00875CF6">
        <w:rPr>
          <w:rFonts w:ascii="Arial" w:hAnsi="Arial" w:cs="Arial"/>
          <w:szCs w:val="24"/>
        </w:rPr>
        <w:t xml:space="preserve">in COVID 8 </w:t>
      </w:r>
      <w:r w:rsidR="00A330DD">
        <w:rPr>
          <w:rFonts w:ascii="Arial" w:hAnsi="Arial" w:cs="Arial"/>
          <w:szCs w:val="24"/>
        </w:rPr>
        <w:t xml:space="preserve">would </w:t>
      </w:r>
      <w:r w:rsidR="00C84D10" w:rsidRPr="00C84D10">
        <w:rPr>
          <w:rFonts w:ascii="Arial" w:hAnsi="Arial" w:cs="Arial"/>
          <w:szCs w:val="24"/>
        </w:rPr>
        <w:t xml:space="preserve">be awarded to the Legal Foundation of Washington (LFW) as a pass-through entity for a competitive grant </w:t>
      </w:r>
      <w:r w:rsidR="00044FED">
        <w:rPr>
          <w:rFonts w:ascii="Arial" w:hAnsi="Arial" w:cs="Arial"/>
          <w:szCs w:val="24"/>
        </w:rPr>
        <w:t>program</w:t>
      </w:r>
      <w:r w:rsidR="00C84D10" w:rsidRPr="00C84D10">
        <w:rPr>
          <w:rFonts w:ascii="Arial" w:hAnsi="Arial" w:cs="Arial"/>
          <w:szCs w:val="24"/>
        </w:rPr>
        <w:t xml:space="preserve">. </w:t>
      </w:r>
      <w:r w:rsidR="00044FED">
        <w:rPr>
          <w:rFonts w:ascii="Arial" w:hAnsi="Arial" w:cs="Arial"/>
          <w:szCs w:val="24"/>
        </w:rPr>
        <w:t xml:space="preserve">Executive further state that </w:t>
      </w:r>
      <w:r w:rsidR="00C84D10" w:rsidRPr="00C84D10">
        <w:rPr>
          <w:rFonts w:ascii="Arial" w:hAnsi="Arial" w:cs="Arial"/>
          <w:szCs w:val="24"/>
        </w:rPr>
        <w:t xml:space="preserve">LFW is the primary funder of civil legal aid in Washington State and has an established grantmaking partnership with many programs serving </w:t>
      </w:r>
      <w:r w:rsidR="00044FED">
        <w:rPr>
          <w:rFonts w:ascii="Arial" w:hAnsi="Arial" w:cs="Arial"/>
          <w:szCs w:val="24"/>
        </w:rPr>
        <w:t>the county</w:t>
      </w:r>
      <w:r w:rsidR="00C84D10" w:rsidRPr="00C84D10">
        <w:rPr>
          <w:rFonts w:ascii="Arial" w:hAnsi="Arial" w:cs="Arial"/>
          <w:szCs w:val="24"/>
        </w:rPr>
        <w:t>, such as</w:t>
      </w:r>
      <w:r w:rsidR="00044FED">
        <w:rPr>
          <w:rFonts w:ascii="Arial" w:hAnsi="Arial" w:cs="Arial"/>
          <w:szCs w:val="24"/>
        </w:rPr>
        <w:t xml:space="preserve"> the</w:t>
      </w:r>
      <w:r w:rsidR="00C84D10" w:rsidRPr="00C84D10">
        <w:rPr>
          <w:rFonts w:ascii="Arial" w:hAnsi="Arial" w:cs="Arial"/>
          <w:szCs w:val="24"/>
        </w:rPr>
        <w:t xml:space="preserve"> Benefits Law Center, Colectiva Legal del Pueblo, Eastside Legal Assistance Program, Kids in Need of Defense (KIND), King County Bar Association Pro Bono Services, Legal Counsel for Youth and Children, Northwest Immigrant Rights Project, Sexual Violence Law Center, Solid Ground, TeamChild, Tenant Law Center, Unemployment Law Project, and other partner organizations in the Alliance for Equal Justice.</w:t>
      </w:r>
    </w:p>
    <w:p w14:paraId="786B7C12" w14:textId="4547C714" w:rsidR="00593B14" w:rsidRDefault="00593B14" w:rsidP="00593B14">
      <w:pPr>
        <w:keepNext/>
        <w:spacing w:line="259" w:lineRule="auto"/>
        <w:jc w:val="both"/>
        <w:rPr>
          <w:rFonts w:ascii="Arial" w:hAnsi="Arial" w:cs="Arial"/>
          <w:szCs w:val="24"/>
        </w:rPr>
      </w:pPr>
    </w:p>
    <w:p w14:paraId="07593AF6" w14:textId="164DB51F" w:rsidR="0021356E" w:rsidRDefault="008E51AD" w:rsidP="005168E3">
      <w:pPr>
        <w:spacing w:line="259" w:lineRule="auto"/>
        <w:jc w:val="both"/>
        <w:rPr>
          <w:rFonts w:ascii="Arial" w:hAnsi="Arial" w:cs="Arial"/>
          <w:szCs w:val="24"/>
        </w:rPr>
      </w:pPr>
      <w:r>
        <w:rPr>
          <w:rFonts w:ascii="Arial" w:hAnsi="Arial" w:cs="Arial"/>
          <w:i/>
          <w:iCs/>
          <w:szCs w:val="24"/>
        </w:rPr>
        <w:t>DCHS: Immigrant Community Supports</w:t>
      </w:r>
      <w:r w:rsidR="00FC6EDB" w:rsidRPr="00FC6EDB">
        <w:rPr>
          <w:rFonts w:ascii="Arial" w:hAnsi="Arial" w:cs="Arial"/>
          <w:i/>
          <w:iCs/>
          <w:szCs w:val="24"/>
        </w:rPr>
        <w:t>.</w:t>
      </w:r>
      <w:r w:rsidR="00FC6EDB">
        <w:rPr>
          <w:rFonts w:ascii="Arial" w:hAnsi="Arial" w:cs="Arial"/>
          <w:szCs w:val="24"/>
        </w:rPr>
        <w:t xml:space="preserve">  </w:t>
      </w:r>
      <w:r w:rsidR="0021356E">
        <w:rPr>
          <w:rFonts w:ascii="Arial" w:hAnsi="Arial" w:cs="Arial"/>
          <w:szCs w:val="24"/>
        </w:rPr>
        <w:t>In 202</w:t>
      </w:r>
      <w:r w:rsidR="00D377DE">
        <w:rPr>
          <w:rFonts w:ascii="Arial" w:hAnsi="Arial" w:cs="Arial"/>
          <w:szCs w:val="24"/>
        </w:rPr>
        <w:t>1, the</w:t>
      </w:r>
      <w:r w:rsidR="0021356E">
        <w:rPr>
          <w:rFonts w:ascii="Arial" w:hAnsi="Arial" w:cs="Arial"/>
          <w:szCs w:val="24"/>
        </w:rPr>
        <w:t xml:space="preserve"> </w:t>
      </w:r>
      <w:r w:rsidR="007A17A8">
        <w:rPr>
          <w:rFonts w:ascii="Arial" w:hAnsi="Arial" w:cs="Arial"/>
          <w:szCs w:val="24"/>
        </w:rPr>
        <w:t>S</w:t>
      </w:r>
      <w:r w:rsidR="0021356E">
        <w:rPr>
          <w:rFonts w:ascii="Arial" w:hAnsi="Arial" w:cs="Arial"/>
          <w:szCs w:val="24"/>
        </w:rPr>
        <w:t xml:space="preserve">tate of Washington </w:t>
      </w:r>
      <w:r w:rsidR="00D377DE">
        <w:rPr>
          <w:rFonts w:ascii="Arial" w:hAnsi="Arial" w:cs="Arial"/>
          <w:szCs w:val="24"/>
        </w:rPr>
        <w:t xml:space="preserve">established the $62.6 million </w:t>
      </w:r>
      <w:r w:rsidR="00D377DE" w:rsidRPr="005B54D9">
        <w:rPr>
          <w:rFonts w:ascii="Arial" w:hAnsi="Arial" w:cs="Arial"/>
          <w:szCs w:val="24"/>
        </w:rPr>
        <w:t>COVID-19 Immigrant Relief Fund</w:t>
      </w:r>
      <w:r w:rsidR="00D377DE">
        <w:rPr>
          <w:rFonts w:ascii="Arial" w:hAnsi="Arial" w:cs="Arial"/>
          <w:szCs w:val="24"/>
        </w:rPr>
        <w:t xml:space="preserve"> supported by the State’s allocation of the CARES Act CRF to </w:t>
      </w:r>
      <w:r w:rsidR="00E92917">
        <w:rPr>
          <w:rFonts w:ascii="Arial" w:hAnsi="Arial" w:cs="Arial"/>
          <w:szCs w:val="24"/>
        </w:rPr>
        <w:t>provide financial relief to immigrants impacted by the COVID-19 pandemic</w:t>
      </w:r>
      <w:r w:rsidR="00C04444">
        <w:rPr>
          <w:rFonts w:ascii="Arial" w:hAnsi="Arial" w:cs="Arial"/>
          <w:szCs w:val="24"/>
        </w:rPr>
        <w:t>.</w:t>
      </w:r>
      <w:r w:rsidR="00F627CF">
        <w:rPr>
          <w:rStyle w:val="FootnoteReference"/>
          <w:rFonts w:ascii="Arial" w:hAnsi="Arial" w:cs="Arial"/>
          <w:szCs w:val="24"/>
        </w:rPr>
        <w:footnoteReference w:id="17"/>
      </w:r>
      <w:r w:rsidR="00C04444">
        <w:rPr>
          <w:rFonts w:ascii="Arial" w:hAnsi="Arial" w:cs="Arial"/>
          <w:szCs w:val="24"/>
        </w:rPr>
        <w:t xml:space="preserve"> Similarly, the City of Seattle also established the </w:t>
      </w:r>
      <w:r w:rsidR="00C04444" w:rsidRPr="00C04444">
        <w:rPr>
          <w:rFonts w:ascii="Arial" w:hAnsi="Arial" w:cs="Arial"/>
          <w:szCs w:val="24"/>
        </w:rPr>
        <w:t xml:space="preserve">$7.9 million COVID-19 Disaster Relief Fund for Immigrants </w:t>
      </w:r>
      <w:r w:rsidR="00355C74">
        <w:rPr>
          <w:rFonts w:ascii="Arial" w:hAnsi="Arial" w:cs="Arial"/>
          <w:szCs w:val="24"/>
        </w:rPr>
        <w:t>supported b</w:t>
      </w:r>
      <w:r w:rsidR="00C04444" w:rsidRPr="00C04444">
        <w:rPr>
          <w:rFonts w:ascii="Arial" w:hAnsi="Arial" w:cs="Arial"/>
          <w:szCs w:val="24"/>
        </w:rPr>
        <w:t xml:space="preserve">y </w:t>
      </w:r>
      <w:r w:rsidR="00355C74">
        <w:rPr>
          <w:rFonts w:ascii="Arial" w:hAnsi="Arial" w:cs="Arial"/>
          <w:szCs w:val="24"/>
        </w:rPr>
        <w:t xml:space="preserve">the City of </w:t>
      </w:r>
      <w:r w:rsidR="00C04444" w:rsidRPr="00C04444">
        <w:rPr>
          <w:rFonts w:ascii="Arial" w:hAnsi="Arial" w:cs="Arial"/>
          <w:szCs w:val="24"/>
        </w:rPr>
        <w:t>Seattle’s General Fund</w:t>
      </w:r>
      <w:r w:rsidR="00355C74">
        <w:rPr>
          <w:rFonts w:ascii="Arial" w:hAnsi="Arial" w:cs="Arial"/>
          <w:szCs w:val="24"/>
        </w:rPr>
        <w:t xml:space="preserve"> to also provide financial relief to immigrants impacted by the COVID-19 pandemic.</w:t>
      </w:r>
      <w:r w:rsidR="007415C0">
        <w:rPr>
          <w:rStyle w:val="FootnoteReference"/>
          <w:rFonts w:ascii="Arial" w:hAnsi="Arial" w:cs="Arial"/>
          <w:szCs w:val="24"/>
        </w:rPr>
        <w:footnoteReference w:id="18"/>
      </w:r>
    </w:p>
    <w:p w14:paraId="5F9A16DA" w14:textId="356BA0DB" w:rsidR="00C04444" w:rsidRDefault="00C04444" w:rsidP="005168E3">
      <w:pPr>
        <w:spacing w:line="259" w:lineRule="auto"/>
        <w:jc w:val="both"/>
        <w:rPr>
          <w:rFonts w:ascii="Arial" w:hAnsi="Arial" w:cs="Arial"/>
          <w:szCs w:val="24"/>
        </w:rPr>
      </w:pPr>
    </w:p>
    <w:p w14:paraId="4872C78C" w14:textId="60EC2B05" w:rsidR="005168E3" w:rsidRPr="005168E3" w:rsidRDefault="00C04444" w:rsidP="005168E3">
      <w:pPr>
        <w:spacing w:line="259" w:lineRule="auto"/>
        <w:jc w:val="both"/>
        <w:rPr>
          <w:rFonts w:ascii="Arial" w:hAnsi="Arial" w:cs="Arial"/>
          <w:szCs w:val="24"/>
        </w:rPr>
      </w:pPr>
      <w:r>
        <w:rPr>
          <w:rFonts w:ascii="Arial" w:hAnsi="Arial" w:cs="Arial"/>
          <w:szCs w:val="24"/>
        </w:rPr>
        <w:t xml:space="preserve">Executive staff that </w:t>
      </w:r>
      <w:r w:rsidR="004668AC">
        <w:rPr>
          <w:rFonts w:ascii="Arial" w:hAnsi="Arial" w:cs="Arial"/>
          <w:szCs w:val="24"/>
        </w:rPr>
        <w:t xml:space="preserve">the </w:t>
      </w:r>
      <w:r w:rsidR="003638BD">
        <w:rPr>
          <w:rFonts w:ascii="Arial" w:hAnsi="Arial" w:cs="Arial"/>
          <w:szCs w:val="24"/>
        </w:rPr>
        <w:t xml:space="preserve">proposed $11.2 million </w:t>
      </w:r>
      <w:r w:rsidR="004668AC">
        <w:rPr>
          <w:rFonts w:ascii="Arial" w:hAnsi="Arial" w:cs="Arial"/>
          <w:szCs w:val="24"/>
        </w:rPr>
        <w:t>immigrant community supports program</w:t>
      </w:r>
      <w:r w:rsidR="00F24B3F">
        <w:rPr>
          <w:rFonts w:ascii="Arial" w:hAnsi="Arial" w:cs="Arial"/>
          <w:szCs w:val="24"/>
        </w:rPr>
        <w:t xml:space="preserve"> </w:t>
      </w:r>
      <w:r w:rsidR="003638BD">
        <w:rPr>
          <w:rFonts w:ascii="Arial" w:hAnsi="Arial" w:cs="Arial"/>
          <w:szCs w:val="24"/>
        </w:rPr>
        <w:t>would</w:t>
      </w:r>
      <w:r w:rsidR="003638BD" w:rsidRPr="005168E3">
        <w:rPr>
          <w:rFonts w:ascii="Arial" w:hAnsi="Arial" w:cs="Arial"/>
          <w:szCs w:val="24"/>
        </w:rPr>
        <w:t xml:space="preserve"> likely be similar to the City</w:t>
      </w:r>
      <w:r w:rsidR="003638BD">
        <w:rPr>
          <w:rFonts w:ascii="Arial" w:hAnsi="Arial" w:cs="Arial"/>
          <w:szCs w:val="24"/>
        </w:rPr>
        <w:t xml:space="preserve"> of Seattle </w:t>
      </w:r>
      <w:r w:rsidR="003638BD" w:rsidRPr="005168E3">
        <w:rPr>
          <w:rFonts w:ascii="Arial" w:hAnsi="Arial" w:cs="Arial"/>
          <w:szCs w:val="24"/>
        </w:rPr>
        <w:t>and State</w:t>
      </w:r>
      <w:r w:rsidR="003638BD">
        <w:rPr>
          <w:rFonts w:ascii="Arial" w:hAnsi="Arial" w:cs="Arial"/>
          <w:szCs w:val="24"/>
        </w:rPr>
        <w:t xml:space="preserve"> of Washington</w:t>
      </w:r>
      <w:r w:rsidR="003638BD" w:rsidRPr="005168E3">
        <w:rPr>
          <w:rFonts w:ascii="Arial" w:hAnsi="Arial" w:cs="Arial"/>
          <w:szCs w:val="24"/>
        </w:rPr>
        <w:t xml:space="preserve"> </w:t>
      </w:r>
      <w:r w:rsidR="00564769" w:rsidRPr="005168E3">
        <w:rPr>
          <w:rFonts w:ascii="Arial" w:hAnsi="Arial" w:cs="Arial"/>
          <w:szCs w:val="24"/>
        </w:rPr>
        <w:t>programs,</w:t>
      </w:r>
      <w:r w:rsidR="003638BD">
        <w:rPr>
          <w:rFonts w:ascii="Arial" w:hAnsi="Arial" w:cs="Arial"/>
          <w:szCs w:val="24"/>
        </w:rPr>
        <w:t xml:space="preserve"> </w:t>
      </w:r>
      <w:r w:rsidR="007A17A8">
        <w:rPr>
          <w:rFonts w:ascii="Arial" w:hAnsi="Arial" w:cs="Arial"/>
          <w:szCs w:val="24"/>
        </w:rPr>
        <w:t xml:space="preserve">but </w:t>
      </w:r>
      <w:r>
        <w:rPr>
          <w:rFonts w:ascii="Arial" w:hAnsi="Arial" w:cs="Arial"/>
          <w:szCs w:val="24"/>
        </w:rPr>
        <w:t xml:space="preserve">they are still determining the </w:t>
      </w:r>
      <w:r w:rsidRPr="005168E3">
        <w:rPr>
          <w:rFonts w:ascii="Arial" w:hAnsi="Arial" w:cs="Arial"/>
          <w:szCs w:val="24"/>
        </w:rPr>
        <w:t xml:space="preserve">best </w:t>
      </w:r>
      <w:r>
        <w:rPr>
          <w:rFonts w:ascii="Arial" w:hAnsi="Arial" w:cs="Arial"/>
          <w:szCs w:val="24"/>
        </w:rPr>
        <w:t>approach</w:t>
      </w:r>
      <w:r w:rsidRPr="005168E3">
        <w:rPr>
          <w:rFonts w:ascii="Arial" w:hAnsi="Arial" w:cs="Arial"/>
          <w:szCs w:val="24"/>
        </w:rPr>
        <w:t xml:space="preserve"> to administer </w:t>
      </w:r>
      <w:r>
        <w:rPr>
          <w:rFonts w:ascii="Arial" w:hAnsi="Arial" w:cs="Arial"/>
          <w:szCs w:val="24"/>
        </w:rPr>
        <w:t xml:space="preserve">the </w:t>
      </w:r>
      <w:r w:rsidR="007A17A8">
        <w:rPr>
          <w:rFonts w:ascii="Arial" w:hAnsi="Arial" w:cs="Arial"/>
          <w:szCs w:val="24"/>
        </w:rPr>
        <w:t>program. Executive staff also state that i</w:t>
      </w:r>
      <w:r w:rsidR="005168E3" w:rsidRPr="005168E3">
        <w:rPr>
          <w:rFonts w:ascii="Arial" w:hAnsi="Arial" w:cs="Arial"/>
          <w:szCs w:val="24"/>
        </w:rPr>
        <w:t xml:space="preserve">t </w:t>
      </w:r>
      <w:r w:rsidR="007A17A8">
        <w:rPr>
          <w:rFonts w:ascii="Arial" w:hAnsi="Arial" w:cs="Arial"/>
          <w:szCs w:val="24"/>
        </w:rPr>
        <w:t>would</w:t>
      </w:r>
      <w:r w:rsidR="005168E3" w:rsidRPr="005168E3">
        <w:rPr>
          <w:rFonts w:ascii="Arial" w:hAnsi="Arial" w:cs="Arial"/>
          <w:szCs w:val="24"/>
        </w:rPr>
        <w:t xml:space="preserve"> probably have multiple components: outreach and application support, language access and translation, application processing</w:t>
      </w:r>
      <w:r w:rsidR="007A17A8">
        <w:rPr>
          <w:rFonts w:ascii="Arial" w:hAnsi="Arial" w:cs="Arial"/>
          <w:szCs w:val="24"/>
        </w:rPr>
        <w:t>,</w:t>
      </w:r>
      <w:r w:rsidR="005168E3" w:rsidRPr="005168E3">
        <w:rPr>
          <w:rFonts w:ascii="Arial" w:hAnsi="Arial" w:cs="Arial"/>
          <w:szCs w:val="24"/>
        </w:rPr>
        <w:t xml:space="preserve"> and fiscal administration</w:t>
      </w:r>
      <w:r w:rsidR="007A17A8">
        <w:rPr>
          <w:rFonts w:ascii="Arial" w:hAnsi="Arial" w:cs="Arial"/>
          <w:szCs w:val="24"/>
        </w:rPr>
        <w:t xml:space="preserve"> and </w:t>
      </w:r>
      <w:r w:rsidR="005168E3" w:rsidRPr="005168E3">
        <w:rPr>
          <w:rFonts w:ascii="Arial" w:hAnsi="Arial" w:cs="Arial"/>
          <w:szCs w:val="24"/>
        </w:rPr>
        <w:t>intend to work with community partners to</w:t>
      </w:r>
      <w:r w:rsidR="007A17A8">
        <w:rPr>
          <w:rFonts w:ascii="Arial" w:hAnsi="Arial" w:cs="Arial"/>
          <w:szCs w:val="24"/>
        </w:rPr>
        <w:t xml:space="preserve"> support the planning and implementation efforts. </w:t>
      </w:r>
      <w:r w:rsidR="005B54D9" w:rsidRPr="005B54D9">
        <w:rPr>
          <w:rFonts w:ascii="Arial" w:hAnsi="Arial" w:cs="Arial"/>
          <w:szCs w:val="24"/>
        </w:rPr>
        <w:t>Both City of Seattle and Washington State utilize</w:t>
      </w:r>
      <w:r w:rsidR="007A17A8">
        <w:rPr>
          <w:rFonts w:ascii="Arial" w:hAnsi="Arial" w:cs="Arial"/>
          <w:szCs w:val="24"/>
        </w:rPr>
        <w:t>d</w:t>
      </w:r>
      <w:r w:rsidR="005B54D9" w:rsidRPr="005B54D9">
        <w:rPr>
          <w:rFonts w:ascii="Arial" w:hAnsi="Arial" w:cs="Arial"/>
          <w:szCs w:val="24"/>
        </w:rPr>
        <w:t xml:space="preserve"> Scholarship Junkies, a Seattle-based </w:t>
      </w:r>
      <w:r w:rsidR="007A17A8">
        <w:rPr>
          <w:rFonts w:ascii="Arial" w:hAnsi="Arial" w:cs="Arial"/>
          <w:szCs w:val="24"/>
        </w:rPr>
        <w:t>community-based organization</w:t>
      </w:r>
      <w:r w:rsidR="005B54D9" w:rsidRPr="005B54D9">
        <w:rPr>
          <w:rFonts w:ascii="Arial" w:hAnsi="Arial" w:cs="Arial"/>
          <w:szCs w:val="24"/>
        </w:rPr>
        <w:t xml:space="preserve"> to</w:t>
      </w:r>
      <w:r w:rsidR="007A17A8">
        <w:rPr>
          <w:rFonts w:ascii="Arial" w:hAnsi="Arial" w:cs="Arial"/>
          <w:szCs w:val="24"/>
        </w:rPr>
        <w:t xml:space="preserve"> disburse moneys to the community. Executive staff state that the c</w:t>
      </w:r>
      <w:r w:rsidR="005168E3" w:rsidRPr="005168E3">
        <w:rPr>
          <w:rFonts w:ascii="Arial" w:hAnsi="Arial" w:cs="Arial"/>
          <w:szCs w:val="24"/>
        </w:rPr>
        <w:t xml:space="preserve">ounty is researching administration options which would provide a centralized and coordinate application portal, would set up a system for reviewing and </w:t>
      </w:r>
      <w:r w:rsidR="005168E3" w:rsidRPr="005168E3">
        <w:rPr>
          <w:rFonts w:ascii="Arial" w:hAnsi="Arial" w:cs="Arial"/>
          <w:szCs w:val="24"/>
        </w:rPr>
        <w:lastRenderedPageBreak/>
        <w:t xml:space="preserve">prioritizing applications based on the </w:t>
      </w:r>
      <w:r w:rsidR="007A17A8">
        <w:rPr>
          <w:rFonts w:ascii="Arial" w:hAnsi="Arial" w:cs="Arial"/>
          <w:szCs w:val="24"/>
        </w:rPr>
        <w:t>c</w:t>
      </w:r>
      <w:r w:rsidR="005168E3" w:rsidRPr="005168E3">
        <w:rPr>
          <w:rFonts w:ascii="Arial" w:hAnsi="Arial" w:cs="Arial"/>
          <w:szCs w:val="24"/>
        </w:rPr>
        <w:t>ounty’s programmatic direction. However, there has been no outreach to vendors yet.</w:t>
      </w:r>
    </w:p>
    <w:p w14:paraId="765E29A9" w14:textId="77777777" w:rsidR="005168E3" w:rsidRPr="005168E3" w:rsidRDefault="005168E3" w:rsidP="005168E3">
      <w:pPr>
        <w:spacing w:line="259" w:lineRule="auto"/>
        <w:jc w:val="both"/>
        <w:rPr>
          <w:rFonts w:ascii="Arial" w:hAnsi="Arial" w:cs="Arial"/>
          <w:szCs w:val="24"/>
        </w:rPr>
      </w:pPr>
      <w:r w:rsidRPr="005168E3">
        <w:rPr>
          <w:rFonts w:ascii="Arial" w:hAnsi="Arial" w:cs="Arial"/>
          <w:szCs w:val="24"/>
        </w:rPr>
        <w:t xml:space="preserve"> </w:t>
      </w:r>
    </w:p>
    <w:p w14:paraId="548F7B06" w14:textId="2F7AE908" w:rsidR="00FC6EDB" w:rsidRDefault="007A17A8" w:rsidP="005168E3">
      <w:pPr>
        <w:spacing w:line="259" w:lineRule="auto"/>
        <w:jc w:val="both"/>
        <w:rPr>
          <w:rFonts w:ascii="Arial" w:hAnsi="Arial" w:cs="Arial"/>
          <w:szCs w:val="24"/>
        </w:rPr>
      </w:pPr>
      <w:r>
        <w:rPr>
          <w:rFonts w:ascii="Arial" w:hAnsi="Arial" w:cs="Arial"/>
          <w:szCs w:val="24"/>
        </w:rPr>
        <w:t>Lastly, executive staff state that the proposed $11.2 million amount</w:t>
      </w:r>
      <w:r w:rsidR="005168E3" w:rsidRPr="005168E3">
        <w:rPr>
          <w:rFonts w:ascii="Arial" w:hAnsi="Arial" w:cs="Arial"/>
          <w:szCs w:val="24"/>
        </w:rPr>
        <w:t xml:space="preserve"> was based on a combination of assessment of need and availability of resources. Approximately, $10</w:t>
      </w:r>
      <w:r>
        <w:rPr>
          <w:rFonts w:ascii="Arial" w:hAnsi="Arial" w:cs="Arial"/>
          <w:szCs w:val="24"/>
        </w:rPr>
        <w:t xml:space="preserve"> million would</w:t>
      </w:r>
      <w:r w:rsidR="005168E3" w:rsidRPr="005168E3">
        <w:rPr>
          <w:rFonts w:ascii="Arial" w:hAnsi="Arial" w:cs="Arial"/>
          <w:szCs w:val="24"/>
        </w:rPr>
        <w:t xml:space="preserve"> be set aside for direct payments, with the remaining amount focused on outreach, translation, and administration. The level of direct payments is still </w:t>
      </w:r>
      <w:r>
        <w:rPr>
          <w:rFonts w:ascii="Arial" w:hAnsi="Arial" w:cs="Arial"/>
          <w:szCs w:val="24"/>
        </w:rPr>
        <w:t>being determined</w:t>
      </w:r>
      <w:r w:rsidR="005168E3" w:rsidRPr="005168E3">
        <w:rPr>
          <w:rFonts w:ascii="Arial" w:hAnsi="Arial" w:cs="Arial"/>
          <w:szCs w:val="24"/>
        </w:rPr>
        <w:t>.</w:t>
      </w:r>
    </w:p>
    <w:p w14:paraId="443A6339" w14:textId="55E20A3B" w:rsidR="00980848" w:rsidRDefault="00980848" w:rsidP="00FC6EDB">
      <w:pPr>
        <w:keepNext/>
        <w:spacing w:line="259" w:lineRule="auto"/>
        <w:jc w:val="both"/>
        <w:rPr>
          <w:rFonts w:ascii="Arial" w:hAnsi="Arial" w:cs="Arial"/>
          <w:i/>
          <w:iCs/>
          <w:szCs w:val="24"/>
        </w:rPr>
      </w:pPr>
    </w:p>
    <w:p w14:paraId="1F7C3E2E" w14:textId="016FE040" w:rsidR="00FC6EDB" w:rsidRDefault="008E51AD" w:rsidP="008E51AD">
      <w:pPr>
        <w:keepNext/>
        <w:spacing w:line="259" w:lineRule="auto"/>
        <w:jc w:val="both"/>
        <w:rPr>
          <w:rFonts w:ascii="Arial" w:hAnsi="Arial" w:cs="Arial"/>
          <w:szCs w:val="24"/>
        </w:rPr>
      </w:pPr>
      <w:r>
        <w:rPr>
          <w:rFonts w:ascii="Arial" w:hAnsi="Arial" w:cs="Arial"/>
          <w:i/>
          <w:iCs/>
          <w:szCs w:val="24"/>
        </w:rPr>
        <w:t>PSB: Recovery Corps</w:t>
      </w:r>
      <w:r w:rsidR="00BE7754" w:rsidRPr="00BE7754">
        <w:rPr>
          <w:rFonts w:ascii="Arial" w:hAnsi="Arial" w:cs="Arial"/>
          <w:i/>
          <w:iCs/>
          <w:szCs w:val="24"/>
        </w:rPr>
        <w:t>.</w:t>
      </w:r>
      <w:r w:rsidR="00BE7754">
        <w:rPr>
          <w:rFonts w:ascii="Arial" w:hAnsi="Arial" w:cs="Arial"/>
          <w:szCs w:val="24"/>
        </w:rPr>
        <w:t xml:space="preserve">   </w:t>
      </w:r>
      <w:r w:rsidR="00581966">
        <w:rPr>
          <w:rFonts w:ascii="Arial" w:hAnsi="Arial" w:cs="Arial"/>
          <w:szCs w:val="24"/>
        </w:rPr>
        <w:t xml:space="preserve">Executive staff state the Recovery Corps program </w:t>
      </w:r>
      <w:r w:rsidR="00597162" w:rsidRPr="00597162">
        <w:rPr>
          <w:rFonts w:ascii="Arial" w:hAnsi="Arial" w:cs="Arial"/>
          <w:szCs w:val="24"/>
        </w:rPr>
        <w:t xml:space="preserve">would award competitive </w:t>
      </w:r>
      <w:r w:rsidR="0057607E">
        <w:rPr>
          <w:rFonts w:ascii="Arial" w:hAnsi="Arial" w:cs="Arial"/>
          <w:szCs w:val="24"/>
        </w:rPr>
        <w:t>grants</w:t>
      </w:r>
      <w:r w:rsidR="00597162" w:rsidRPr="00597162">
        <w:rPr>
          <w:rFonts w:ascii="Arial" w:hAnsi="Arial" w:cs="Arial"/>
          <w:szCs w:val="24"/>
        </w:rPr>
        <w:t xml:space="preserve"> to build and sustain capacity at established community-based organizations that support wages, benefits, case management, and training for dislocated and/or bilingual workers of color and youth. </w:t>
      </w:r>
      <w:r w:rsidR="0057607E">
        <w:rPr>
          <w:rFonts w:ascii="Arial" w:hAnsi="Arial" w:cs="Arial"/>
          <w:szCs w:val="24"/>
        </w:rPr>
        <w:t>The proposed appropriation would also</w:t>
      </w:r>
      <w:r w:rsidR="00597162" w:rsidRPr="00597162">
        <w:rPr>
          <w:rFonts w:ascii="Arial" w:hAnsi="Arial" w:cs="Arial"/>
          <w:szCs w:val="24"/>
        </w:rPr>
        <w:t xml:space="preserve"> </w:t>
      </w:r>
      <w:r w:rsidR="0057607E">
        <w:rPr>
          <w:rFonts w:ascii="Arial" w:hAnsi="Arial" w:cs="Arial"/>
          <w:szCs w:val="24"/>
        </w:rPr>
        <w:t>provide assistance to employers to support</w:t>
      </w:r>
      <w:r w:rsidR="00597162" w:rsidRPr="00597162">
        <w:rPr>
          <w:rFonts w:ascii="Arial" w:hAnsi="Arial" w:cs="Arial"/>
          <w:szCs w:val="24"/>
        </w:rPr>
        <w:t xml:space="preserve"> training plans, evaluation, and various other supports.</w:t>
      </w:r>
    </w:p>
    <w:p w14:paraId="7D613BD2" w14:textId="0FF10F52" w:rsidR="00581966" w:rsidRDefault="00581966" w:rsidP="008E51AD">
      <w:pPr>
        <w:keepNext/>
        <w:spacing w:line="259" w:lineRule="auto"/>
        <w:jc w:val="both"/>
        <w:rPr>
          <w:rFonts w:ascii="Arial" w:hAnsi="Arial" w:cs="Arial"/>
          <w:szCs w:val="24"/>
        </w:rPr>
      </w:pPr>
    </w:p>
    <w:p w14:paraId="2DE581F3" w14:textId="63CEAD4F" w:rsidR="00581966" w:rsidRPr="005B637A" w:rsidRDefault="00581966" w:rsidP="008E51AD">
      <w:pPr>
        <w:keepNext/>
        <w:spacing w:line="259" w:lineRule="auto"/>
        <w:jc w:val="both"/>
        <w:rPr>
          <w:rFonts w:ascii="Arial" w:hAnsi="Arial" w:cs="Arial"/>
        </w:rPr>
      </w:pPr>
      <w:r>
        <w:rPr>
          <w:rFonts w:ascii="Arial" w:hAnsi="Arial" w:cs="Arial"/>
          <w:i/>
          <w:iCs/>
          <w:szCs w:val="24"/>
        </w:rPr>
        <w:t>PSB: Expanding Access.</w:t>
      </w:r>
      <w:r>
        <w:rPr>
          <w:rFonts w:ascii="Arial" w:hAnsi="Arial" w:cs="Arial"/>
          <w:szCs w:val="24"/>
        </w:rPr>
        <w:t xml:space="preserve">  </w:t>
      </w:r>
      <w:r w:rsidRPr="00BB75E1">
        <w:rPr>
          <w:rFonts w:ascii="Arial" w:hAnsi="Arial" w:cs="Arial"/>
          <w:szCs w:val="24"/>
        </w:rPr>
        <w:t>Th</w:t>
      </w:r>
      <w:r w:rsidR="005C3D2E">
        <w:rPr>
          <w:rFonts w:ascii="Arial" w:hAnsi="Arial" w:cs="Arial"/>
          <w:szCs w:val="24"/>
        </w:rPr>
        <w:t>e proposed appropriation would support a</w:t>
      </w:r>
      <w:r w:rsidRPr="00BB75E1">
        <w:rPr>
          <w:rFonts w:ascii="Arial" w:hAnsi="Arial" w:cs="Arial"/>
          <w:szCs w:val="24"/>
        </w:rPr>
        <w:t xml:space="preserve"> program </w:t>
      </w:r>
      <w:r w:rsidR="0096054A">
        <w:rPr>
          <w:rFonts w:ascii="Arial" w:hAnsi="Arial" w:cs="Arial"/>
          <w:szCs w:val="24"/>
        </w:rPr>
        <w:t>to</w:t>
      </w:r>
      <w:r w:rsidR="005C3D2E">
        <w:rPr>
          <w:rFonts w:ascii="Arial" w:hAnsi="Arial" w:cs="Arial"/>
          <w:szCs w:val="24"/>
        </w:rPr>
        <w:t xml:space="preserve"> </w:t>
      </w:r>
      <w:r w:rsidR="005C3D2E" w:rsidRPr="005C3D2E">
        <w:rPr>
          <w:rFonts w:ascii="Arial" w:hAnsi="Arial" w:cs="Arial"/>
          <w:szCs w:val="24"/>
        </w:rPr>
        <w:t>implement a regional economic recovery plan to build a more resilient and equitable economy for women and people of color.</w:t>
      </w:r>
      <w:r w:rsidR="005C3D2E">
        <w:rPr>
          <w:rFonts w:ascii="Arial" w:hAnsi="Arial" w:cs="Arial"/>
          <w:szCs w:val="24"/>
        </w:rPr>
        <w:t xml:space="preserve">  </w:t>
      </w:r>
      <w:r w:rsidR="0001301C">
        <w:rPr>
          <w:rFonts w:ascii="Arial" w:hAnsi="Arial" w:cs="Arial"/>
          <w:szCs w:val="24"/>
        </w:rPr>
        <w:t>Executive staff state that t</w:t>
      </w:r>
      <w:r w:rsidR="005C3D2E">
        <w:rPr>
          <w:rFonts w:ascii="Arial" w:hAnsi="Arial" w:cs="Arial"/>
          <w:szCs w:val="24"/>
        </w:rPr>
        <w:t xml:space="preserve">he </w:t>
      </w:r>
      <w:r w:rsidR="0001301C">
        <w:rPr>
          <w:rFonts w:ascii="Arial" w:hAnsi="Arial" w:cs="Arial"/>
          <w:szCs w:val="24"/>
        </w:rPr>
        <w:t xml:space="preserve">moneys would </w:t>
      </w:r>
      <w:r w:rsidRPr="00BB75E1">
        <w:rPr>
          <w:rFonts w:ascii="Arial" w:hAnsi="Arial" w:cs="Arial"/>
          <w:szCs w:val="24"/>
        </w:rPr>
        <w:t xml:space="preserve">competitively </w:t>
      </w:r>
      <w:r w:rsidR="0001301C">
        <w:rPr>
          <w:rFonts w:ascii="Arial" w:hAnsi="Arial" w:cs="Arial"/>
          <w:szCs w:val="24"/>
        </w:rPr>
        <w:t xml:space="preserve">be </w:t>
      </w:r>
      <w:r w:rsidRPr="00BB75E1">
        <w:rPr>
          <w:rFonts w:ascii="Arial" w:hAnsi="Arial" w:cs="Arial"/>
          <w:szCs w:val="24"/>
        </w:rPr>
        <w:t>award</w:t>
      </w:r>
      <w:r w:rsidR="0001301C">
        <w:rPr>
          <w:rFonts w:ascii="Arial" w:hAnsi="Arial" w:cs="Arial"/>
          <w:szCs w:val="24"/>
        </w:rPr>
        <w:t>ed</w:t>
      </w:r>
      <w:r w:rsidRPr="00BB75E1">
        <w:rPr>
          <w:rFonts w:ascii="Arial" w:hAnsi="Arial" w:cs="Arial"/>
          <w:szCs w:val="24"/>
        </w:rPr>
        <w:t xml:space="preserve"> to a public-private economic development organization(s) in </w:t>
      </w:r>
      <w:r w:rsidR="0001301C">
        <w:rPr>
          <w:rFonts w:ascii="Arial" w:hAnsi="Arial" w:cs="Arial"/>
          <w:szCs w:val="24"/>
        </w:rPr>
        <w:t>the county</w:t>
      </w:r>
      <w:r w:rsidRPr="00BB75E1">
        <w:rPr>
          <w:rFonts w:ascii="Arial" w:hAnsi="Arial" w:cs="Arial"/>
          <w:szCs w:val="24"/>
        </w:rPr>
        <w:t xml:space="preserve"> to implement a portion of the recently published multi-County (King, Pierce, Snohomish) economic recovery plan. This plan was developed over the last year by a task force of over 200 diverse public, private, and community leaders across the region. The plan outlines ten equity-focused, high-impact, measurable initiatives that </w:t>
      </w:r>
      <w:r w:rsidR="0001301C">
        <w:rPr>
          <w:rFonts w:ascii="Arial" w:hAnsi="Arial" w:cs="Arial"/>
          <w:szCs w:val="24"/>
        </w:rPr>
        <w:t>would</w:t>
      </w:r>
      <w:r w:rsidRPr="00BB75E1">
        <w:rPr>
          <w:rFonts w:ascii="Arial" w:hAnsi="Arial" w:cs="Arial"/>
          <w:szCs w:val="24"/>
        </w:rPr>
        <w:t xml:space="preserve"> create higher-quality jobs and invest in diverse talent across the three-county region. </w:t>
      </w:r>
      <w:r w:rsidR="0001301C">
        <w:rPr>
          <w:rFonts w:ascii="Arial" w:hAnsi="Arial" w:cs="Arial"/>
          <w:szCs w:val="24"/>
        </w:rPr>
        <w:t>Executive staff state that w</w:t>
      </w:r>
      <w:r w:rsidRPr="00BB75E1">
        <w:rPr>
          <w:rFonts w:ascii="Arial" w:hAnsi="Arial" w:cs="Arial"/>
          <w:szCs w:val="24"/>
        </w:rPr>
        <w:t>hile the BIPOC Business and Economic Resiliency Fund</w:t>
      </w:r>
      <w:r w:rsidR="0001301C">
        <w:rPr>
          <w:rFonts w:ascii="Arial" w:hAnsi="Arial" w:cs="Arial"/>
          <w:szCs w:val="24"/>
        </w:rPr>
        <w:t xml:space="preserve">, included in COVID 7, </w:t>
      </w:r>
      <w:r w:rsidRPr="00BB75E1">
        <w:rPr>
          <w:rFonts w:ascii="Arial" w:hAnsi="Arial" w:cs="Arial"/>
          <w:szCs w:val="24"/>
        </w:rPr>
        <w:t xml:space="preserve">will focus on providing community-led investments, this program </w:t>
      </w:r>
      <w:r w:rsidR="0001301C">
        <w:rPr>
          <w:rFonts w:ascii="Arial" w:hAnsi="Arial" w:cs="Arial"/>
          <w:szCs w:val="24"/>
        </w:rPr>
        <w:t>would</w:t>
      </w:r>
      <w:r w:rsidRPr="00BB75E1">
        <w:rPr>
          <w:rFonts w:ascii="Arial" w:hAnsi="Arial" w:cs="Arial"/>
          <w:szCs w:val="24"/>
        </w:rPr>
        <w:t xml:space="preserve"> be complementary in that it will focus on long-term ecosystem capacity building and technical assistance provision to targeted businesses.</w:t>
      </w:r>
      <w:r w:rsidR="005E35B9">
        <w:rPr>
          <w:rFonts w:ascii="Arial" w:hAnsi="Arial" w:cs="Arial"/>
          <w:szCs w:val="24"/>
        </w:rPr>
        <w:t xml:space="preserve"> Lastly, executive staff state that t</w:t>
      </w:r>
      <w:r w:rsidRPr="00BB75E1">
        <w:rPr>
          <w:rFonts w:ascii="Arial" w:hAnsi="Arial" w:cs="Arial"/>
          <w:szCs w:val="24"/>
        </w:rPr>
        <w:t xml:space="preserve">here are numerous organizations in </w:t>
      </w:r>
      <w:r w:rsidR="005E35B9">
        <w:rPr>
          <w:rFonts w:ascii="Arial" w:hAnsi="Arial" w:cs="Arial"/>
          <w:szCs w:val="24"/>
        </w:rPr>
        <w:t>the county</w:t>
      </w:r>
      <w:r w:rsidRPr="00BB75E1">
        <w:rPr>
          <w:rFonts w:ascii="Arial" w:hAnsi="Arial" w:cs="Arial"/>
          <w:szCs w:val="24"/>
        </w:rPr>
        <w:t xml:space="preserve"> qualified to do this work</w:t>
      </w:r>
      <w:r w:rsidR="005E35B9">
        <w:rPr>
          <w:rFonts w:ascii="Arial" w:hAnsi="Arial" w:cs="Arial"/>
          <w:szCs w:val="24"/>
        </w:rPr>
        <w:t>.</w:t>
      </w:r>
    </w:p>
    <w:p w14:paraId="486486C7" w14:textId="51FDCABF" w:rsidR="00593B14" w:rsidRDefault="00593B14" w:rsidP="00593B14">
      <w:pPr>
        <w:keepNext/>
        <w:spacing w:line="259" w:lineRule="auto"/>
        <w:jc w:val="both"/>
        <w:rPr>
          <w:rFonts w:ascii="Arial" w:hAnsi="Arial" w:cs="Arial"/>
          <w:szCs w:val="24"/>
        </w:rPr>
      </w:pPr>
    </w:p>
    <w:p w14:paraId="2E4207DB" w14:textId="6AC3A631" w:rsidR="005F11CA" w:rsidRDefault="008E51AD" w:rsidP="00AB21D0">
      <w:pPr>
        <w:spacing w:line="259" w:lineRule="auto"/>
        <w:jc w:val="both"/>
        <w:rPr>
          <w:rFonts w:ascii="Arial" w:hAnsi="Arial" w:cs="Arial"/>
          <w:szCs w:val="24"/>
        </w:rPr>
      </w:pPr>
      <w:r>
        <w:rPr>
          <w:rFonts w:ascii="Arial" w:hAnsi="Arial" w:cs="Arial"/>
          <w:i/>
          <w:iCs/>
          <w:szCs w:val="24"/>
        </w:rPr>
        <w:t xml:space="preserve">PSB: </w:t>
      </w:r>
      <w:r w:rsidR="005D2D27">
        <w:rPr>
          <w:rFonts w:ascii="Arial" w:hAnsi="Arial" w:cs="Arial"/>
          <w:i/>
          <w:iCs/>
          <w:szCs w:val="24"/>
        </w:rPr>
        <w:t>Equitable Recovery</w:t>
      </w:r>
      <w:r w:rsidR="00900D8D" w:rsidRPr="00900D8D">
        <w:rPr>
          <w:rFonts w:ascii="Arial" w:hAnsi="Arial" w:cs="Arial"/>
          <w:i/>
          <w:iCs/>
          <w:szCs w:val="24"/>
        </w:rPr>
        <w:t>.</w:t>
      </w:r>
      <w:r w:rsidR="00900D8D">
        <w:rPr>
          <w:rFonts w:ascii="Arial" w:hAnsi="Arial" w:cs="Arial"/>
          <w:szCs w:val="24"/>
        </w:rPr>
        <w:t xml:space="preserve">   </w:t>
      </w:r>
      <w:r w:rsidR="008F2286" w:rsidRPr="00F51140">
        <w:rPr>
          <w:rFonts w:ascii="Arial" w:hAnsi="Arial" w:cs="Arial"/>
          <w:color w:val="C0504D" w:themeColor="accent2"/>
          <w:szCs w:val="24"/>
        </w:rPr>
        <w:t>Executive staff state this proposed appropriation would</w:t>
      </w:r>
      <w:r w:rsidR="00F51140" w:rsidRPr="00F51140">
        <w:rPr>
          <w:rFonts w:ascii="Arial" w:hAnsi="Arial" w:cs="Arial"/>
          <w:color w:val="C0504D" w:themeColor="accent2"/>
          <w:szCs w:val="24"/>
        </w:rPr>
        <w:t xml:space="preserve"> </w:t>
      </w:r>
      <w:r w:rsidR="00A47D05">
        <w:rPr>
          <w:rFonts w:ascii="Arial" w:hAnsi="Arial" w:cs="Arial"/>
          <w:color w:val="C0504D" w:themeColor="accent2"/>
          <w:szCs w:val="24"/>
        </w:rPr>
        <w:t xml:space="preserve">be used for a competitively bid </w:t>
      </w:r>
      <w:r w:rsidR="00F51140" w:rsidRPr="00F51140">
        <w:rPr>
          <w:rFonts w:ascii="Arial" w:hAnsi="Arial" w:cs="Arial"/>
          <w:color w:val="C0504D" w:themeColor="accent2"/>
          <w:szCs w:val="24"/>
        </w:rPr>
        <w:t>contract with an alliance composed of BIPOC-led community organizations to establish an "equitable recovery" program, which establishes a community infrastructure for elected leaders and institutional partners to engage with BIPOC communities in public planning and policy formation to advance economic equity.</w:t>
      </w:r>
      <w:r w:rsidR="00AB21D0" w:rsidRPr="00AB21D0">
        <w:rPr>
          <w:rFonts w:ascii="Arial" w:hAnsi="Arial" w:cs="Arial"/>
          <w:szCs w:val="24"/>
        </w:rPr>
        <w:t xml:space="preserve"> Th</w:t>
      </w:r>
      <w:r w:rsidR="00B42400">
        <w:rPr>
          <w:rFonts w:ascii="Arial" w:hAnsi="Arial" w:cs="Arial"/>
          <w:szCs w:val="24"/>
        </w:rPr>
        <w:t xml:space="preserve">e proposed appropriation </w:t>
      </w:r>
      <w:r w:rsidR="00AB21D0" w:rsidRPr="00AB21D0">
        <w:rPr>
          <w:rFonts w:ascii="Arial" w:hAnsi="Arial" w:cs="Arial"/>
          <w:szCs w:val="24"/>
        </w:rPr>
        <w:t>would support BIPOC, immigrant, and refugee-led research, workforce development policy and program development strategies and investments, advocacy (engagement, data, and systems recommendation), and implementation for BIPOC</w:t>
      </w:r>
      <w:r w:rsidR="00B00DF2">
        <w:rPr>
          <w:rFonts w:ascii="Arial" w:hAnsi="Arial" w:cs="Arial"/>
          <w:szCs w:val="24"/>
        </w:rPr>
        <w:t xml:space="preserve"> and </w:t>
      </w:r>
      <w:r w:rsidR="00AB21D0" w:rsidRPr="00AB21D0">
        <w:rPr>
          <w:rFonts w:ascii="Arial" w:hAnsi="Arial" w:cs="Arial"/>
          <w:szCs w:val="24"/>
        </w:rPr>
        <w:t xml:space="preserve">immigrant and refugee community organizations. </w:t>
      </w:r>
      <w:r w:rsidR="00B00DF2">
        <w:rPr>
          <w:rFonts w:ascii="Arial" w:hAnsi="Arial" w:cs="Arial"/>
          <w:szCs w:val="24"/>
        </w:rPr>
        <w:t xml:space="preserve">Lastly, the proposed appropriation </w:t>
      </w:r>
      <w:r w:rsidR="00AB21D0" w:rsidRPr="00AB21D0">
        <w:rPr>
          <w:rFonts w:ascii="Arial" w:hAnsi="Arial" w:cs="Arial"/>
          <w:szCs w:val="24"/>
        </w:rPr>
        <w:t>would also include the development of administrative and data systems, research and policy innovation, capacity building and technical assistance strategies.</w:t>
      </w:r>
    </w:p>
    <w:p w14:paraId="0B5CE123" w14:textId="77777777" w:rsidR="005F11CA" w:rsidRPr="00E31948" w:rsidRDefault="005F11CA" w:rsidP="00AB21D0">
      <w:pPr>
        <w:spacing w:line="259" w:lineRule="auto"/>
        <w:jc w:val="both"/>
        <w:rPr>
          <w:rFonts w:ascii="Arial" w:hAnsi="Arial" w:cs="Arial"/>
          <w:color w:val="C0504D" w:themeColor="accent2"/>
          <w:szCs w:val="24"/>
        </w:rPr>
      </w:pPr>
    </w:p>
    <w:p w14:paraId="2A010E38" w14:textId="56B76FAD" w:rsidR="00AB21D0" w:rsidRPr="00E94701" w:rsidRDefault="00503134" w:rsidP="00AB21D0">
      <w:pPr>
        <w:spacing w:line="259" w:lineRule="auto"/>
        <w:jc w:val="both"/>
        <w:rPr>
          <w:rFonts w:ascii="Arial" w:hAnsi="Arial" w:cs="Arial"/>
          <w:color w:val="C0504D" w:themeColor="accent2"/>
          <w:szCs w:val="24"/>
        </w:rPr>
      </w:pPr>
      <w:r w:rsidRPr="00E31948">
        <w:rPr>
          <w:rFonts w:ascii="Arial" w:hAnsi="Arial" w:cs="Arial"/>
          <w:color w:val="C0504D" w:themeColor="accent2"/>
          <w:szCs w:val="24"/>
        </w:rPr>
        <w:t xml:space="preserve">Currently, executive staff state </w:t>
      </w:r>
      <w:r w:rsidR="00E26D6E" w:rsidRPr="00E31948">
        <w:rPr>
          <w:rFonts w:ascii="Arial" w:hAnsi="Arial" w:cs="Arial"/>
          <w:color w:val="C0504D" w:themeColor="accent2"/>
          <w:szCs w:val="24"/>
        </w:rPr>
        <w:t xml:space="preserve">that an existing </w:t>
      </w:r>
      <w:r w:rsidR="00F86E13">
        <w:rPr>
          <w:rFonts w:ascii="Arial" w:hAnsi="Arial" w:cs="Arial"/>
          <w:color w:val="C0504D" w:themeColor="accent2"/>
          <w:szCs w:val="24"/>
        </w:rPr>
        <w:t>alliance</w:t>
      </w:r>
      <w:r w:rsidR="00E26D6E" w:rsidRPr="00E31948">
        <w:rPr>
          <w:rFonts w:ascii="Arial" w:hAnsi="Arial" w:cs="Arial"/>
          <w:color w:val="C0504D" w:themeColor="accent2"/>
          <w:szCs w:val="24"/>
        </w:rPr>
        <w:t xml:space="preserve"> </w:t>
      </w:r>
      <w:r w:rsidR="00353D25" w:rsidRPr="00E31948">
        <w:rPr>
          <w:rFonts w:ascii="Arial" w:hAnsi="Arial" w:cs="Arial"/>
          <w:color w:val="C0504D" w:themeColor="accent2"/>
          <w:szCs w:val="24"/>
        </w:rPr>
        <w:t>of BIPOC</w:t>
      </w:r>
      <w:r w:rsidR="00D86549" w:rsidRPr="00E31948">
        <w:rPr>
          <w:rFonts w:ascii="Arial" w:hAnsi="Arial" w:cs="Arial"/>
          <w:color w:val="C0504D" w:themeColor="accent2"/>
          <w:szCs w:val="24"/>
        </w:rPr>
        <w:t>-led</w:t>
      </w:r>
      <w:r w:rsidR="00353D25" w:rsidRPr="00E31948">
        <w:rPr>
          <w:rFonts w:ascii="Arial" w:hAnsi="Arial" w:cs="Arial"/>
          <w:color w:val="C0504D" w:themeColor="accent2"/>
          <w:szCs w:val="24"/>
        </w:rPr>
        <w:t xml:space="preserve"> community organizations have </w:t>
      </w:r>
      <w:r w:rsidR="008E3131" w:rsidRPr="00E31948">
        <w:rPr>
          <w:rFonts w:ascii="Arial" w:hAnsi="Arial" w:cs="Arial"/>
          <w:color w:val="C0504D" w:themeColor="accent2"/>
          <w:szCs w:val="24"/>
        </w:rPr>
        <w:t>formed to begin this work.</w:t>
      </w:r>
      <w:r w:rsidR="00F03078" w:rsidRPr="00E31948">
        <w:rPr>
          <w:rFonts w:ascii="Arial" w:hAnsi="Arial" w:cs="Arial"/>
          <w:color w:val="C0504D" w:themeColor="accent2"/>
          <w:szCs w:val="24"/>
        </w:rPr>
        <w:t xml:space="preserve"> The </w:t>
      </w:r>
      <w:r w:rsidR="00F86E13">
        <w:rPr>
          <w:rFonts w:ascii="Arial" w:hAnsi="Arial" w:cs="Arial"/>
          <w:color w:val="C0504D" w:themeColor="accent2"/>
          <w:szCs w:val="24"/>
        </w:rPr>
        <w:t>alliance</w:t>
      </w:r>
      <w:r w:rsidR="00F03078" w:rsidRPr="00E31948">
        <w:rPr>
          <w:rFonts w:ascii="Arial" w:hAnsi="Arial" w:cs="Arial"/>
          <w:color w:val="C0504D" w:themeColor="accent2"/>
          <w:szCs w:val="24"/>
        </w:rPr>
        <w:t xml:space="preserve"> was organized during the summer of 2020 in response to the COVID-19 pandemic and the murders of Breonna </w:t>
      </w:r>
      <w:r w:rsidR="00F03078" w:rsidRPr="00E31948">
        <w:rPr>
          <w:rFonts w:ascii="Arial" w:hAnsi="Arial" w:cs="Arial"/>
          <w:color w:val="C0504D" w:themeColor="accent2"/>
          <w:szCs w:val="24"/>
        </w:rPr>
        <w:lastRenderedPageBreak/>
        <w:t>Taylor and George Floyd. United Way, Chief Seattle Club, Downtown Seattle Association, Black Future Co-op Fund, Civic Commons, the Workforce Development Council of Seattle-King County, Seattle Metropolitan Chamber of Commerce, and Shiels Obletz Johnsen, Inc. have provided seed funding</w:t>
      </w:r>
      <w:r w:rsidR="00000421" w:rsidRPr="00E31948">
        <w:rPr>
          <w:rFonts w:ascii="Arial" w:hAnsi="Arial" w:cs="Arial"/>
          <w:color w:val="C0504D" w:themeColor="accent2"/>
          <w:szCs w:val="24"/>
        </w:rPr>
        <w:t xml:space="preserve"> thus far to support the </w:t>
      </w:r>
      <w:r w:rsidR="004D22E4" w:rsidRPr="00E31948">
        <w:rPr>
          <w:rFonts w:ascii="Arial" w:hAnsi="Arial" w:cs="Arial"/>
          <w:color w:val="C0504D" w:themeColor="accent2"/>
          <w:szCs w:val="24"/>
        </w:rPr>
        <w:t>coalition’s</w:t>
      </w:r>
      <w:r w:rsidR="00000421" w:rsidRPr="00E31948">
        <w:rPr>
          <w:rFonts w:ascii="Arial" w:hAnsi="Arial" w:cs="Arial"/>
          <w:color w:val="C0504D" w:themeColor="accent2"/>
          <w:szCs w:val="24"/>
        </w:rPr>
        <w:t xml:space="preserve"> efforts</w:t>
      </w:r>
      <w:r w:rsidR="00F03078" w:rsidRPr="00E31948">
        <w:rPr>
          <w:rFonts w:ascii="Arial" w:hAnsi="Arial" w:cs="Arial"/>
          <w:color w:val="C0504D" w:themeColor="accent2"/>
          <w:szCs w:val="24"/>
        </w:rPr>
        <w:t xml:space="preserve">. </w:t>
      </w:r>
      <w:r w:rsidR="00E94701">
        <w:rPr>
          <w:rFonts w:ascii="Arial" w:hAnsi="Arial" w:cs="Arial"/>
          <w:color w:val="C0504D" w:themeColor="accent2"/>
          <w:szCs w:val="24"/>
        </w:rPr>
        <w:t xml:space="preserve"> </w:t>
      </w:r>
      <w:r w:rsidR="007D7BED">
        <w:rPr>
          <w:rFonts w:ascii="Arial" w:hAnsi="Arial" w:cs="Arial"/>
          <w:szCs w:val="24"/>
        </w:rPr>
        <w:t>Executive staff state the below</w:t>
      </w:r>
      <w:r w:rsidR="00AB21D0" w:rsidRPr="00AB21D0">
        <w:rPr>
          <w:rFonts w:ascii="Arial" w:hAnsi="Arial" w:cs="Arial"/>
          <w:szCs w:val="24"/>
        </w:rPr>
        <w:t xml:space="preserve"> organizations </w:t>
      </w:r>
      <w:r w:rsidR="007D7BED">
        <w:rPr>
          <w:rFonts w:ascii="Arial" w:hAnsi="Arial" w:cs="Arial"/>
          <w:szCs w:val="24"/>
        </w:rPr>
        <w:t xml:space="preserve">are </w:t>
      </w:r>
      <w:r w:rsidR="00AB21D0" w:rsidRPr="00AB21D0">
        <w:rPr>
          <w:rFonts w:ascii="Arial" w:hAnsi="Arial" w:cs="Arial"/>
          <w:szCs w:val="24"/>
        </w:rPr>
        <w:t>currently invo</w:t>
      </w:r>
      <w:r w:rsidR="004D22E4">
        <w:rPr>
          <w:rFonts w:ascii="Arial" w:hAnsi="Arial" w:cs="Arial"/>
          <w:szCs w:val="24"/>
        </w:rPr>
        <w:t xml:space="preserve">lved with </w:t>
      </w:r>
      <w:r w:rsidR="00E94701">
        <w:rPr>
          <w:rFonts w:ascii="Arial" w:hAnsi="Arial" w:cs="Arial"/>
          <w:szCs w:val="24"/>
        </w:rPr>
        <w:t>this</w:t>
      </w:r>
      <w:r w:rsidR="004D22E4">
        <w:rPr>
          <w:rFonts w:ascii="Arial" w:hAnsi="Arial" w:cs="Arial"/>
          <w:szCs w:val="24"/>
        </w:rPr>
        <w:t xml:space="preserve"> </w:t>
      </w:r>
      <w:r w:rsidR="00F86E13" w:rsidRPr="00F86E13">
        <w:rPr>
          <w:rFonts w:ascii="Arial" w:hAnsi="Arial" w:cs="Arial"/>
          <w:color w:val="C0504D" w:themeColor="accent2"/>
          <w:szCs w:val="24"/>
        </w:rPr>
        <w:t>alliance</w:t>
      </w:r>
      <w:r w:rsidR="00D86549">
        <w:rPr>
          <w:rFonts w:ascii="Arial" w:hAnsi="Arial" w:cs="Arial"/>
          <w:szCs w:val="24"/>
        </w:rPr>
        <w:t xml:space="preserve">, </w:t>
      </w:r>
      <w:r w:rsidR="00D86549" w:rsidRPr="00E31948">
        <w:rPr>
          <w:rFonts w:ascii="Arial" w:hAnsi="Arial" w:cs="Arial"/>
          <w:color w:val="C0504D" w:themeColor="accent2"/>
          <w:szCs w:val="24"/>
        </w:rPr>
        <w:t xml:space="preserve">however, any BIPOC-led organization </w:t>
      </w:r>
      <w:r w:rsidR="002E2E0C" w:rsidRPr="00E31948">
        <w:rPr>
          <w:rFonts w:ascii="Arial" w:hAnsi="Arial" w:cs="Arial"/>
          <w:color w:val="C0504D" w:themeColor="accent2"/>
          <w:szCs w:val="24"/>
        </w:rPr>
        <w:t xml:space="preserve">with an aligned mission may </w:t>
      </w:r>
      <w:r w:rsidR="00F86E13">
        <w:rPr>
          <w:rFonts w:ascii="Arial" w:hAnsi="Arial" w:cs="Arial"/>
          <w:color w:val="C0504D" w:themeColor="accent2"/>
          <w:szCs w:val="24"/>
        </w:rPr>
        <w:t>engage</w:t>
      </w:r>
      <w:r w:rsidR="002E2E0C" w:rsidRPr="00E31948">
        <w:rPr>
          <w:rFonts w:ascii="Arial" w:hAnsi="Arial" w:cs="Arial"/>
          <w:color w:val="C0504D" w:themeColor="accent2"/>
          <w:szCs w:val="24"/>
        </w:rPr>
        <w:t xml:space="preserve"> the </w:t>
      </w:r>
      <w:r w:rsidR="00F86E13">
        <w:rPr>
          <w:rFonts w:ascii="Arial" w:hAnsi="Arial" w:cs="Arial"/>
          <w:color w:val="C0504D" w:themeColor="accent2"/>
          <w:szCs w:val="24"/>
        </w:rPr>
        <w:t>alliance</w:t>
      </w:r>
      <w:r w:rsidR="00214864">
        <w:rPr>
          <w:rFonts w:ascii="Arial" w:hAnsi="Arial" w:cs="Arial"/>
          <w:szCs w:val="24"/>
        </w:rPr>
        <w:t>:</w:t>
      </w:r>
    </w:p>
    <w:p w14:paraId="058B33BE" w14:textId="7D780858" w:rsidR="00AB21D0" w:rsidRPr="00214864" w:rsidRDefault="00AB21D0" w:rsidP="009755DB">
      <w:pPr>
        <w:pStyle w:val="ListParagraph0"/>
        <w:numPr>
          <w:ilvl w:val="0"/>
          <w:numId w:val="40"/>
        </w:numPr>
        <w:spacing w:line="259" w:lineRule="auto"/>
        <w:ind w:left="720" w:hanging="360"/>
        <w:jc w:val="both"/>
        <w:rPr>
          <w:rFonts w:ascii="Arial" w:hAnsi="Arial" w:cs="Arial"/>
        </w:rPr>
      </w:pPr>
      <w:r w:rsidRPr="00214864">
        <w:rPr>
          <w:rFonts w:ascii="Arial" w:hAnsi="Arial" w:cs="Arial"/>
        </w:rPr>
        <w:t>Chief Seattle Club</w:t>
      </w:r>
    </w:p>
    <w:p w14:paraId="484CB8BE" w14:textId="52AE2E6D" w:rsidR="00AB21D0" w:rsidRPr="00214864" w:rsidRDefault="00AB21D0" w:rsidP="009755DB">
      <w:pPr>
        <w:pStyle w:val="ListParagraph0"/>
        <w:numPr>
          <w:ilvl w:val="0"/>
          <w:numId w:val="40"/>
        </w:numPr>
        <w:spacing w:line="259" w:lineRule="auto"/>
        <w:ind w:left="720" w:hanging="360"/>
        <w:jc w:val="both"/>
        <w:rPr>
          <w:rFonts w:ascii="Arial" w:hAnsi="Arial" w:cs="Arial"/>
        </w:rPr>
      </w:pPr>
      <w:r w:rsidRPr="00214864">
        <w:rPr>
          <w:rFonts w:ascii="Arial" w:hAnsi="Arial" w:cs="Arial"/>
        </w:rPr>
        <w:t>Byrd Barr Place</w:t>
      </w:r>
    </w:p>
    <w:p w14:paraId="42583E1F" w14:textId="7DF10308" w:rsidR="00AB21D0" w:rsidRPr="00214864" w:rsidRDefault="00AB21D0" w:rsidP="009755DB">
      <w:pPr>
        <w:pStyle w:val="ListParagraph0"/>
        <w:numPr>
          <w:ilvl w:val="0"/>
          <w:numId w:val="40"/>
        </w:numPr>
        <w:spacing w:line="259" w:lineRule="auto"/>
        <w:ind w:left="720" w:hanging="360"/>
        <w:jc w:val="both"/>
        <w:rPr>
          <w:rFonts w:ascii="Arial" w:hAnsi="Arial" w:cs="Arial"/>
        </w:rPr>
      </w:pPr>
      <w:r w:rsidRPr="00214864">
        <w:rPr>
          <w:rFonts w:ascii="Arial" w:hAnsi="Arial" w:cs="Arial"/>
        </w:rPr>
        <w:t>Equitable Development LLC</w:t>
      </w:r>
    </w:p>
    <w:p w14:paraId="4E53F0B8" w14:textId="6FD3120F" w:rsidR="00AB21D0" w:rsidRPr="00214864" w:rsidRDefault="00AB21D0" w:rsidP="009755DB">
      <w:pPr>
        <w:pStyle w:val="ListParagraph0"/>
        <w:numPr>
          <w:ilvl w:val="0"/>
          <w:numId w:val="40"/>
        </w:numPr>
        <w:spacing w:line="259" w:lineRule="auto"/>
        <w:ind w:left="720" w:hanging="360"/>
        <w:jc w:val="both"/>
        <w:rPr>
          <w:rFonts w:ascii="Arial" w:hAnsi="Arial" w:cs="Arial"/>
        </w:rPr>
      </w:pPr>
      <w:r w:rsidRPr="00214864">
        <w:rPr>
          <w:rFonts w:ascii="Arial" w:hAnsi="Arial" w:cs="Arial"/>
        </w:rPr>
        <w:t>Workforce Development Council of Seattle-King County</w:t>
      </w:r>
    </w:p>
    <w:p w14:paraId="0546AB4C" w14:textId="6C3F08F5" w:rsidR="00AB21D0" w:rsidRPr="00214864" w:rsidRDefault="00AB21D0" w:rsidP="009755DB">
      <w:pPr>
        <w:pStyle w:val="ListParagraph0"/>
        <w:numPr>
          <w:ilvl w:val="0"/>
          <w:numId w:val="40"/>
        </w:numPr>
        <w:spacing w:line="259" w:lineRule="auto"/>
        <w:ind w:left="720" w:hanging="360"/>
        <w:jc w:val="both"/>
        <w:rPr>
          <w:rFonts w:ascii="Arial" w:hAnsi="Arial" w:cs="Arial"/>
        </w:rPr>
      </w:pPr>
      <w:r w:rsidRPr="00214864">
        <w:rPr>
          <w:rFonts w:ascii="Arial" w:hAnsi="Arial" w:cs="Arial"/>
        </w:rPr>
        <w:t>United Way of King County</w:t>
      </w:r>
    </w:p>
    <w:p w14:paraId="03263E08" w14:textId="157976C7" w:rsidR="00AB21D0" w:rsidRPr="00214864" w:rsidRDefault="00AB21D0" w:rsidP="009755DB">
      <w:pPr>
        <w:pStyle w:val="ListParagraph0"/>
        <w:numPr>
          <w:ilvl w:val="0"/>
          <w:numId w:val="40"/>
        </w:numPr>
        <w:spacing w:line="259" w:lineRule="auto"/>
        <w:ind w:left="720" w:hanging="360"/>
        <w:jc w:val="both"/>
        <w:rPr>
          <w:rFonts w:ascii="Arial" w:hAnsi="Arial" w:cs="Arial"/>
        </w:rPr>
      </w:pPr>
      <w:r w:rsidRPr="00214864">
        <w:rPr>
          <w:rFonts w:ascii="Arial" w:hAnsi="Arial" w:cs="Arial"/>
        </w:rPr>
        <w:t>Asian Counseling &amp; Referral Services</w:t>
      </w:r>
    </w:p>
    <w:p w14:paraId="6D266DF4" w14:textId="72128B8F" w:rsidR="00AB21D0" w:rsidRPr="00214864" w:rsidRDefault="00AB21D0" w:rsidP="009755DB">
      <w:pPr>
        <w:pStyle w:val="ListParagraph0"/>
        <w:numPr>
          <w:ilvl w:val="0"/>
          <w:numId w:val="40"/>
        </w:numPr>
        <w:spacing w:line="259" w:lineRule="auto"/>
        <w:ind w:left="720" w:hanging="360"/>
        <w:jc w:val="both"/>
        <w:rPr>
          <w:rFonts w:ascii="Arial" w:hAnsi="Arial" w:cs="Arial"/>
        </w:rPr>
      </w:pPr>
      <w:r w:rsidRPr="00214864">
        <w:rPr>
          <w:rFonts w:ascii="Arial" w:hAnsi="Arial" w:cs="Arial"/>
        </w:rPr>
        <w:t>Urban League of Metropolitan Seattle</w:t>
      </w:r>
    </w:p>
    <w:p w14:paraId="76551A8F" w14:textId="3428A8B0" w:rsidR="00AB21D0" w:rsidRPr="00214864" w:rsidRDefault="00AB21D0" w:rsidP="009755DB">
      <w:pPr>
        <w:pStyle w:val="ListParagraph0"/>
        <w:numPr>
          <w:ilvl w:val="0"/>
          <w:numId w:val="40"/>
        </w:numPr>
        <w:spacing w:line="259" w:lineRule="auto"/>
        <w:ind w:left="720" w:hanging="360"/>
        <w:jc w:val="both"/>
        <w:rPr>
          <w:rFonts w:ascii="Arial" w:hAnsi="Arial" w:cs="Arial"/>
        </w:rPr>
      </w:pPr>
      <w:r w:rsidRPr="00214864">
        <w:rPr>
          <w:rFonts w:ascii="Arial" w:hAnsi="Arial" w:cs="Arial"/>
        </w:rPr>
        <w:t>Technology Access Foundation</w:t>
      </w:r>
    </w:p>
    <w:p w14:paraId="39E8C687" w14:textId="390EB5A2" w:rsidR="00AB21D0" w:rsidRPr="00214864" w:rsidRDefault="00AB21D0" w:rsidP="009755DB">
      <w:pPr>
        <w:pStyle w:val="ListParagraph0"/>
        <w:numPr>
          <w:ilvl w:val="0"/>
          <w:numId w:val="40"/>
        </w:numPr>
        <w:spacing w:line="259" w:lineRule="auto"/>
        <w:ind w:left="720" w:hanging="360"/>
        <w:jc w:val="both"/>
        <w:rPr>
          <w:rFonts w:ascii="Arial" w:hAnsi="Arial" w:cs="Arial"/>
        </w:rPr>
      </w:pPr>
      <w:r w:rsidRPr="00214864">
        <w:rPr>
          <w:rFonts w:ascii="Arial" w:hAnsi="Arial" w:cs="Arial"/>
        </w:rPr>
        <w:t>One America</w:t>
      </w:r>
    </w:p>
    <w:p w14:paraId="3214F625" w14:textId="242C3F1C" w:rsidR="00AB21D0" w:rsidRPr="00214864" w:rsidRDefault="00AB21D0" w:rsidP="009755DB">
      <w:pPr>
        <w:pStyle w:val="ListParagraph0"/>
        <w:numPr>
          <w:ilvl w:val="0"/>
          <w:numId w:val="40"/>
        </w:numPr>
        <w:spacing w:line="259" w:lineRule="auto"/>
        <w:ind w:left="720" w:hanging="360"/>
        <w:jc w:val="both"/>
        <w:rPr>
          <w:rFonts w:ascii="Arial" w:hAnsi="Arial" w:cs="Arial"/>
        </w:rPr>
      </w:pPr>
      <w:r w:rsidRPr="00214864">
        <w:rPr>
          <w:rFonts w:ascii="Arial" w:hAnsi="Arial" w:cs="Arial"/>
        </w:rPr>
        <w:t>White Center CDA</w:t>
      </w:r>
    </w:p>
    <w:p w14:paraId="6933BFC2" w14:textId="64A940FA" w:rsidR="00AB21D0" w:rsidRPr="00214864" w:rsidRDefault="00AB21D0" w:rsidP="009755DB">
      <w:pPr>
        <w:pStyle w:val="ListParagraph0"/>
        <w:numPr>
          <w:ilvl w:val="0"/>
          <w:numId w:val="40"/>
        </w:numPr>
        <w:spacing w:line="259" w:lineRule="auto"/>
        <w:ind w:left="720" w:hanging="360"/>
        <w:jc w:val="both"/>
        <w:rPr>
          <w:rFonts w:ascii="Arial" w:hAnsi="Arial" w:cs="Arial"/>
        </w:rPr>
      </w:pPr>
      <w:r w:rsidRPr="00214864">
        <w:rPr>
          <w:rFonts w:ascii="Arial" w:hAnsi="Arial" w:cs="Arial"/>
        </w:rPr>
        <w:t>El Centro de la Raza</w:t>
      </w:r>
    </w:p>
    <w:p w14:paraId="015058E9" w14:textId="7C06FCC2" w:rsidR="00AB21D0" w:rsidRPr="00214864" w:rsidRDefault="00AB21D0" w:rsidP="009755DB">
      <w:pPr>
        <w:pStyle w:val="ListParagraph0"/>
        <w:numPr>
          <w:ilvl w:val="0"/>
          <w:numId w:val="40"/>
        </w:numPr>
        <w:spacing w:line="259" w:lineRule="auto"/>
        <w:ind w:left="720" w:hanging="360"/>
        <w:jc w:val="both"/>
        <w:rPr>
          <w:rFonts w:ascii="Arial" w:hAnsi="Arial" w:cs="Arial"/>
        </w:rPr>
      </w:pPr>
      <w:r w:rsidRPr="00214864">
        <w:rPr>
          <w:rFonts w:ascii="Arial" w:hAnsi="Arial" w:cs="Arial"/>
        </w:rPr>
        <w:t>La Roxay Productions</w:t>
      </w:r>
    </w:p>
    <w:p w14:paraId="1055911C" w14:textId="448880E8" w:rsidR="00CF1AED" w:rsidRPr="00214864" w:rsidRDefault="00AB21D0" w:rsidP="009755DB">
      <w:pPr>
        <w:pStyle w:val="ListParagraph0"/>
        <w:numPr>
          <w:ilvl w:val="0"/>
          <w:numId w:val="40"/>
        </w:numPr>
        <w:spacing w:line="259" w:lineRule="auto"/>
        <w:ind w:left="720" w:hanging="360"/>
        <w:jc w:val="both"/>
        <w:rPr>
          <w:rFonts w:ascii="Arial" w:hAnsi="Arial" w:cs="Arial"/>
        </w:rPr>
      </w:pPr>
      <w:r w:rsidRPr="00214864">
        <w:rPr>
          <w:rFonts w:ascii="Arial" w:hAnsi="Arial" w:cs="Arial"/>
        </w:rPr>
        <w:t>Open Doors for Multicultural Families</w:t>
      </w:r>
    </w:p>
    <w:p w14:paraId="0003E657" w14:textId="0F4A3DD9" w:rsidR="000730B3" w:rsidRPr="000A5CAE" w:rsidRDefault="000730B3" w:rsidP="000730B3">
      <w:pPr>
        <w:spacing w:line="259" w:lineRule="auto"/>
        <w:jc w:val="both"/>
        <w:rPr>
          <w:rFonts w:ascii="Arial" w:hAnsi="Arial" w:cs="Arial"/>
          <w:color w:val="C0504D" w:themeColor="accent2"/>
          <w:szCs w:val="24"/>
        </w:rPr>
      </w:pPr>
    </w:p>
    <w:p w14:paraId="2E33711E" w14:textId="5D6D8848" w:rsidR="000A5CAE" w:rsidRPr="000A5CAE" w:rsidRDefault="00F86E13" w:rsidP="000730B3">
      <w:pPr>
        <w:spacing w:line="259" w:lineRule="auto"/>
        <w:jc w:val="both"/>
        <w:rPr>
          <w:rFonts w:ascii="Arial" w:hAnsi="Arial" w:cs="Arial"/>
          <w:color w:val="C0504D" w:themeColor="accent2"/>
          <w:szCs w:val="24"/>
        </w:rPr>
      </w:pPr>
      <w:r>
        <w:rPr>
          <w:rFonts w:ascii="Arial" w:hAnsi="Arial" w:cs="Arial"/>
          <w:color w:val="C0504D" w:themeColor="accent2"/>
          <w:szCs w:val="24"/>
        </w:rPr>
        <w:t xml:space="preserve">Since this appropriation is funded by ARPA CLFRF, it would need to undergo procurement procedures including competitive bidding. </w:t>
      </w:r>
      <w:r w:rsidR="00E94701">
        <w:rPr>
          <w:rFonts w:ascii="Arial" w:hAnsi="Arial" w:cs="Arial"/>
          <w:color w:val="C0504D" w:themeColor="accent2"/>
          <w:szCs w:val="24"/>
        </w:rPr>
        <w:t xml:space="preserve">Executive staff </w:t>
      </w:r>
      <w:r>
        <w:rPr>
          <w:rFonts w:ascii="Arial" w:hAnsi="Arial" w:cs="Arial"/>
          <w:color w:val="C0504D" w:themeColor="accent2"/>
          <w:szCs w:val="24"/>
        </w:rPr>
        <w:t xml:space="preserve">state </w:t>
      </w:r>
      <w:r w:rsidR="00E94701">
        <w:rPr>
          <w:rFonts w:ascii="Arial" w:hAnsi="Arial" w:cs="Arial"/>
          <w:color w:val="C0504D" w:themeColor="accent2"/>
          <w:szCs w:val="24"/>
        </w:rPr>
        <w:t xml:space="preserve">that the above alliance would bid for the contract </w:t>
      </w:r>
      <w:r w:rsidR="003C6B48">
        <w:rPr>
          <w:rFonts w:ascii="Arial" w:hAnsi="Arial" w:cs="Arial"/>
          <w:color w:val="C0504D" w:themeColor="accent2"/>
          <w:szCs w:val="24"/>
        </w:rPr>
        <w:t>along with any other alliance</w:t>
      </w:r>
      <w:r w:rsidR="0009351C">
        <w:rPr>
          <w:rFonts w:ascii="Arial" w:hAnsi="Arial" w:cs="Arial"/>
          <w:color w:val="C0504D" w:themeColor="accent2"/>
          <w:szCs w:val="24"/>
        </w:rPr>
        <w:t>s that are</w:t>
      </w:r>
      <w:r w:rsidR="003C6B48">
        <w:rPr>
          <w:rFonts w:ascii="Arial" w:hAnsi="Arial" w:cs="Arial"/>
          <w:color w:val="C0504D" w:themeColor="accent2"/>
          <w:szCs w:val="24"/>
        </w:rPr>
        <w:t xml:space="preserve"> composed of </w:t>
      </w:r>
      <w:r>
        <w:rPr>
          <w:rFonts w:ascii="Arial" w:hAnsi="Arial" w:cs="Arial"/>
          <w:color w:val="C0504D" w:themeColor="accent2"/>
          <w:szCs w:val="24"/>
        </w:rPr>
        <w:t>BIPOC-led community organizations.</w:t>
      </w:r>
    </w:p>
    <w:p w14:paraId="11D58484" w14:textId="77777777" w:rsidR="000A5CAE" w:rsidRPr="000730B3" w:rsidRDefault="000A5CAE" w:rsidP="000730B3">
      <w:pPr>
        <w:spacing w:line="259" w:lineRule="auto"/>
        <w:jc w:val="both"/>
        <w:rPr>
          <w:rFonts w:ascii="Arial" w:hAnsi="Arial" w:cs="Arial"/>
          <w:szCs w:val="24"/>
        </w:rPr>
      </w:pPr>
    </w:p>
    <w:p w14:paraId="6EF0CC1F" w14:textId="0AD81DCB" w:rsidR="0022167E" w:rsidRPr="0022167E" w:rsidRDefault="005D2D27" w:rsidP="0022167E">
      <w:pPr>
        <w:spacing w:line="259" w:lineRule="auto"/>
        <w:jc w:val="both"/>
        <w:rPr>
          <w:rFonts w:ascii="Arial" w:hAnsi="Arial" w:cs="Arial"/>
          <w:szCs w:val="24"/>
        </w:rPr>
      </w:pPr>
      <w:r>
        <w:rPr>
          <w:rFonts w:ascii="Arial" w:hAnsi="Arial" w:cs="Arial"/>
          <w:i/>
          <w:iCs/>
          <w:szCs w:val="24"/>
        </w:rPr>
        <w:t>PSB</w:t>
      </w:r>
      <w:r w:rsidR="003F717A">
        <w:rPr>
          <w:rFonts w:ascii="Arial" w:hAnsi="Arial" w:cs="Arial"/>
          <w:i/>
          <w:iCs/>
          <w:szCs w:val="24"/>
        </w:rPr>
        <w:t>: Virtual Hiring Hall</w:t>
      </w:r>
      <w:r w:rsidR="007F443A" w:rsidRPr="007F443A">
        <w:rPr>
          <w:rFonts w:ascii="Arial" w:hAnsi="Arial" w:cs="Arial"/>
          <w:i/>
          <w:iCs/>
          <w:szCs w:val="24"/>
        </w:rPr>
        <w:t>.</w:t>
      </w:r>
      <w:r w:rsidR="007F443A">
        <w:rPr>
          <w:rFonts w:ascii="Arial" w:hAnsi="Arial" w:cs="Arial"/>
          <w:szCs w:val="24"/>
        </w:rPr>
        <w:t xml:space="preserve">  </w:t>
      </w:r>
      <w:r w:rsidR="00B566F2">
        <w:rPr>
          <w:rFonts w:ascii="Arial" w:hAnsi="Arial" w:cs="Arial"/>
          <w:szCs w:val="24"/>
        </w:rPr>
        <w:t xml:space="preserve">Executive staff state that the Virtual Hiring Hall </w:t>
      </w:r>
      <w:r w:rsidR="0022167E" w:rsidRPr="0022167E">
        <w:rPr>
          <w:rFonts w:ascii="Arial" w:hAnsi="Arial" w:cs="Arial"/>
          <w:szCs w:val="24"/>
        </w:rPr>
        <w:t xml:space="preserve">is designed to offer a clear pathway to </w:t>
      </w:r>
      <w:r w:rsidR="005A79F3">
        <w:rPr>
          <w:rFonts w:ascii="Arial" w:hAnsi="Arial" w:cs="Arial"/>
          <w:szCs w:val="24"/>
        </w:rPr>
        <w:t>“</w:t>
      </w:r>
      <w:r w:rsidR="0022167E" w:rsidRPr="0022167E">
        <w:rPr>
          <w:rFonts w:ascii="Arial" w:hAnsi="Arial" w:cs="Arial"/>
          <w:szCs w:val="24"/>
        </w:rPr>
        <w:t>high-road</w:t>
      </w:r>
      <w:r w:rsidR="005A79F3">
        <w:rPr>
          <w:rFonts w:ascii="Arial" w:hAnsi="Arial" w:cs="Arial"/>
          <w:szCs w:val="24"/>
        </w:rPr>
        <w:t>”</w:t>
      </w:r>
      <w:r w:rsidR="0022167E" w:rsidRPr="0022167E">
        <w:rPr>
          <w:rFonts w:ascii="Arial" w:hAnsi="Arial" w:cs="Arial"/>
          <w:szCs w:val="24"/>
        </w:rPr>
        <w:t xml:space="preserve"> jobs</w:t>
      </w:r>
      <w:r w:rsidR="005A79F3">
        <w:rPr>
          <w:rFonts w:ascii="Arial" w:hAnsi="Arial" w:cs="Arial"/>
          <w:szCs w:val="24"/>
        </w:rPr>
        <w:t>.</w:t>
      </w:r>
      <w:r w:rsidR="0022167E" w:rsidRPr="0022167E">
        <w:rPr>
          <w:rFonts w:ascii="Arial" w:hAnsi="Arial" w:cs="Arial"/>
          <w:szCs w:val="24"/>
        </w:rPr>
        <w:t xml:space="preserve"> </w:t>
      </w:r>
      <w:r w:rsidR="005A79F3">
        <w:rPr>
          <w:rFonts w:ascii="Arial" w:hAnsi="Arial" w:cs="Arial"/>
          <w:szCs w:val="24"/>
        </w:rPr>
        <w:t xml:space="preserve"> According </w:t>
      </w:r>
      <w:r w:rsidR="0097755E">
        <w:rPr>
          <w:rFonts w:ascii="Arial" w:hAnsi="Arial" w:cs="Arial"/>
          <w:szCs w:val="24"/>
        </w:rPr>
        <w:t>UC Berkeley Labor Center</w:t>
      </w:r>
      <w:r w:rsidR="005A79F3" w:rsidRPr="005A79F3">
        <w:rPr>
          <w:rFonts w:ascii="Arial" w:hAnsi="Arial" w:cs="Arial"/>
          <w:szCs w:val="24"/>
        </w:rPr>
        <w:t xml:space="preserve">, a </w:t>
      </w:r>
      <w:r w:rsidR="0097755E">
        <w:rPr>
          <w:rFonts w:ascii="Arial" w:hAnsi="Arial" w:cs="Arial"/>
          <w:szCs w:val="24"/>
        </w:rPr>
        <w:t>“</w:t>
      </w:r>
      <w:r w:rsidR="005A79F3" w:rsidRPr="005A79F3">
        <w:rPr>
          <w:rFonts w:ascii="Arial" w:hAnsi="Arial" w:cs="Arial"/>
          <w:szCs w:val="24"/>
        </w:rPr>
        <w:t>high-road</w:t>
      </w:r>
      <w:r w:rsidR="0097755E">
        <w:rPr>
          <w:rFonts w:ascii="Arial" w:hAnsi="Arial" w:cs="Arial"/>
          <w:szCs w:val="24"/>
        </w:rPr>
        <w:t>”</w:t>
      </w:r>
      <w:r w:rsidR="005A79F3" w:rsidRPr="005A79F3">
        <w:rPr>
          <w:rFonts w:ascii="Arial" w:hAnsi="Arial" w:cs="Arial"/>
          <w:szCs w:val="24"/>
        </w:rPr>
        <w:t xml:space="preserve"> economy supports businesses that compete on the basis of the quality of their products and services by investing in their workforces; these businesses pay the wages and benefits necessary to attract and retain skilled workers, who in turn perform high-quality work.</w:t>
      </w:r>
      <w:r w:rsidR="007B7043">
        <w:rPr>
          <w:rStyle w:val="FootnoteReference"/>
          <w:rFonts w:ascii="Arial" w:hAnsi="Arial" w:cs="Arial"/>
          <w:szCs w:val="24"/>
        </w:rPr>
        <w:footnoteReference w:id="19"/>
      </w:r>
      <w:r w:rsidR="005A79F3" w:rsidRPr="005A79F3">
        <w:rPr>
          <w:rFonts w:ascii="Arial" w:hAnsi="Arial" w:cs="Arial"/>
          <w:szCs w:val="24"/>
        </w:rPr>
        <w:t xml:space="preserve"> Building the high road requires interventions on both the demand side and the supply side of the labor market. Supply indicates workers and the institutions that train them; demand refers to jobs and the firms or institutions that offer them.</w:t>
      </w:r>
      <w:r w:rsidR="0097755E">
        <w:rPr>
          <w:rFonts w:ascii="Arial" w:hAnsi="Arial" w:cs="Arial"/>
          <w:szCs w:val="24"/>
        </w:rPr>
        <w:t xml:space="preserve"> </w:t>
      </w:r>
      <w:r w:rsidR="0022167E" w:rsidRPr="0022167E">
        <w:rPr>
          <w:rFonts w:ascii="Arial" w:hAnsi="Arial" w:cs="Arial"/>
          <w:szCs w:val="24"/>
        </w:rPr>
        <w:t xml:space="preserve">The event </w:t>
      </w:r>
      <w:r w:rsidR="00282551">
        <w:rPr>
          <w:rFonts w:ascii="Arial" w:hAnsi="Arial" w:cs="Arial"/>
          <w:szCs w:val="24"/>
        </w:rPr>
        <w:t>would</w:t>
      </w:r>
      <w:r w:rsidR="0022167E" w:rsidRPr="0022167E">
        <w:rPr>
          <w:rFonts w:ascii="Arial" w:hAnsi="Arial" w:cs="Arial"/>
          <w:szCs w:val="24"/>
        </w:rPr>
        <w:t xml:space="preserve"> be held in a virtual format, which opens opportunities for wide reach and engagement, while still rooted in community outreach and engagement. </w:t>
      </w:r>
    </w:p>
    <w:p w14:paraId="26D3C237" w14:textId="77777777" w:rsidR="0022167E" w:rsidRPr="0022167E" w:rsidRDefault="0022167E" w:rsidP="0022167E">
      <w:pPr>
        <w:spacing w:line="259" w:lineRule="auto"/>
        <w:jc w:val="both"/>
        <w:rPr>
          <w:rFonts w:ascii="Arial" w:hAnsi="Arial" w:cs="Arial"/>
          <w:szCs w:val="24"/>
        </w:rPr>
      </w:pPr>
    </w:p>
    <w:p w14:paraId="582E65D5" w14:textId="7711C33A" w:rsidR="008D058A" w:rsidRDefault="0097755E" w:rsidP="0022167E">
      <w:pPr>
        <w:spacing w:line="259" w:lineRule="auto"/>
        <w:jc w:val="both"/>
        <w:rPr>
          <w:rFonts w:ascii="Arial" w:hAnsi="Arial" w:cs="Arial"/>
          <w:szCs w:val="24"/>
        </w:rPr>
      </w:pPr>
      <w:r>
        <w:rPr>
          <w:rFonts w:ascii="Arial" w:hAnsi="Arial" w:cs="Arial"/>
          <w:szCs w:val="24"/>
        </w:rPr>
        <w:t>Executive staff state that t</w:t>
      </w:r>
      <w:r w:rsidR="0022167E" w:rsidRPr="0022167E">
        <w:rPr>
          <w:rFonts w:ascii="Arial" w:hAnsi="Arial" w:cs="Arial"/>
          <w:szCs w:val="24"/>
        </w:rPr>
        <w:t xml:space="preserve">his </w:t>
      </w:r>
      <w:r>
        <w:rPr>
          <w:rFonts w:ascii="Arial" w:hAnsi="Arial" w:cs="Arial"/>
          <w:szCs w:val="24"/>
        </w:rPr>
        <w:t xml:space="preserve">event would be </w:t>
      </w:r>
      <w:r w:rsidR="0022167E" w:rsidRPr="0022167E">
        <w:rPr>
          <w:rFonts w:ascii="Arial" w:hAnsi="Arial" w:cs="Arial"/>
          <w:szCs w:val="24"/>
        </w:rPr>
        <w:t>hosted in partnership with established, community-</w:t>
      </w:r>
      <w:r>
        <w:rPr>
          <w:rFonts w:ascii="Arial" w:hAnsi="Arial" w:cs="Arial"/>
          <w:szCs w:val="24"/>
        </w:rPr>
        <w:t>based</w:t>
      </w:r>
      <w:r w:rsidR="0022167E" w:rsidRPr="0022167E">
        <w:rPr>
          <w:rFonts w:ascii="Arial" w:hAnsi="Arial" w:cs="Arial"/>
          <w:szCs w:val="24"/>
        </w:rPr>
        <w:t xml:space="preserve"> organizations that have existing relationships with underrepresented BIPOC, migrant, refugee, LGBTQ, and other worker communities. This</w:t>
      </w:r>
      <w:r w:rsidR="00B57AE6">
        <w:rPr>
          <w:rFonts w:ascii="Arial" w:hAnsi="Arial" w:cs="Arial"/>
          <w:szCs w:val="24"/>
        </w:rPr>
        <w:t xml:space="preserve"> would not be </w:t>
      </w:r>
      <w:r w:rsidR="0022167E" w:rsidRPr="0022167E">
        <w:rPr>
          <w:rFonts w:ascii="Arial" w:hAnsi="Arial" w:cs="Arial"/>
          <w:szCs w:val="24"/>
        </w:rPr>
        <w:t xml:space="preserve">a one-time event, but </w:t>
      </w:r>
      <w:r w:rsidR="00B57AE6">
        <w:rPr>
          <w:rFonts w:ascii="Arial" w:hAnsi="Arial" w:cs="Arial"/>
          <w:szCs w:val="24"/>
        </w:rPr>
        <w:t xml:space="preserve">rather </w:t>
      </w:r>
      <w:r w:rsidR="0022167E" w:rsidRPr="0022167E">
        <w:rPr>
          <w:rFonts w:ascii="Arial" w:hAnsi="Arial" w:cs="Arial"/>
          <w:szCs w:val="24"/>
        </w:rPr>
        <w:t xml:space="preserve">an ongoing program that utilizes an online hub to link workers to training and wraparound supports. The program </w:t>
      </w:r>
      <w:r w:rsidR="00B57AE6">
        <w:rPr>
          <w:rFonts w:ascii="Arial" w:hAnsi="Arial" w:cs="Arial"/>
          <w:szCs w:val="24"/>
        </w:rPr>
        <w:t>would</w:t>
      </w:r>
      <w:r w:rsidR="0022167E" w:rsidRPr="0022167E">
        <w:rPr>
          <w:rFonts w:ascii="Arial" w:hAnsi="Arial" w:cs="Arial"/>
          <w:szCs w:val="24"/>
        </w:rPr>
        <w:t xml:space="preserve"> be promoted through existing partner networks and additional communication channels.</w:t>
      </w:r>
    </w:p>
    <w:p w14:paraId="1FCB86D8" w14:textId="77777777" w:rsidR="0022167E" w:rsidRDefault="0022167E" w:rsidP="0022167E">
      <w:pPr>
        <w:spacing w:line="259" w:lineRule="auto"/>
        <w:jc w:val="both"/>
        <w:rPr>
          <w:rFonts w:ascii="Arial" w:hAnsi="Arial" w:cs="Arial"/>
          <w:szCs w:val="24"/>
        </w:rPr>
      </w:pPr>
    </w:p>
    <w:p w14:paraId="3E890DDA" w14:textId="733995EE" w:rsidR="009755DB" w:rsidRDefault="00253C94" w:rsidP="006B0C9A">
      <w:pPr>
        <w:spacing w:line="259" w:lineRule="auto"/>
        <w:jc w:val="both"/>
        <w:rPr>
          <w:rFonts w:ascii="Arial" w:hAnsi="Arial" w:cs="Arial"/>
          <w:szCs w:val="24"/>
        </w:rPr>
      </w:pPr>
      <w:r>
        <w:rPr>
          <w:rFonts w:ascii="Arial" w:hAnsi="Arial" w:cs="Arial"/>
          <w:i/>
          <w:iCs/>
          <w:szCs w:val="24"/>
        </w:rPr>
        <w:t>DAJD: COVID-19 Testing</w:t>
      </w:r>
      <w:r w:rsidRPr="007F443A">
        <w:rPr>
          <w:rFonts w:ascii="Arial" w:hAnsi="Arial" w:cs="Arial"/>
          <w:i/>
          <w:iCs/>
          <w:szCs w:val="24"/>
        </w:rPr>
        <w:t>.</w:t>
      </w:r>
      <w:r>
        <w:rPr>
          <w:rFonts w:ascii="Arial" w:hAnsi="Arial" w:cs="Arial"/>
          <w:szCs w:val="24"/>
        </w:rPr>
        <w:t xml:space="preserve">  </w:t>
      </w:r>
      <w:r w:rsidR="00D6069C">
        <w:rPr>
          <w:rFonts w:ascii="Arial" w:hAnsi="Arial" w:cs="Arial"/>
          <w:szCs w:val="24"/>
        </w:rPr>
        <w:t>On March 2021, both the King County Correction F</w:t>
      </w:r>
      <w:r w:rsidR="00D70366">
        <w:rPr>
          <w:rFonts w:ascii="Arial" w:hAnsi="Arial" w:cs="Arial"/>
          <w:szCs w:val="24"/>
        </w:rPr>
        <w:t xml:space="preserve">acility </w:t>
      </w:r>
      <w:r w:rsidR="00CF106D">
        <w:rPr>
          <w:rFonts w:ascii="Arial" w:hAnsi="Arial" w:cs="Arial"/>
          <w:szCs w:val="24"/>
        </w:rPr>
        <w:t>(K</w:t>
      </w:r>
      <w:r w:rsidR="009D12CA">
        <w:rPr>
          <w:rFonts w:ascii="Arial" w:hAnsi="Arial" w:cs="Arial"/>
          <w:szCs w:val="24"/>
        </w:rPr>
        <w:t xml:space="preserve">CCF) </w:t>
      </w:r>
      <w:r w:rsidR="00D70366">
        <w:rPr>
          <w:rFonts w:ascii="Arial" w:hAnsi="Arial" w:cs="Arial"/>
          <w:szCs w:val="24"/>
        </w:rPr>
        <w:t xml:space="preserve">in downtown Seattle and the Maleng Regional Justice Center </w:t>
      </w:r>
      <w:r w:rsidR="009D12CA">
        <w:rPr>
          <w:rFonts w:ascii="Arial" w:hAnsi="Arial" w:cs="Arial"/>
          <w:szCs w:val="24"/>
        </w:rPr>
        <w:t xml:space="preserve">(MRJC) </w:t>
      </w:r>
      <w:r w:rsidR="00D70366">
        <w:rPr>
          <w:rFonts w:ascii="Arial" w:hAnsi="Arial" w:cs="Arial"/>
          <w:szCs w:val="24"/>
        </w:rPr>
        <w:t xml:space="preserve">in Kent </w:t>
      </w:r>
      <w:r w:rsidR="00BB412E">
        <w:rPr>
          <w:rFonts w:ascii="Arial" w:hAnsi="Arial" w:cs="Arial"/>
          <w:szCs w:val="24"/>
        </w:rPr>
        <w:t>experienced a COVID-19 outbreak which impacted both inmates and corrections officers.</w:t>
      </w:r>
      <w:r w:rsidR="009755DB">
        <w:rPr>
          <w:rFonts w:ascii="Arial" w:hAnsi="Arial" w:cs="Arial"/>
          <w:szCs w:val="24"/>
        </w:rPr>
        <w:t xml:space="preserve"> Executive staff state that the following </w:t>
      </w:r>
      <w:r w:rsidR="006B0C9A" w:rsidRPr="006B0C9A">
        <w:rPr>
          <w:rFonts w:ascii="Arial" w:hAnsi="Arial" w:cs="Arial"/>
          <w:szCs w:val="24"/>
        </w:rPr>
        <w:t xml:space="preserve">protocols have been in place since prior to the March outbreak and remain in place </w:t>
      </w:r>
      <w:r w:rsidR="009755DB">
        <w:rPr>
          <w:rFonts w:ascii="Arial" w:hAnsi="Arial" w:cs="Arial"/>
          <w:szCs w:val="24"/>
        </w:rPr>
        <w:t>today:</w:t>
      </w:r>
    </w:p>
    <w:p w14:paraId="66D96383" w14:textId="462B0B22" w:rsidR="00D2526C" w:rsidRDefault="009755DB" w:rsidP="006B0C9A">
      <w:pPr>
        <w:pStyle w:val="ListParagraph0"/>
        <w:numPr>
          <w:ilvl w:val="0"/>
          <w:numId w:val="41"/>
        </w:numPr>
        <w:spacing w:line="259" w:lineRule="auto"/>
        <w:jc w:val="both"/>
        <w:rPr>
          <w:rFonts w:ascii="Arial" w:hAnsi="Arial" w:cs="Arial"/>
        </w:rPr>
      </w:pPr>
      <w:r>
        <w:rPr>
          <w:rFonts w:ascii="Arial" w:hAnsi="Arial" w:cs="Arial"/>
        </w:rPr>
        <w:t>DAJD c</w:t>
      </w:r>
      <w:r w:rsidR="006B0C9A" w:rsidRPr="009755DB">
        <w:rPr>
          <w:rFonts w:ascii="Arial" w:hAnsi="Arial" w:cs="Arial"/>
        </w:rPr>
        <w:t xml:space="preserve">ontinues to follow recommendations from local, </w:t>
      </w:r>
      <w:r w:rsidR="003E7773" w:rsidRPr="009755DB">
        <w:rPr>
          <w:rFonts w:ascii="Arial" w:hAnsi="Arial" w:cs="Arial"/>
        </w:rPr>
        <w:t>state,</w:t>
      </w:r>
      <w:r w:rsidR="006B0C9A" w:rsidRPr="009755DB">
        <w:rPr>
          <w:rFonts w:ascii="Arial" w:hAnsi="Arial" w:cs="Arial"/>
        </w:rPr>
        <w:t xml:space="preserve"> and federal health officials to guide cleaning and contamination of secure detention facilities</w:t>
      </w:r>
      <w:r>
        <w:rPr>
          <w:rFonts w:ascii="Arial" w:hAnsi="Arial" w:cs="Arial"/>
        </w:rPr>
        <w:t>,</w:t>
      </w:r>
    </w:p>
    <w:p w14:paraId="06D8F17E" w14:textId="77777777" w:rsidR="00D2526C" w:rsidRDefault="006B0C9A" w:rsidP="006B0C9A">
      <w:pPr>
        <w:pStyle w:val="ListParagraph0"/>
        <w:numPr>
          <w:ilvl w:val="0"/>
          <w:numId w:val="41"/>
        </w:numPr>
        <w:spacing w:line="259" w:lineRule="auto"/>
        <w:jc w:val="both"/>
        <w:rPr>
          <w:rFonts w:ascii="Arial" w:hAnsi="Arial" w:cs="Arial"/>
        </w:rPr>
      </w:pPr>
      <w:r w:rsidRPr="00D2526C">
        <w:rPr>
          <w:rFonts w:ascii="Arial" w:hAnsi="Arial" w:cs="Arial"/>
        </w:rPr>
        <w:t>As part of its pandemic response, DAJD increased daily cleaning and disinfection of all areas at all correctional facilities, including visitation booths where attorneys can meet with their clients. Jail housing areas are cleaned regularly throughout the day, every day</w:t>
      </w:r>
      <w:r w:rsidR="00D2526C">
        <w:rPr>
          <w:rFonts w:ascii="Arial" w:hAnsi="Arial" w:cs="Arial"/>
        </w:rPr>
        <w:t>,</w:t>
      </w:r>
    </w:p>
    <w:p w14:paraId="09E6820B" w14:textId="0EF65390" w:rsidR="00D2526C" w:rsidRDefault="006B0C9A" w:rsidP="006B0C9A">
      <w:pPr>
        <w:pStyle w:val="ListParagraph0"/>
        <w:numPr>
          <w:ilvl w:val="0"/>
          <w:numId w:val="41"/>
        </w:numPr>
        <w:spacing w:line="259" w:lineRule="auto"/>
        <w:jc w:val="both"/>
        <w:rPr>
          <w:rFonts w:ascii="Arial" w:hAnsi="Arial" w:cs="Arial"/>
        </w:rPr>
      </w:pPr>
      <w:r w:rsidRPr="00D2526C">
        <w:rPr>
          <w:rFonts w:ascii="Arial" w:hAnsi="Arial" w:cs="Arial"/>
        </w:rPr>
        <w:t xml:space="preserve">Inmates are given access to cleaning supplies such as soap, towels, disinfectant </w:t>
      </w:r>
      <w:r w:rsidR="003E7773" w:rsidRPr="00D2526C">
        <w:rPr>
          <w:rFonts w:ascii="Arial" w:hAnsi="Arial" w:cs="Arial"/>
        </w:rPr>
        <w:t>spray,</w:t>
      </w:r>
      <w:r w:rsidRPr="00D2526C">
        <w:rPr>
          <w:rFonts w:ascii="Arial" w:hAnsi="Arial" w:cs="Arial"/>
        </w:rPr>
        <w:t xml:space="preserve"> and paper wipes</w:t>
      </w:r>
      <w:r w:rsidR="00D2526C">
        <w:rPr>
          <w:rFonts w:ascii="Arial" w:hAnsi="Arial" w:cs="Arial"/>
        </w:rPr>
        <w:t>, and</w:t>
      </w:r>
    </w:p>
    <w:p w14:paraId="0CCE929B" w14:textId="12617820" w:rsidR="006B0C9A" w:rsidRPr="00D2526C" w:rsidRDefault="006B0C9A" w:rsidP="006B0C9A">
      <w:pPr>
        <w:pStyle w:val="ListParagraph0"/>
        <w:numPr>
          <w:ilvl w:val="0"/>
          <w:numId w:val="41"/>
        </w:numPr>
        <w:spacing w:line="259" w:lineRule="auto"/>
        <w:jc w:val="both"/>
        <w:rPr>
          <w:rFonts w:ascii="Arial" w:hAnsi="Arial" w:cs="Arial"/>
        </w:rPr>
      </w:pPr>
      <w:r w:rsidRPr="00D2526C">
        <w:rPr>
          <w:rFonts w:ascii="Arial" w:hAnsi="Arial" w:cs="Arial"/>
        </w:rPr>
        <w:t>A safety officer, supervised by a shift commander, is responsible for working with appropriate staff to track the cleaning, disinfecting</w:t>
      </w:r>
      <w:r w:rsidR="00D2526C">
        <w:rPr>
          <w:rFonts w:ascii="Arial" w:hAnsi="Arial" w:cs="Arial"/>
        </w:rPr>
        <w:t>,</w:t>
      </w:r>
      <w:r w:rsidRPr="00D2526C">
        <w:rPr>
          <w:rFonts w:ascii="Arial" w:hAnsi="Arial" w:cs="Arial"/>
        </w:rPr>
        <w:t xml:space="preserve"> and sanitizing the department’s facilities. Cleaning officers are tasked with responding to and disinfecting any area that may have been contaminated – elevators, vehicles, cells, hallways etc. All transport vehicles are sanitized after each transport.</w:t>
      </w:r>
    </w:p>
    <w:p w14:paraId="6BDB081E" w14:textId="77777777" w:rsidR="006B0C9A" w:rsidRPr="006B0C9A" w:rsidRDefault="006B0C9A" w:rsidP="006B0C9A">
      <w:pPr>
        <w:spacing w:line="259" w:lineRule="auto"/>
        <w:jc w:val="both"/>
        <w:rPr>
          <w:rFonts w:ascii="Arial" w:hAnsi="Arial" w:cs="Arial"/>
          <w:szCs w:val="24"/>
        </w:rPr>
      </w:pPr>
    </w:p>
    <w:p w14:paraId="68F00BFB" w14:textId="77777777" w:rsidR="00CF106D" w:rsidRDefault="00CF106D" w:rsidP="006B0C9A">
      <w:pPr>
        <w:spacing w:line="259" w:lineRule="auto"/>
        <w:jc w:val="both"/>
        <w:rPr>
          <w:rFonts w:ascii="Arial" w:hAnsi="Arial" w:cs="Arial"/>
          <w:szCs w:val="24"/>
        </w:rPr>
      </w:pPr>
      <w:r>
        <w:rPr>
          <w:rFonts w:ascii="Arial" w:hAnsi="Arial" w:cs="Arial"/>
          <w:szCs w:val="24"/>
        </w:rPr>
        <w:t>Moreover, i</w:t>
      </w:r>
      <w:r w:rsidR="006B0C9A" w:rsidRPr="006B0C9A">
        <w:rPr>
          <w:rFonts w:ascii="Arial" w:hAnsi="Arial" w:cs="Arial"/>
          <w:szCs w:val="24"/>
        </w:rPr>
        <w:t>n response to the outbreak</w:t>
      </w:r>
      <w:r>
        <w:rPr>
          <w:rFonts w:ascii="Arial" w:hAnsi="Arial" w:cs="Arial"/>
          <w:szCs w:val="24"/>
        </w:rPr>
        <w:t xml:space="preserve">, </w:t>
      </w:r>
      <w:r w:rsidR="006B0C9A" w:rsidRPr="006B0C9A">
        <w:rPr>
          <w:rFonts w:ascii="Arial" w:hAnsi="Arial" w:cs="Arial"/>
          <w:szCs w:val="24"/>
        </w:rPr>
        <w:t xml:space="preserve">DAJD </w:t>
      </w:r>
      <w:r>
        <w:rPr>
          <w:rFonts w:ascii="Arial" w:hAnsi="Arial" w:cs="Arial"/>
          <w:szCs w:val="24"/>
        </w:rPr>
        <w:t xml:space="preserve">also </w:t>
      </w:r>
      <w:r w:rsidR="006B0C9A" w:rsidRPr="006B0C9A">
        <w:rPr>
          <w:rFonts w:ascii="Arial" w:hAnsi="Arial" w:cs="Arial"/>
          <w:szCs w:val="24"/>
        </w:rPr>
        <w:t>took the following measures:</w:t>
      </w:r>
    </w:p>
    <w:p w14:paraId="3FC40D44" w14:textId="3DE0A158" w:rsidR="009D12CA" w:rsidRDefault="006B0C9A" w:rsidP="006B0C9A">
      <w:pPr>
        <w:pStyle w:val="ListParagraph0"/>
        <w:numPr>
          <w:ilvl w:val="0"/>
          <w:numId w:val="42"/>
        </w:numPr>
        <w:spacing w:line="259" w:lineRule="auto"/>
        <w:jc w:val="both"/>
        <w:rPr>
          <w:rFonts w:ascii="Arial" w:hAnsi="Arial" w:cs="Arial"/>
        </w:rPr>
      </w:pPr>
      <w:r w:rsidRPr="00CF106D">
        <w:rPr>
          <w:rFonts w:ascii="Arial" w:hAnsi="Arial" w:cs="Arial"/>
        </w:rPr>
        <w:t>After cases came to light in jail housing areas, staff immediately disinfected the KCCF living areas where the infected individuals and those in close contact with them were housed. They also sanitized all hallways, units/wings, elevators</w:t>
      </w:r>
      <w:r w:rsidR="009D12CA">
        <w:rPr>
          <w:rFonts w:ascii="Arial" w:hAnsi="Arial" w:cs="Arial"/>
        </w:rPr>
        <w:t>,</w:t>
      </w:r>
      <w:r w:rsidRPr="00CF106D">
        <w:rPr>
          <w:rFonts w:ascii="Arial" w:hAnsi="Arial" w:cs="Arial"/>
        </w:rPr>
        <w:t xml:space="preserve"> and transport vehicles used when these people were moved to medical isolation and quarantine housing at both MRJC and KCCF</w:t>
      </w:r>
      <w:r w:rsidR="009D12CA">
        <w:rPr>
          <w:rFonts w:ascii="Arial" w:hAnsi="Arial" w:cs="Arial"/>
        </w:rPr>
        <w:t>,</w:t>
      </w:r>
      <w:r w:rsidR="007D78C1">
        <w:rPr>
          <w:rFonts w:ascii="Arial" w:hAnsi="Arial" w:cs="Arial"/>
        </w:rPr>
        <w:t xml:space="preserve"> and</w:t>
      </w:r>
    </w:p>
    <w:p w14:paraId="2261DF3D" w14:textId="611784A2" w:rsidR="006B0C9A" w:rsidRPr="009D12CA" w:rsidRDefault="006B0C9A" w:rsidP="006B0C9A">
      <w:pPr>
        <w:pStyle w:val="ListParagraph0"/>
        <w:numPr>
          <w:ilvl w:val="0"/>
          <w:numId w:val="42"/>
        </w:numPr>
        <w:spacing w:line="259" w:lineRule="auto"/>
        <w:jc w:val="both"/>
        <w:rPr>
          <w:rFonts w:ascii="Arial" w:hAnsi="Arial" w:cs="Arial"/>
        </w:rPr>
      </w:pPr>
      <w:r w:rsidRPr="009D12CA">
        <w:rPr>
          <w:rFonts w:ascii="Arial" w:hAnsi="Arial" w:cs="Arial"/>
        </w:rPr>
        <w:t>During the week of May 10, DAJD arranged for a contractor to perform enhanced cleanings at our three secure detention facilities using an EPA-approved disinfectant. These cleanings focused on staff and common areas such as locker rooms, elevators, control rooms, sally ports, and roll</w:t>
      </w:r>
      <w:r w:rsidR="007D78C1">
        <w:rPr>
          <w:rFonts w:ascii="Arial" w:hAnsi="Arial" w:cs="Arial"/>
        </w:rPr>
        <w:t>-</w:t>
      </w:r>
      <w:r w:rsidRPr="009D12CA">
        <w:rPr>
          <w:rFonts w:ascii="Arial" w:hAnsi="Arial" w:cs="Arial"/>
        </w:rPr>
        <w:t>call rooms.</w:t>
      </w:r>
    </w:p>
    <w:p w14:paraId="1FBDEFC5" w14:textId="77777777" w:rsidR="006B0C9A" w:rsidRPr="006B0C9A" w:rsidRDefault="006B0C9A" w:rsidP="006B0C9A">
      <w:pPr>
        <w:spacing w:line="259" w:lineRule="auto"/>
        <w:jc w:val="both"/>
        <w:rPr>
          <w:rFonts w:ascii="Arial" w:hAnsi="Arial" w:cs="Arial"/>
          <w:szCs w:val="24"/>
        </w:rPr>
      </w:pPr>
    </w:p>
    <w:p w14:paraId="421B31F7" w14:textId="1B67DF8E" w:rsidR="006B0C9A" w:rsidRPr="006B0C9A" w:rsidRDefault="0047778A" w:rsidP="006B0C9A">
      <w:pPr>
        <w:spacing w:line="259" w:lineRule="auto"/>
        <w:jc w:val="both"/>
        <w:rPr>
          <w:rFonts w:ascii="Arial" w:hAnsi="Arial" w:cs="Arial"/>
          <w:szCs w:val="24"/>
        </w:rPr>
      </w:pPr>
      <w:r>
        <w:rPr>
          <w:rFonts w:ascii="Arial" w:hAnsi="Arial" w:cs="Arial"/>
          <w:szCs w:val="24"/>
        </w:rPr>
        <w:t>Executive staff state that t</w:t>
      </w:r>
      <w:r w:rsidR="006B0C9A" w:rsidRPr="006B0C9A">
        <w:rPr>
          <w:rFonts w:ascii="Arial" w:hAnsi="Arial" w:cs="Arial"/>
          <w:szCs w:val="24"/>
        </w:rPr>
        <w:t>here have been no further outbreaks since the</w:t>
      </w:r>
      <w:r>
        <w:rPr>
          <w:rFonts w:ascii="Arial" w:hAnsi="Arial" w:cs="Arial"/>
          <w:szCs w:val="24"/>
        </w:rPr>
        <w:t xml:space="preserve"> above measures wer</w:t>
      </w:r>
      <w:r w:rsidR="00437DAB">
        <w:rPr>
          <w:rFonts w:ascii="Arial" w:hAnsi="Arial" w:cs="Arial"/>
          <w:szCs w:val="24"/>
        </w:rPr>
        <w:t>e put in place</w:t>
      </w:r>
      <w:r w:rsidR="006B0C9A" w:rsidRPr="006B0C9A">
        <w:rPr>
          <w:rFonts w:ascii="Arial" w:hAnsi="Arial" w:cs="Arial"/>
          <w:szCs w:val="24"/>
        </w:rPr>
        <w:t xml:space="preserve"> enhanced disinfection efforts, and as of June 22nd, it had been two weeks since anybody in custody has tested positive either at booking or in jail housing.</w:t>
      </w:r>
    </w:p>
    <w:p w14:paraId="0331BCE7" w14:textId="77777777" w:rsidR="00037817" w:rsidRDefault="00037817" w:rsidP="008D058A">
      <w:pPr>
        <w:spacing w:line="259" w:lineRule="auto"/>
        <w:jc w:val="both"/>
        <w:rPr>
          <w:rFonts w:ascii="Arial" w:hAnsi="Arial" w:cs="Arial"/>
          <w:szCs w:val="24"/>
        </w:rPr>
      </w:pPr>
    </w:p>
    <w:p w14:paraId="065BEAD7" w14:textId="0A2A5FC0" w:rsidR="004A0F92" w:rsidRDefault="007C3AB6" w:rsidP="004A0F92">
      <w:pPr>
        <w:spacing w:line="264" w:lineRule="auto"/>
        <w:jc w:val="both"/>
        <w:rPr>
          <w:rFonts w:ascii="Arial" w:hAnsi="Arial" w:cs="Arial"/>
          <w:bCs/>
          <w:szCs w:val="24"/>
        </w:rPr>
      </w:pPr>
      <w:r>
        <w:rPr>
          <w:rFonts w:ascii="Arial" w:hAnsi="Arial" w:cs="Arial"/>
          <w:b/>
          <w:szCs w:val="24"/>
        </w:rPr>
        <w:t>Proposed Appropriations Supported by other State and Federal Grants</w:t>
      </w:r>
      <w:r w:rsidRPr="00425776">
        <w:rPr>
          <w:rFonts w:ascii="Arial" w:hAnsi="Arial" w:cs="Arial"/>
          <w:b/>
          <w:szCs w:val="24"/>
        </w:rPr>
        <w:t>.</w:t>
      </w:r>
      <w:r>
        <w:rPr>
          <w:rFonts w:ascii="Arial" w:hAnsi="Arial" w:cs="Arial"/>
          <w:bCs/>
          <w:szCs w:val="24"/>
        </w:rPr>
        <w:t xml:space="preserve">   </w:t>
      </w:r>
      <w:r w:rsidR="004F4850">
        <w:rPr>
          <w:rFonts w:ascii="Arial" w:hAnsi="Arial" w:cs="Arial"/>
          <w:bCs/>
          <w:szCs w:val="24"/>
        </w:rPr>
        <w:t xml:space="preserve">COVID </w:t>
      </w:r>
      <w:r>
        <w:rPr>
          <w:rFonts w:ascii="Arial" w:hAnsi="Arial" w:cs="Arial"/>
          <w:bCs/>
          <w:szCs w:val="24"/>
        </w:rPr>
        <w:t xml:space="preserve">8 </w:t>
      </w:r>
      <w:r w:rsidR="004F4850">
        <w:rPr>
          <w:rFonts w:ascii="Arial" w:hAnsi="Arial" w:cs="Arial"/>
          <w:bCs/>
          <w:szCs w:val="24"/>
        </w:rPr>
        <w:t xml:space="preserve">would appropriate </w:t>
      </w:r>
      <w:r w:rsidR="004F4850" w:rsidRPr="00260269">
        <w:rPr>
          <w:rFonts w:ascii="Arial" w:hAnsi="Arial" w:cs="Arial"/>
          <w:bCs/>
          <w:color w:val="C0504D" w:themeColor="accent2"/>
          <w:szCs w:val="24"/>
        </w:rPr>
        <w:t>$</w:t>
      </w:r>
      <w:r w:rsidRPr="00260269">
        <w:rPr>
          <w:rFonts w:ascii="Arial" w:hAnsi="Arial" w:cs="Arial"/>
          <w:bCs/>
          <w:color w:val="C0504D" w:themeColor="accent2"/>
          <w:szCs w:val="24"/>
        </w:rPr>
        <w:t>13</w:t>
      </w:r>
      <w:r w:rsidR="00260269" w:rsidRPr="00260269">
        <w:rPr>
          <w:rFonts w:ascii="Arial" w:hAnsi="Arial" w:cs="Arial"/>
          <w:bCs/>
          <w:color w:val="C0504D" w:themeColor="accent2"/>
          <w:szCs w:val="24"/>
        </w:rPr>
        <w:t>2</w:t>
      </w:r>
      <w:r w:rsidRPr="00260269">
        <w:rPr>
          <w:rFonts w:ascii="Arial" w:hAnsi="Arial" w:cs="Arial"/>
          <w:bCs/>
          <w:color w:val="C0504D" w:themeColor="accent2"/>
          <w:szCs w:val="24"/>
        </w:rPr>
        <w:t>.4</w:t>
      </w:r>
      <w:r w:rsidR="004F4850">
        <w:rPr>
          <w:rFonts w:ascii="Arial" w:hAnsi="Arial" w:cs="Arial"/>
          <w:bCs/>
          <w:szCs w:val="24"/>
        </w:rPr>
        <w:t xml:space="preserve"> million </w:t>
      </w:r>
      <w:r w:rsidR="004500C0">
        <w:rPr>
          <w:rFonts w:ascii="Arial" w:hAnsi="Arial" w:cs="Arial"/>
          <w:bCs/>
          <w:szCs w:val="24"/>
        </w:rPr>
        <w:t xml:space="preserve">for </w:t>
      </w:r>
      <w:r w:rsidR="00CE761D">
        <w:rPr>
          <w:rFonts w:ascii="Arial" w:hAnsi="Arial" w:cs="Arial"/>
          <w:bCs/>
          <w:szCs w:val="24"/>
        </w:rPr>
        <w:t xml:space="preserve">rental assistance, </w:t>
      </w:r>
      <w:r w:rsidR="00474686">
        <w:rPr>
          <w:rFonts w:ascii="Arial" w:hAnsi="Arial" w:cs="Arial"/>
          <w:bCs/>
          <w:szCs w:val="24"/>
        </w:rPr>
        <w:t>shelter and housing supports through CDBG and HOME federal grants, vaccination efforts, public health response to the pandemic, and county operation in response to the pandemic</w:t>
      </w:r>
      <w:r w:rsidR="00CF5C4E">
        <w:rPr>
          <w:rFonts w:ascii="Arial" w:hAnsi="Arial" w:cs="Arial"/>
          <w:bCs/>
          <w:szCs w:val="24"/>
        </w:rPr>
        <w:t>.</w:t>
      </w:r>
      <w:r w:rsidR="00CF5C4E" w:rsidRPr="00CF5C4E">
        <w:rPr>
          <w:rFonts w:ascii="Arial" w:hAnsi="Arial" w:cs="Arial"/>
          <w:bCs/>
          <w:szCs w:val="24"/>
        </w:rPr>
        <w:t xml:space="preserve"> </w:t>
      </w:r>
      <w:r w:rsidR="007A16FB">
        <w:rPr>
          <w:rFonts w:ascii="Arial" w:hAnsi="Arial" w:cs="Arial"/>
          <w:bCs/>
          <w:szCs w:val="24"/>
        </w:rPr>
        <w:t xml:space="preserve">COVID 8 also includes </w:t>
      </w:r>
      <w:r w:rsidR="007A16FB" w:rsidRPr="00260269">
        <w:rPr>
          <w:rFonts w:ascii="Arial" w:hAnsi="Arial" w:cs="Arial"/>
          <w:bCs/>
          <w:color w:val="C0504D" w:themeColor="accent2"/>
          <w:szCs w:val="24"/>
        </w:rPr>
        <w:t>$</w:t>
      </w:r>
      <w:r w:rsidR="00260269" w:rsidRPr="00260269">
        <w:rPr>
          <w:rFonts w:ascii="Arial" w:hAnsi="Arial" w:cs="Arial"/>
          <w:bCs/>
          <w:color w:val="C0504D" w:themeColor="accent2"/>
          <w:szCs w:val="24"/>
        </w:rPr>
        <w:t>7</w:t>
      </w:r>
      <w:r w:rsidR="007A16FB" w:rsidRPr="00260269">
        <w:rPr>
          <w:rFonts w:ascii="Arial" w:hAnsi="Arial" w:cs="Arial"/>
          <w:bCs/>
          <w:color w:val="C0504D" w:themeColor="accent2"/>
          <w:szCs w:val="24"/>
        </w:rPr>
        <w:t xml:space="preserve">.5 </w:t>
      </w:r>
      <w:r w:rsidR="007A16FB">
        <w:rPr>
          <w:rFonts w:ascii="Arial" w:hAnsi="Arial" w:cs="Arial"/>
          <w:bCs/>
          <w:szCs w:val="24"/>
        </w:rPr>
        <w:t xml:space="preserve">million of </w:t>
      </w:r>
      <w:r w:rsidR="004A0F92">
        <w:rPr>
          <w:rFonts w:ascii="Arial" w:hAnsi="Arial" w:cs="Arial"/>
          <w:bCs/>
          <w:szCs w:val="24"/>
        </w:rPr>
        <w:t xml:space="preserve">technical </w:t>
      </w:r>
      <w:r w:rsidR="00DE23B1">
        <w:rPr>
          <w:rFonts w:ascii="Arial" w:hAnsi="Arial" w:cs="Arial"/>
          <w:bCs/>
          <w:szCs w:val="24"/>
        </w:rPr>
        <w:t>adjustments</w:t>
      </w:r>
      <w:r w:rsidR="007A16FB">
        <w:rPr>
          <w:rFonts w:ascii="Arial" w:hAnsi="Arial" w:cs="Arial"/>
          <w:bCs/>
          <w:szCs w:val="24"/>
        </w:rPr>
        <w:t xml:space="preserve"> </w:t>
      </w:r>
      <w:r w:rsidR="004A0F92">
        <w:rPr>
          <w:rFonts w:ascii="Arial" w:hAnsi="Arial" w:cs="Arial"/>
          <w:bCs/>
          <w:szCs w:val="24"/>
        </w:rPr>
        <w:t>related to COVID 7 appropriations. Table 4 below provides a summary of the proposed appropriations and the subsequent subsections provide additional analysis for some of the appropriation items.</w:t>
      </w:r>
    </w:p>
    <w:p w14:paraId="654F393B" w14:textId="77777777" w:rsidR="00CF5C4E" w:rsidRPr="00425776" w:rsidRDefault="00CF5C4E" w:rsidP="00CF5C4E">
      <w:pPr>
        <w:spacing w:line="264" w:lineRule="auto"/>
        <w:jc w:val="both"/>
        <w:rPr>
          <w:rFonts w:ascii="Arial" w:hAnsi="Arial" w:cs="Arial"/>
          <w:bCs/>
          <w:szCs w:val="24"/>
        </w:rPr>
      </w:pPr>
    </w:p>
    <w:p w14:paraId="4D7FC78F" w14:textId="77777777" w:rsidR="00AA6F43" w:rsidRDefault="00CF5C4E" w:rsidP="00A75000">
      <w:pPr>
        <w:keepNext/>
        <w:spacing w:line="264" w:lineRule="auto"/>
        <w:jc w:val="center"/>
        <w:rPr>
          <w:rFonts w:ascii="Arial" w:hAnsi="Arial" w:cs="Arial"/>
          <w:b/>
          <w:szCs w:val="24"/>
        </w:rPr>
      </w:pPr>
      <w:r>
        <w:rPr>
          <w:rFonts w:ascii="Arial" w:hAnsi="Arial" w:cs="Arial"/>
          <w:b/>
          <w:szCs w:val="24"/>
        </w:rPr>
        <w:lastRenderedPageBreak/>
        <w:t>Table 4</w:t>
      </w:r>
    </w:p>
    <w:p w14:paraId="35084553" w14:textId="77777777" w:rsidR="00AA6F43" w:rsidRDefault="00CF5C4E" w:rsidP="00A75000">
      <w:pPr>
        <w:keepNext/>
        <w:spacing w:line="264" w:lineRule="auto"/>
        <w:jc w:val="center"/>
        <w:rPr>
          <w:rFonts w:ascii="Arial" w:hAnsi="Arial" w:cs="Arial"/>
          <w:b/>
          <w:szCs w:val="24"/>
        </w:rPr>
      </w:pPr>
      <w:r>
        <w:rPr>
          <w:rFonts w:ascii="Arial" w:hAnsi="Arial" w:cs="Arial"/>
          <w:b/>
          <w:szCs w:val="24"/>
        </w:rPr>
        <w:t xml:space="preserve">Summary of Proposed Appropriations </w:t>
      </w:r>
      <w:r w:rsidR="00EC6089">
        <w:rPr>
          <w:rFonts w:ascii="Arial" w:hAnsi="Arial" w:cs="Arial"/>
          <w:b/>
          <w:szCs w:val="24"/>
        </w:rPr>
        <w:t xml:space="preserve">Supported by </w:t>
      </w:r>
    </w:p>
    <w:p w14:paraId="2B5370B0" w14:textId="3A179051" w:rsidR="00CF5C4E" w:rsidRDefault="00AA6F43" w:rsidP="00A75000">
      <w:pPr>
        <w:keepNext/>
        <w:spacing w:line="264" w:lineRule="auto"/>
        <w:jc w:val="center"/>
        <w:rPr>
          <w:rFonts w:ascii="Arial" w:hAnsi="Arial" w:cs="Arial"/>
          <w:b/>
          <w:szCs w:val="24"/>
        </w:rPr>
      </w:pPr>
      <w:r>
        <w:rPr>
          <w:rFonts w:ascii="Arial" w:hAnsi="Arial" w:cs="Arial"/>
          <w:b/>
          <w:szCs w:val="24"/>
        </w:rPr>
        <w:t>Other State and Federal Grants.</w:t>
      </w:r>
    </w:p>
    <w:p w14:paraId="3B16EB20" w14:textId="77777777" w:rsidR="00CF5C4E" w:rsidRPr="001C4B19" w:rsidRDefault="00CF5C4E" w:rsidP="00A75000">
      <w:pPr>
        <w:keepNext/>
        <w:spacing w:line="264" w:lineRule="auto"/>
        <w:jc w:val="center"/>
        <w:rPr>
          <w:rFonts w:ascii="Arial" w:hAnsi="Arial" w:cs="Arial"/>
          <w:b/>
          <w:szCs w:val="24"/>
        </w:rPr>
      </w:pPr>
    </w:p>
    <w:tbl>
      <w:tblPr>
        <w:tblStyle w:val="TableGrid"/>
        <w:tblW w:w="9360" w:type="dxa"/>
        <w:jc w:val="center"/>
        <w:tblLook w:val="04A0" w:firstRow="1" w:lastRow="0" w:firstColumn="1" w:lastColumn="0" w:noHBand="0" w:noVBand="1"/>
      </w:tblPr>
      <w:tblGrid>
        <w:gridCol w:w="571"/>
        <w:gridCol w:w="268"/>
        <w:gridCol w:w="7081"/>
        <w:gridCol w:w="270"/>
        <w:gridCol w:w="1170"/>
      </w:tblGrid>
      <w:tr w:rsidR="00CF5C4E" w:rsidRPr="008D0300" w14:paraId="42265FAA" w14:textId="77777777" w:rsidTr="00DB410C">
        <w:trPr>
          <w:cantSplit/>
          <w:trHeight w:val="411"/>
          <w:tblHeader/>
          <w:jc w:val="center"/>
        </w:trPr>
        <w:tc>
          <w:tcPr>
            <w:tcW w:w="571" w:type="dxa"/>
            <w:tcBorders>
              <w:top w:val="single" w:sz="12" w:space="0" w:color="auto"/>
              <w:left w:val="nil"/>
              <w:bottom w:val="single" w:sz="4" w:space="0" w:color="auto"/>
              <w:right w:val="nil"/>
            </w:tcBorders>
            <w:vAlign w:val="center"/>
          </w:tcPr>
          <w:p w14:paraId="794706A2" w14:textId="77777777" w:rsidR="00CF5C4E" w:rsidRDefault="00CF5C4E" w:rsidP="00A75000">
            <w:pPr>
              <w:keepNext/>
              <w:rPr>
                <w:rFonts w:ascii="Arial" w:hAnsi="Arial" w:cs="Arial"/>
                <w:b/>
                <w:sz w:val="22"/>
                <w:szCs w:val="22"/>
              </w:rPr>
            </w:pPr>
            <w:r>
              <w:rPr>
                <w:rFonts w:ascii="Arial" w:hAnsi="Arial" w:cs="Arial"/>
                <w:b/>
                <w:sz w:val="22"/>
                <w:szCs w:val="22"/>
              </w:rPr>
              <w:t>No.</w:t>
            </w:r>
          </w:p>
        </w:tc>
        <w:tc>
          <w:tcPr>
            <w:tcW w:w="268" w:type="dxa"/>
            <w:tcBorders>
              <w:top w:val="single" w:sz="12" w:space="0" w:color="auto"/>
              <w:left w:val="nil"/>
              <w:bottom w:val="nil"/>
              <w:right w:val="nil"/>
            </w:tcBorders>
          </w:tcPr>
          <w:p w14:paraId="34D67727" w14:textId="77777777" w:rsidR="00CF5C4E" w:rsidRDefault="00CF5C4E" w:rsidP="00A75000">
            <w:pPr>
              <w:keepNext/>
              <w:rPr>
                <w:rFonts w:ascii="Arial" w:hAnsi="Arial" w:cs="Arial"/>
                <w:b/>
                <w:sz w:val="22"/>
                <w:szCs w:val="22"/>
              </w:rPr>
            </w:pPr>
          </w:p>
        </w:tc>
        <w:tc>
          <w:tcPr>
            <w:tcW w:w="7081" w:type="dxa"/>
            <w:tcBorders>
              <w:top w:val="single" w:sz="12" w:space="0" w:color="auto"/>
              <w:left w:val="nil"/>
              <w:bottom w:val="single" w:sz="4" w:space="0" w:color="auto"/>
              <w:right w:val="nil"/>
            </w:tcBorders>
            <w:shd w:val="clear" w:color="auto" w:fill="auto"/>
            <w:vAlign w:val="center"/>
          </w:tcPr>
          <w:p w14:paraId="22A5E837" w14:textId="77777777" w:rsidR="00CF5C4E" w:rsidRPr="008D0300" w:rsidRDefault="00CF5C4E" w:rsidP="00A75000">
            <w:pPr>
              <w:keepNext/>
              <w:rPr>
                <w:rFonts w:ascii="Arial" w:hAnsi="Arial" w:cs="Arial"/>
                <w:b/>
                <w:sz w:val="22"/>
                <w:szCs w:val="22"/>
              </w:rPr>
            </w:pPr>
            <w:r>
              <w:rPr>
                <w:rFonts w:ascii="Arial" w:hAnsi="Arial" w:cs="Arial"/>
                <w:b/>
                <w:sz w:val="22"/>
                <w:szCs w:val="22"/>
              </w:rPr>
              <w:t>Descriptions</w:t>
            </w:r>
          </w:p>
        </w:tc>
        <w:tc>
          <w:tcPr>
            <w:tcW w:w="270" w:type="dxa"/>
            <w:tcBorders>
              <w:top w:val="single" w:sz="12" w:space="0" w:color="auto"/>
              <w:left w:val="nil"/>
              <w:bottom w:val="nil"/>
              <w:right w:val="nil"/>
            </w:tcBorders>
          </w:tcPr>
          <w:p w14:paraId="51CA3FAD" w14:textId="77777777" w:rsidR="00CF5C4E" w:rsidRDefault="00CF5C4E" w:rsidP="00A75000">
            <w:pPr>
              <w:keepNext/>
              <w:jc w:val="center"/>
              <w:rPr>
                <w:rFonts w:ascii="Arial" w:hAnsi="Arial" w:cs="Arial"/>
                <w:b/>
                <w:sz w:val="22"/>
                <w:szCs w:val="22"/>
              </w:rPr>
            </w:pPr>
          </w:p>
        </w:tc>
        <w:tc>
          <w:tcPr>
            <w:tcW w:w="1170" w:type="dxa"/>
            <w:tcBorders>
              <w:top w:val="single" w:sz="12" w:space="0" w:color="auto"/>
              <w:left w:val="nil"/>
              <w:bottom w:val="single" w:sz="2" w:space="0" w:color="auto"/>
              <w:right w:val="single" w:sz="2" w:space="0" w:color="FFFFFF" w:themeColor="background1"/>
            </w:tcBorders>
            <w:vAlign w:val="center"/>
          </w:tcPr>
          <w:p w14:paraId="56F9A471" w14:textId="77777777" w:rsidR="00CF5C4E" w:rsidRPr="008D0300" w:rsidRDefault="00CF5C4E" w:rsidP="00A75000">
            <w:pPr>
              <w:keepNext/>
              <w:jc w:val="center"/>
              <w:rPr>
                <w:rFonts w:ascii="Arial" w:hAnsi="Arial" w:cs="Arial"/>
                <w:b/>
                <w:sz w:val="22"/>
                <w:szCs w:val="22"/>
              </w:rPr>
            </w:pPr>
            <w:r>
              <w:rPr>
                <w:rFonts w:ascii="Arial" w:hAnsi="Arial" w:cs="Arial"/>
                <w:b/>
                <w:sz w:val="22"/>
                <w:szCs w:val="22"/>
              </w:rPr>
              <w:t>Amount</w:t>
            </w:r>
          </w:p>
        </w:tc>
      </w:tr>
      <w:tr w:rsidR="00CF5C4E" w:rsidRPr="008D0300" w14:paraId="097F204E" w14:textId="77777777" w:rsidTr="00DB410C">
        <w:trPr>
          <w:cantSplit/>
          <w:jc w:val="center"/>
        </w:trPr>
        <w:tc>
          <w:tcPr>
            <w:tcW w:w="571" w:type="dxa"/>
            <w:tcBorders>
              <w:left w:val="nil"/>
              <w:bottom w:val="nil"/>
              <w:right w:val="nil"/>
            </w:tcBorders>
          </w:tcPr>
          <w:p w14:paraId="5530C3B7" w14:textId="77777777" w:rsidR="00CF5C4E" w:rsidRDefault="00CF5C4E" w:rsidP="00DB410C">
            <w:pPr>
              <w:rPr>
                <w:rFonts w:ascii="Arial" w:hAnsi="Arial" w:cs="Arial"/>
                <w:sz w:val="22"/>
                <w:szCs w:val="22"/>
              </w:rPr>
            </w:pPr>
            <w:r>
              <w:rPr>
                <w:rFonts w:ascii="Arial" w:hAnsi="Arial" w:cs="Arial"/>
                <w:sz w:val="22"/>
                <w:szCs w:val="22"/>
              </w:rPr>
              <w:t>1</w:t>
            </w:r>
          </w:p>
        </w:tc>
        <w:tc>
          <w:tcPr>
            <w:tcW w:w="268" w:type="dxa"/>
            <w:tcBorders>
              <w:top w:val="nil"/>
              <w:left w:val="nil"/>
              <w:bottom w:val="nil"/>
              <w:right w:val="nil"/>
            </w:tcBorders>
          </w:tcPr>
          <w:p w14:paraId="4AD11DD8" w14:textId="77777777" w:rsidR="00CF5C4E" w:rsidRDefault="00CF5C4E" w:rsidP="00DB410C">
            <w:pPr>
              <w:rPr>
                <w:rFonts w:ascii="Arial" w:hAnsi="Arial" w:cs="Arial"/>
                <w:sz w:val="22"/>
                <w:szCs w:val="22"/>
              </w:rPr>
            </w:pPr>
          </w:p>
        </w:tc>
        <w:tc>
          <w:tcPr>
            <w:tcW w:w="7081" w:type="dxa"/>
            <w:tcBorders>
              <w:left w:val="nil"/>
              <w:bottom w:val="nil"/>
              <w:right w:val="nil"/>
            </w:tcBorders>
            <w:tcMar>
              <w:top w:w="72" w:type="dxa"/>
              <w:left w:w="115" w:type="dxa"/>
              <w:bottom w:w="72" w:type="dxa"/>
              <w:right w:w="115" w:type="dxa"/>
            </w:tcMar>
          </w:tcPr>
          <w:p w14:paraId="5372C38E" w14:textId="4B414DBF" w:rsidR="00CF5C4E" w:rsidRPr="008D0300" w:rsidRDefault="007568C6" w:rsidP="00DB410C">
            <w:pPr>
              <w:rPr>
                <w:rFonts w:ascii="Arial" w:hAnsi="Arial" w:cs="Arial"/>
                <w:sz w:val="22"/>
                <w:szCs w:val="22"/>
              </w:rPr>
            </w:pPr>
            <w:r>
              <w:rPr>
                <w:rFonts w:ascii="Arial" w:hAnsi="Arial" w:cs="Arial"/>
                <w:sz w:val="22"/>
                <w:szCs w:val="22"/>
              </w:rPr>
              <w:t>HCD:</w:t>
            </w:r>
            <w:r w:rsidR="00AE05DC">
              <w:rPr>
                <w:rFonts w:ascii="Arial" w:hAnsi="Arial" w:cs="Arial"/>
                <w:sz w:val="22"/>
                <w:szCs w:val="22"/>
              </w:rPr>
              <w:t xml:space="preserve"> </w:t>
            </w:r>
            <w:r w:rsidR="002B7FD1">
              <w:rPr>
                <w:rFonts w:ascii="Arial" w:hAnsi="Arial" w:cs="Arial"/>
                <w:sz w:val="22"/>
                <w:szCs w:val="22"/>
              </w:rPr>
              <w:t>E</w:t>
            </w:r>
            <w:r w:rsidR="00F93D47" w:rsidRPr="00F93D47">
              <w:rPr>
                <w:rFonts w:ascii="Arial" w:hAnsi="Arial" w:cs="Arial"/>
                <w:sz w:val="22"/>
                <w:szCs w:val="22"/>
              </w:rPr>
              <w:t xml:space="preserve">mergency shelter </w:t>
            </w:r>
            <w:r w:rsidR="002B7FD1">
              <w:rPr>
                <w:rFonts w:ascii="Arial" w:hAnsi="Arial" w:cs="Arial"/>
                <w:sz w:val="22"/>
                <w:szCs w:val="22"/>
              </w:rPr>
              <w:t>expenditures</w:t>
            </w:r>
            <w:r w:rsidR="00F93D47" w:rsidRPr="00F93D47">
              <w:rPr>
                <w:rFonts w:ascii="Arial" w:hAnsi="Arial" w:cs="Arial"/>
                <w:sz w:val="22"/>
                <w:szCs w:val="22"/>
              </w:rPr>
              <w:t xml:space="preserve"> to address </w:t>
            </w:r>
            <w:r w:rsidR="00464F86">
              <w:rPr>
                <w:rFonts w:ascii="Arial" w:hAnsi="Arial" w:cs="Arial"/>
                <w:sz w:val="22"/>
                <w:szCs w:val="22"/>
              </w:rPr>
              <w:t>funding gaps for emergency both existing and new shelters using Community Development Block Grants (CDBG)</w:t>
            </w:r>
            <w:r w:rsidR="006F36DA">
              <w:rPr>
                <w:rFonts w:ascii="Arial" w:hAnsi="Arial" w:cs="Arial"/>
                <w:sz w:val="22"/>
                <w:szCs w:val="22"/>
              </w:rPr>
              <w:t xml:space="preserve"> </w:t>
            </w:r>
            <w:r w:rsidR="00105D7E">
              <w:rPr>
                <w:rFonts w:ascii="Arial" w:hAnsi="Arial" w:cs="Arial"/>
                <w:sz w:val="22"/>
                <w:szCs w:val="22"/>
              </w:rPr>
              <w:t xml:space="preserve">grants. </w:t>
            </w:r>
            <w:r w:rsidR="00B5465C">
              <w:rPr>
                <w:rFonts w:ascii="Arial" w:hAnsi="Arial" w:cs="Arial"/>
                <w:sz w:val="22"/>
                <w:szCs w:val="22"/>
              </w:rPr>
              <w:t>CDBG</w:t>
            </w:r>
            <w:r w:rsidR="00B5465C" w:rsidRPr="00B5465C">
              <w:rPr>
                <w:rFonts w:ascii="Arial" w:hAnsi="Arial" w:cs="Arial"/>
                <w:sz w:val="22"/>
                <w:szCs w:val="22"/>
              </w:rPr>
              <w:t xml:space="preserve"> funds are administered in accordance with an Interlocal Cooperative Agreement and programmatic recommendations will be presented to the Joint Recommendations Committee (JRC) for review and approval</w:t>
            </w:r>
            <w:r w:rsidR="009B72EC">
              <w:rPr>
                <w:rStyle w:val="FootnoteReference"/>
                <w:rFonts w:ascii="Arial" w:hAnsi="Arial" w:cs="Arial"/>
                <w:sz w:val="22"/>
                <w:szCs w:val="22"/>
              </w:rPr>
              <w:footnoteReference w:id="20"/>
            </w:r>
            <w:r w:rsidR="008A291E" w:rsidRPr="008A291E">
              <w:rPr>
                <w:rFonts w:ascii="Arial" w:hAnsi="Arial" w:cs="Arial"/>
                <w:sz w:val="22"/>
                <w:szCs w:val="22"/>
              </w:rPr>
              <w:t>.</w:t>
            </w:r>
          </w:p>
        </w:tc>
        <w:tc>
          <w:tcPr>
            <w:tcW w:w="270" w:type="dxa"/>
            <w:tcBorders>
              <w:top w:val="nil"/>
              <w:left w:val="nil"/>
              <w:bottom w:val="nil"/>
              <w:right w:val="nil"/>
            </w:tcBorders>
          </w:tcPr>
          <w:p w14:paraId="74C5017D" w14:textId="77777777" w:rsidR="00CF5C4E" w:rsidRDefault="00CF5C4E" w:rsidP="00DB410C">
            <w:pPr>
              <w:jc w:val="right"/>
              <w:rPr>
                <w:rFonts w:ascii="Arial" w:hAnsi="Arial" w:cs="Arial"/>
                <w:sz w:val="22"/>
                <w:szCs w:val="22"/>
              </w:rPr>
            </w:pPr>
          </w:p>
        </w:tc>
        <w:tc>
          <w:tcPr>
            <w:tcW w:w="1170" w:type="dxa"/>
            <w:tcBorders>
              <w:top w:val="single" w:sz="2" w:space="0" w:color="auto"/>
              <w:left w:val="nil"/>
              <w:bottom w:val="nil"/>
              <w:right w:val="single" w:sz="2" w:space="0" w:color="FFFFFF" w:themeColor="background1"/>
            </w:tcBorders>
            <w:tcMar>
              <w:top w:w="72" w:type="dxa"/>
              <w:left w:w="115" w:type="dxa"/>
              <w:bottom w:w="72" w:type="dxa"/>
              <w:right w:w="115" w:type="dxa"/>
            </w:tcMar>
          </w:tcPr>
          <w:p w14:paraId="44D70F9F" w14:textId="022025EC" w:rsidR="00CF5C4E" w:rsidRPr="008D0300" w:rsidRDefault="00CF5C4E" w:rsidP="00DB410C">
            <w:pPr>
              <w:jc w:val="right"/>
              <w:rPr>
                <w:rFonts w:ascii="Arial" w:hAnsi="Arial" w:cs="Arial"/>
                <w:sz w:val="22"/>
                <w:szCs w:val="22"/>
              </w:rPr>
            </w:pPr>
            <w:r>
              <w:rPr>
                <w:rFonts w:ascii="Arial" w:hAnsi="Arial" w:cs="Arial"/>
                <w:sz w:val="22"/>
                <w:szCs w:val="22"/>
              </w:rPr>
              <w:t>$</w:t>
            </w:r>
            <w:r w:rsidR="00AE05DC">
              <w:rPr>
                <w:rFonts w:ascii="Arial" w:hAnsi="Arial" w:cs="Arial"/>
                <w:sz w:val="22"/>
                <w:szCs w:val="22"/>
              </w:rPr>
              <w:t>7.2</w:t>
            </w:r>
            <w:r>
              <w:rPr>
                <w:rFonts w:ascii="Arial" w:hAnsi="Arial" w:cs="Arial"/>
                <w:sz w:val="22"/>
                <w:szCs w:val="22"/>
              </w:rPr>
              <w:t xml:space="preserve"> M</w:t>
            </w:r>
          </w:p>
        </w:tc>
      </w:tr>
      <w:tr w:rsidR="00CF5C4E" w:rsidRPr="008D0300" w14:paraId="22B5A6DF" w14:textId="77777777" w:rsidTr="00DB410C">
        <w:trPr>
          <w:cantSplit/>
          <w:jc w:val="center"/>
        </w:trPr>
        <w:tc>
          <w:tcPr>
            <w:tcW w:w="571" w:type="dxa"/>
            <w:tcBorders>
              <w:top w:val="nil"/>
              <w:left w:val="nil"/>
              <w:bottom w:val="nil"/>
              <w:right w:val="nil"/>
            </w:tcBorders>
          </w:tcPr>
          <w:p w14:paraId="6D070622" w14:textId="77777777" w:rsidR="00CF5C4E" w:rsidRDefault="00CF5C4E" w:rsidP="00DB410C">
            <w:pPr>
              <w:rPr>
                <w:rFonts w:ascii="Arial" w:hAnsi="Arial" w:cs="Arial"/>
                <w:sz w:val="22"/>
                <w:szCs w:val="22"/>
              </w:rPr>
            </w:pPr>
            <w:r>
              <w:rPr>
                <w:rFonts w:ascii="Arial" w:hAnsi="Arial" w:cs="Arial"/>
                <w:sz w:val="22"/>
                <w:szCs w:val="22"/>
              </w:rPr>
              <w:t>2</w:t>
            </w:r>
          </w:p>
        </w:tc>
        <w:tc>
          <w:tcPr>
            <w:tcW w:w="268" w:type="dxa"/>
            <w:tcBorders>
              <w:top w:val="nil"/>
              <w:left w:val="nil"/>
              <w:bottom w:val="nil"/>
              <w:right w:val="nil"/>
            </w:tcBorders>
          </w:tcPr>
          <w:p w14:paraId="4183303A" w14:textId="77777777" w:rsidR="00CF5C4E" w:rsidRDefault="00CF5C4E"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60DDEDDF" w14:textId="34874697" w:rsidR="00CF5C4E" w:rsidRDefault="00C44DAB" w:rsidP="00DB410C">
            <w:pPr>
              <w:rPr>
                <w:rFonts w:ascii="Arial" w:hAnsi="Arial" w:cs="Arial"/>
                <w:sz w:val="22"/>
                <w:szCs w:val="22"/>
              </w:rPr>
            </w:pPr>
            <w:r>
              <w:rPr>
                <w:rFonts w:ascii="Arial" w:hAnsi="Arial" w:cs="Arial"/>
                <w:sz w:val="22"/>
                <w:szCs w:val="22"/>
              </w:rPr>
              <w:t xml:space="preserve">HCD: </w:t>
            </w:r>
            <w:r w:rsidR="003E4ADC">
              <w:rPr>
                <w:rFonts w:ascii="Arial" w:hAnsi="Arial" w:cs="Arial"/>
                <w:sz w:val="22"/>
                <w:szCs w:val="22"/>
              </w:rPr>
              <w:t>Using federal HOME grants, s</w:t>
            </w:r>
            <w:r w:rsidR="00AC4AE9" w:rsidRPr="00AC4AE9">
              <w:rPr>
                <w:rFonts w:ascii="Arial" w:hAnsi="Arial" w:cs="Arial"/>
                <w:sz w:val="22"/>
                <w:szCs w:val="22"/>
              </w:rPr>
              <w:t>upport people experiencing or at risk of experiencing homelessness</w:t>
            </w:r>
            <w:r w:rsidR="003E4ADC">
              <w:rPr>
                <w:rFonts w:ascii="Arial" w:hAnsi="Arial" w:cs="Arial"/>
                <w:sz w:val="22"/>
                <w:szCs w:val="22"/>
              </w:rPr>
              <w:t xml:space="preserve"> by </w:t>
            </w:r>
            <w:r w:rsidR="00AC4AE9" w:rsidRPr="00AC4AE9">
              <w:rPr>
                <w:rFonts w:ascii="Arial" w:hAnsi="Arial" w:cs="Arial"/>
                <w:sz w:val="22"/>
                <w:szCs w:val="22"/>
              </w:rPr>
              <w:t>expand</w:t>
            </w:r>
            <w:r w:rsidR="003E4ADC">
              <w:rPr>
                <w:rFonts w:ascii="Arial" w:hAnsi="Arial" w:cs="Arial"/>
                <w:sz w:val="22"/>
                <w:szCs w:val="22"/>
              </w:rPr>
              <w:t>ing</w:t>
            </w:r>
            <w:r w:rsidR="00AC4AE9" w:rsidRPr="00AC4AE9">
              <w:rPr>
                <w:rFonts w:ascii="Arial" w:hAnsi="Arial" w:cs="Arial"/>
                <w:sz w:val="22"/>
                <w:szCs w:val="22"/>
              </w:rPr>
              <w:t xml:space="preserve"> existing programmatic uses to support the development of affordable and supportive housing, supportive services, and acquisition and development of non-congregate shelter units.</w:t>
            </w:r>
            <w:r w:rsidR="003E4ADC">
              <w:rPr>
                <w:rFonts w:ascii="Arial" w:hAnsi="Arial" w:cs="Arial"/>
                <w:sz w:val="22"/>
                <w:szCs w:val="22"/>
              </w:rPr>
              <w:t xml:space="preserve"> </w:t>
            </w:r>
            <w:r w:rsidR="00D8680A" w:rsidRPr="00E31948">
              <w:rPr>
                <w:rFonts w:ascii="Arial" w:hAnsi="Arial" w:cs="Arial"/>
                <w:color w:val="C0504D" w:themeColor="accent2"/>
                <w:sz w:val="22"/>
                <w:szCs w:val="22"/>
              </w:rPr>
              <w:t>HOME</w:t>
            </w:r>
            <w:r w:rsidR="006805CA" w:rsidRPr="00E31948">
              <w:rPr>
                <w:rFonts w:ascii="Arial" w:hAnsi="Arial" w:cs="Arial"/>
                <w:color w:val="C0504D" w:themeColor="accent2"/>
                <w:sz w:val="22"/>
                <w:szCs w:val="22"/>
              </w:rPr>
              <w:t xml:space="preserve"> </w:t>
            </w:r>
            <w:r w:rsidR="006805CA" w:rsidRPr="00B5465C">
              <w:rPr>
                <w:rFonts w:ascii="Arial" w:hAnsi="Arial" w:cs="Arial"/>
                <w:sz w:val="22"/>
                <w:szCs w:val="22"/>
              </w:rPr>
              <w:t>funds are administered in accordance with an Interlocal Cooperative Agreement and programmatic recommendations will be presented to the Joint Recommendations Committee (JRC) for review and approval</w:t>
            </w:r>
            <w:r w:rsidR="003E4ADC">
              <w:rPr>
                <w:rStyle w:val="FootnoteReference"/>
                <w:rFonts w:ascii="Arial" w:hAnsi="Arial" w:cs="Arial"/>
                <w:sz w:val="22"/>
                <w:szCs w:val="22"/>
              </w:rPr>
              <w:footnoteReference w:id="21"/>
            </w:r>
            <w:r w:rsidR="003E4ADC" w:rsidRPr="008A291E">
              <w:rPr>
                <w:rFonts w:ascii="Arial" w:hAnsi="Arial" w:cs="Arial"/>
                <w:sz w:val="22"/>
                <w:szCs w:val="22"/>
              </w:rPr>
              <w:t>.</w:t>
            </w:r>
          </w:p>
        </w:tc>
        <w:tc>
          <w:tcPr>
            <w:tcW w:w="270" w:type="dxa"/>
            <w:tcBorders>
              <w:top w:val="nil"/>
              <w:left w:val="nil"/>
              <w:bottom w:val="nil"/>
              <w:right w:val="nil"/>
            </w:tcBorders>
          </w:tcPr>
          <w:p w14:paraId="3CFB64D2" w14:textId="77777777" w:rsidR="00CF5C4E" w:rsidRPr="008D0300" w:rsidRDefault="00CF5C4E"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35799D8" w14:textId="130DCF79" w:rsidR="00CF5C4E" w:rsidRDefault="00CF5C4E" w:rsidP="00DB410C">
            <w:pPr>
              <w:jc w:val="right"/>
              <w:rPr>
                <w:rFonts w:ascii="Arial" w:hAnsi="Arial" w:cs="Arial"/>
                <w:sz w:val="22"/>
                <w:szCs w:val="22"/>
              </w:rPr>
            </w:pPr>
            <w:r>
              <w:rPr>
                <w:rFonts w:ascii="Arial" w:hAnsi="Arial" w:cs="Arial"/>
                <w:sz w:val="22"/>
                <w:szCs w:val="22"/>
              </w:rPr>
              <w:t>$1</w:t>
            </w:r>
            <w:r w:rsidR="00291DA3">
              <w:rPr>
                <w:rFonts w:ascii="Arial" w:hAnsi="Arial" w:cs="Arial"/>
                <w:sz w:val="22"/>
                <w:szCs w:val="22"/>
              </w:rPr>
              <w:t>3.8</w:t>
            </w:r>
            <w:r>
              <w:rPr>
                <w:rFonts w:ascii="Arial" w:hAnsi="Arial" w:cs="Arial"/>
                <w:sz w:val="22"/>
                <w:szCs w:val="22"/>
              </w:rPr>
              <w:t xml:space="preserve"> M</w:t>
            </w:r>
          </w:p>
        </w:tc>
      </w:tr>
      <w:tr w:rsidR="00CF5C4E" w:rsidRPr="008D0300" w14:paraId="3FDA35B9" w14:textId="77777777" w:rsidTr="00DB410C">
        <w:trPr>
          <w:cantSplit/>
          <w:jc w:val="center"/>
        </w:trPr>
        <w:tc>
          <w:tcPr>
            <w:tcW w:w="571" w:type="dxa"/>
            <w:tcBorders>
              <w:top w:val="nil"/>
              <w:left w:val="nil"/>
              <w:bottom w:val="nil"/>
              <w:right w:val="nil"/>
            </w:tcBorders>
          </w:tcPr>
          <w:p w14:paraId="2DCF83B7" w14:textId="77777777" w:rsidR="00CF5C4E" w:rsidRDefault="00CF5C4E" w:rsidP="00DB410C">
            <w:pPr>
              <w:rPr>
                <w:rFonts w:ascii="Arial" w:hAnsi="Arial" w:cs="Arial"/>
                <w:sz w:val="22"/>
                <w:szCs w:val="22"/>
              </w:rPr>
            </w:pPr>
            <w:r>
              <w:rPr>
                <w:rFonts w:ascii="Arial" w:hAnsi="Arial" w:cs="Arial"/>
                <w:sz w:val="22"/>
                <w:szCs w:val="22"/>
              </w:rPr>
              <w:t>3</w:t>
            </w:r>
          </w:p>
        </w:tc>
        <w:tc>
          <w:tcPr>
            <w:tcW w:w="268" w:type="dxa"/>
            <w:tcBorders>
              <w:top w:val="nil"/>
              <w:left w:val="nil"/>
              <w:bottom w:val="nil"/>
              <w:right w:val="nil"/>
            </w:tcBorders>
          </w:tcPr>
          <w:p w14:paraId="0CFCE0FF" w14:textId="77777777" w:rsidR="00CF5C4E" w:rsidRDefault="00CF5C4E"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C503E1F" w14:textId="1F477644" w:rsidR="00CF5C4E" w:rsidRDefault="00291DA3" w:rsidP="00DB410C">
            <w:pPr>
              <w:rPr>
                <w:rFonts w:ascii="Arial" w:hAnsi="Arial" w:cs="Arial"/>
                <w:sz w:val="22"/>
                <w:szCs w:val="22"/>
              </w:rPr>
            </w:pPr>
            <w:r>
              <w:rPr>
                <w:rFonts w:ascii="Arial" w:hAnsi="Arial" w:cs="Arial"/>
                <w:sz w:val="22"/>
                <w:szCs w:val="22"/>
              </w:rPr>
              <w:t xml:space="preserve">HCD: </w:t>
            </w:r>
            <w:r w:rsidR="00CD4D54">
              <w:rPr>
                <w:rFonts w:ascii="Arial" w:hAnsi="Arial" w:cs="Arial"/>
                <w:sz w:val="22"/>
                <w:szCs w:val="22"/>
              </w:rPr>
              <w:t>Eviction Prevention and Rental Assistance Program (EPRAP) supported by ARP</w:t>
            </w:r>
            <w:r w:rsidR="00AB01D8">
              <w:rPr>
                <w:rFonts w:ascii="Arial" w:hAnsi="Arial" w:cs="Arial"/>
                <w:sz w:val="22"/>
                <w:szCs w:val="22"/>
              </w:rPr>
              <w:t>A</w:t>
            </w:r>
            <w:r w:rsidR="00CD4D54">
              <w:rPr>
                <w:rFonts w:ascii="Arial" w:hAnsi="Arial" w:cs="Arial"/>
                <w:sz w:val="22"/>
                <w:szCs w:val="22"/>
              </w:rPr>
              <w:t xml:space="preserve"> federal grants</w:t>
            </w:r>
            <w:r w:rsidR="00A329A2">
              <w:rPr>
                <w:rFonts w:ascii="Arial" w:hAnsi="Arial" w:cs="Arial"/>
                <w:sz w:val="22"/>
                <w:szCs w:val="22"/>
              </w:rPr>
              <w:t xml:space="preserve"> </w:t>
            </w:r>
            <w:r w:rsidR="00A329A2" w:rsidRPr="00A329A2">
              <w:rPr>
                <w:rFonts w:ascii="Arial" w:hAnsi="Arial" w:cs="Arial"/>
                <w:color w:val="C0504D" w:themeColor="accent2"/>
                <w:sz w:val="22"/>
                <w:szCs w:val="22"/>
              </w:rPr>
              <w:t>for EPRAP 3.0</w:t>
            </w:r>
            <w:r w:rsidR="00A329A2">
              <w:rPr>
                <w:rFonts w:ascii="Arial" w:hAnsi="Arial" w:cs="Arial"/>
                <w:sz w:val="22"/>
                <w:szCs w:val="22"/>
              </w:rPr>
              <w:t>.</w:t>
            </w:r>
          </w:p>
        </w:tc>
        <w:tc>
          <w:tcPr>
            <w:tcW w:w="270" w:type="dxa"/>
            <w:tcBorders>
              <w:top w:val="nil"/>
              <w:left w:val="nil"/>
              <w:bottom w:val="nil"/>
              <w:right w:val="nil"/>
            </w:tcBorders>
          </w:tcPr>
          <w:p w14:paraId="0D6C20E7" w14:textId="77777777" w:rsidR="00CF5C4E" w:rsidRPr="008D0300" w:rsidRDefault="00CF5C4E"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836F824" w14:textId="1D8BE943" w:rsidR="00CF5C4E" w:rsidRPr="008D0300" w:rsidRDefault="00CF5C4E" w:rsidP="00DB410C">
            <w:pPr>
              <w:jc w:val="right"/>
              <w:rPr>
                <w:rFonts w:ascii="Arial" w:hAnsi="Arial" w:cs="Arial"/>
                <w:sz w:val="22"/>
                <w:szCs w:val="22"/>
              </w:rPr>
            </w:pPr>
            <w:r>
              <w:rPr>
                <w:rFonts w:ascii="Arial" w:hAnsi="Arial" w:cs="Arial"/>
                <w:sz w:val="22"/>
                <w:szCs w:val="22"/>
              </w:rPr>
              <w:t>$</w:t>
            </w:r>
            <w:r w:rsidR="00C92EDA">
              <w:rPr>
                <w:rFonts w:ascii="Arial" w:hAnsi="Arial" w:cs="Arial"/>
                <w:sz w:val="22"/>
                <w:szCs w:val="22"/>
              </w:rPr>
              <w:t>49.6</w:t>
            </w:r>
            <w:r>
              <w:rPr>
                <w:rFonts w:ascii="Arial" w:hAnsi="Arial" w:cs="Arial"/>
                <w:sz w:val="22"/>
                <w:szCs w:val="22"/>
              </w:rPr>
              <w:t xml:space="preserve"> M </w:t>
            </w:r>
          </w:p>
        </w:tc>
      </w:tr>
      <w:tr w:rsidR="00CF5C4E" w:rsidRPr="008D0300" w14:paraId="3DF2F0D8" w14:textId="77777777" w:rsidTr="00DB410C">
        <w:trPr>
          <w:cantSplit/>
          <w:jc w:val="center"/>
        </w:trPr>
        <w:tc>
          <w:tcPr>
            <w:tcW w:w="571" w:type="dxa"/>
            <w:tcBorders>
              <w:top w:val="nil"/>
              <w:left w:val="nil"/>
              <w:bottom w:val="nil"/>
              <w:right w:val="nil"/>
            </w:tcBorders>
          </w:tcPr>
          <w:p w14:paraId="314BE056" w14:textId="77777777" w:rsidR="00CF5C4E" w:rsidRDefault="00CF5C4E" w:rsidP="00DB410C">
            <w:pPr>
              <w:rPr>
                <w:rFonts w:ascii="Arial" w:hAnsi="Arial" w:cs="Arial"/>
                <w:sz w:val="22"/>
                <w:szCs w:val="22"/>
              </w:rPr>
            </w:pPr>
            <w:r>
              <w:rPr>
                <w:rFonts w:ascii="Arial" w:hAnsi="Arial" w:cs="Arial"/>
                <w:sz w:val="22"/>
                <w:szCs w:val="22"/>
              </w:rPr>
              <w:t>4</w:t>
            </w:r>
          </w:p>
        </w:tc>
        <w:tc>
          <w:tcPr>
            <w:tcW w:w="268" w:type="dxa"/>
            <w:tcBorders>
              <w:top w:val="nil"/>
              <w:left w:val="nil"/>
              <w:bottom w:val="nil"/>
              <w:right w:val="nil"/>
            </w:tcBorders>
          </w:tcPr>
          <w:p w14:paraId="46EA0CD2" w14:textId="77777777" w:rsidR="00CF5C4E" w:rsidRDefault="00CF5C4E"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BFABC5E" w14:textId="150D1CD1" w:rsidR="00CF5C4E" w:rsidRDefault="00CD4D54" w:rsidP="00DB410C">
            <w:pPr>
              <w:rPr>
                <w:rFonts w:ascii="Arial" w:hAnsi="Arial" w:cs="Arial"/>
                <w:sz w:val="22"/>
                <w:szCs w:val="22"/>
              </w:rPr>
            </w:pPr>
            <w:r>
              <w:rPr>
                <w:rFonts w:ascii="Arial" w:hAnsi="Arial" w:cs="Arial"/>
                <w:sz w:val="22"/>
                <w:szCs w:val="22"/>
              </w:rPr>
              <w:t xml:space="preserve">HCD: Eviction Prevention and Rental Assistance Program (EPRAP) supported by </w:t>
            </w:r>
            <w:r w:rsidR="001F3BE4" w:rsidRPr="001F3BE4">
              <w:rPr>
                <w:rFonts w:ascii="Arial" w:hAnsi="Arial" w:cs="Arial"/>
                <w:sz w:val="22"/>
                <w:szCs w:val="22"/>
              </w:rPr>
              <w:t>State Disaster Response Account</w:t>
            </w:r>
            <w:r w:rsidR="00A329A2">
              <w:rPr>
                <w:rFonts w:ascii="Arial" w:hAnsi="Arial" w:cs="Arial"/>
                <w:sz w:val="22"/>
                <w:szCs w:val="22"/>
              </w:rPr>
              <w:t xml:space="preserve"> for </w:t>
            </w:r>
            <w:r w:rsidR="00A329A2" w:rsidRPr="00A329A2">
              <w:rPr>
                <w:rFonts w:ascii="Arial" w:hAnsi="Arial" w:cs="Arial"/>
                <w:color w:val="C0504D" w:themeColor="accent2"/>
                <w:sz w:val="22"/>
                <w:szCs w:val="22"/>
              </w:rPr>
              <w:t>EPRAP 1.5</w:t>
            </w:r>
            <w:r w:rsidR="00A329A2">
              <w:rPr>
                <w:rFonts w:ascii="Arial" w:hAnsi="Arial" w:cs="Arial"/>
                <w:sz w:val="22"/>
                <w:szCs w:val="22"/>
              </w:rPr>
              <w:t>.</w:t>
            </w:r>
          </w:p>
        </w:tc>
        <w:tc>
          <w:tcPr>
            <w:tcW w:w="270" w:type="dxa"/>
            <w:tcBorders>
              <w:top w:val="nil"/>
              <w:left w:val="nil"/>
              <w:bottom w:val="nil"/>
              <w:right w:val="nil"/>
            </w:tcBorders>
          </w:tcPr>
          <w:p w14:paraId="7D192116" w14:textId="77777777" w:rsidR="00CF5C4E" w:rsidRPr="008D0300" w:rsidRDefault="00CF5C4E"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48173903" w14:textId="42B219A2" w:rsidR="00CF5C4E" w:rsidRDefault="00CF5C4E" w:rsidP="00DB410C">
            <w:pPr>
              <w:jc w:val="right"/>
              <w:rPr>
                <w:rFonts w:ascii="Arial" w:hAnsi="Arial" w:cs="Arial"/>
                <w:sz w:val="22"/>
                <w:szCs w:val="22"/>
              </w:rPr>
            </w:pPr>
            <w:r>
              <w:rPr>
                <w:rFonts w:ascii="Arial" w:hAnsi="Arial" w:cs="Arial"/>
                <w:sz w:val="22"/>
                <w:szCs w:val="22"/>
              </w:rPr>
              <w:t>$</w:t>
            </w:r>
            <w:r w:rsidR="00877EC3">
              <w:rPr>
                <w:rFonts w:ascii="Arial" w:hAnsi="Arial" w:cs="Arial"/>
                <w:sz w:val="22"/>
                <w:szCs w:val="22"/>
              </w:rPr>
              <w:t>13.2</w:t>
            </w:r>
            <w:r w:rsidR="00C92EDA">
              <w:rPr>
                <w:rFonts w:ascii="Arial" w:hAnsi="Arial" w:cs="Arial"/>
                <w:sz w:val="22"/>
                <w:szCs w:val="22"/>
              </w:rPr>
              <w:t xml:space="preserve"> </w:t>
            </w:r>
            <w:r>
              <w:rPr>
                <w:rFonts w:ascii="Arial" w:hAnsi="Arial" w:cs="Arial"/>
                <w:sz w:val="22"/>
                <w:szCs w:val="22"/>
              </w:rPr>
              <w:t>M</w:t>
            </w:r>
          </w:p>
        </w:tc>
      </w:tr>
      <w:tr w:rsidR="00CF5C4E" w:rsidRPr="008D0300" w14:paraId="344A7546" w14:textId="77777777" w:rsidTr="00DB410C">
        <w:trPr>
          <w:cantSplit/>
          <w:jc w:val="center"/>
        </w:trPr>
        <w:tc>
          <w:tcPr>
            <w:tcW w:w="571" w:type="dxa"/>
            <w:tcBorders>
              <w:top w:val="nil"/>
              <w:left w:val="nil"/>
              <w:bottom w:val="nil"/>
              <w:right w:val="nil"/>
            </w:tcBorders>
          </w:tcPr>
          <w:p w14:paraId="2C0E769F" w14:textId="77777777" w:rsidR="00CF5C4E" w:rsidRDefault="00CF5C4E" w:rsidP="00DB410C">
            <w:pPr>
              <w:rPr>
                <w:rFonts w:ascii="Arial" w:hAnsi="Arial" w:cs="Arial"/>
                <w:sz w:val="22"/>
                <w:szCs w:val="22"/>
              </w:rPr>
            </w:pPr>
            <w:r>
              <w:rPr>
                <w:rFonts w:ascii="Arial" w:hAnsi="Arial" w:cs="Arial"/>
                <w:sz w:val="22"/>
                <w:szCs w:val="22"/>
              </w:rPr>
              <w:t>5</w:t>
            </w:r>
          </w:p>
        </w:tc>
        <w:tc>
          <w:tcPr>
            <w:tcW w:w="268" w:type="dxa"/>
            <w:tcBorders>
              <w:top w:val="nil"/>
              <w:left w:val="nil"/>
              <w:bottom w:val="nil"/>
              <w:right w:val="nil"/>
            </w:tcBorders>
          </w:tcPr>
          <w:p w14:paraId="41E977AC" w14:textId="77777777" w:rsidR="00CF5C4E" w:rsidRDefault="00CF5C4E"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34A0C705" w14:textId="2FF20198" w:rsidR="00CF5C4E" w:rsidRDefault="00D87773" w:rsidP="00DB410C">
            <w:pPr>
              <w:rPr>
                <w:rFonts w:ascii="Arial" w:hAnsi="Arial" w:cs="Arial"/>
                <w:sz w:val="22"/>
                <w:szCs w:val="22"/>
              </w:rPr>
            </w:pPr>
            <w:r>
              <w:rPr>
                <w:rFonts w:ascii="Arial" w:hAnsi="Arial" w:cs="Arial"/>
                <w:sz w:val="22"/>
                <w:szCs w:val="22"/>
              </w:rPr>
              <w:t xml:space="preserve">Public Health: </w:t>
            </w:r>
            <w:r w:rsidR="00D023DA">
              <w:rPr>
                <w:rFonts w:ascii="Arial" w:hAnsi="Arial" w:cs="Arial"/>
                <w:sz w:val="22"/>
                <w:szCs w:val="22"/>
              </w:rPr>
              <w:t xml:space="preserve">Continue support of </w:t>
            </w:r>
            <w:r w:rsidR="000F5766" w:rsidRPr="000F5766">
              <w:rPr>
                <w:rFonts w:ascii="Arial" w:hAnsi="Arial" w:cs="Arial"/>
                <w:sz w:val="22"/>
                <w:szCs w:val="22"/>
              </w:rPr>
              <w:t>COVID-19 mass vaccination program</w:t>
            </w:r>
            <w:r w:rsidR="00D023DA">
              <w:rPr>
                <w:rFonts w:ascii="Arial" w:hAnsi="Arial" w:cs="Arial"/>
                <w:sz w:val="22"/>
                <w:szCs w:val="22"/>
              </w:rPr>
              <w:t xml:space="preserve"> using grants from Washington State Department of Health and FEMA.</w:t>
            </w:r>
          </w:p>
        </w:tc>
        <w:tc>
          <w:tcPr>
            <w:tcW w:w="270" w:type="dxa"/>
            <w:tcBorders>
              <w:top w:val="nil"/>
              <w:left w:val="nil"/>
              <w:bottom w:val="nil"/>
              <w:right w:val="nil"/>
            </w:tcBorders>
          </w:tcPr>
          <w:p w14:paraId="16FFD3E0" w14:textId="77777777" w:rsidR="00CF5C4E" w:rsidRPr="008D0300" w:rsidRDefault="00CF5C4E"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6F6FEFAB" w14:textId="553DE94B" w:rsidR="00CF5C4E" w:rsidRDefault="00CF5C4E" w:rsidP="00DB410C">
            <w:pPr>
              <w:jc w:val="right"/>
              <w:rPr>
                <w:rFonts w:ascii="Arial" w:hAnsi="Arial" w:cs="Arial"/>
                <w:sz w:val="22"/>
                <w:szCs w:val="22"/>
              </w:rPr>
            </w:pPr>
            <w:r>
              <w:rPr>
                <w:rFonts w:ascii="Arial" w:hAnsi="Arial" w:cs="Arial"/>
                <w:sz w:val="22"/>
                <w:szCs w:val="22"/>
              </w:rPr>
              <w:t>$</w:t>
            </w:r>
            <w:r w:rsidR="00D023DA">
              <w:rPr>
                <w:rFonts w:ascii="Arial" w:hAnsi="Arial" w:cs="Arial"/>
                <w:sz w:val="22"/>
                <w:szCs w:val="22"/>
              </w:rPr>
              <w:t>26.4</w:t>
            </w:r>
            <w:r>
              <w:rPr>
                <w:rFonts w:ascii="Arial" w:hAnsi="Arial" w:cs="Arial"/>
                <w:sz w:val="22"/>
                <w:szCs w:val="22"/>
              </w:rPr>
              <w:t xml:space="preserve"> M</w:t>
            </w:r>
          </w:p>
        </w:tc>
      </w:tr>
      <w:tr w:rsidR="00CF5C4E" w:rsidRPr="008D0300" w14:paraId="1B6C8247" w14:textId="77777777" w:rsidTr="00DB410C">
        <w:trPr>
          <w:cantSplit/>
          <w:jc w:val="center"/>
        </w:trPr>
        <w:tc>
          <w:tcPr>
            <w:tcW w:w="571" w:type="dxa"/>
            <w:tcBorders>
              <w:top w:val="nil"/>
              <w:left w:val="nil"/>
              <w:bottom w:val="nil"/>
              <w:right w:val="nil"/>
            </w:tcBorders>
          </w:tcPr>
          <w:p w14:paraId="2781C58A" w14:textId="77777777" w:rsidR="00CF5C4E" w:rsidRDefault="00CF5C4E" w:rsidP="00DB410C">
            <w:pPr>
              <w:rPr>
                <w:rFonts w:ascii="Arial" w:hAnsi="Arial" w:cs="Arial"/>
                <w:sz w:val="22"/>
                <w:szCs w:val="22"/>
              </w:rPr>
            </w:pPr>
            <w:r>
              <w:rPr>
                <w:rFonts w:ascii="Arial" w:hAnsi="Arial" w:cs="Arial"/>
                <w:sz w:val="22"/>
                <w:szCs w:val="22"/>
              </w:rPr>
              <w:t>6</w:t>
            </w:r>
          </w:p>
        </w:tc>
        <w:tc>
          <w:tcPr>
            <w:tcW w:w="268" w:type="dxa"/>
            <w:tcBorders>
              <w:top w:val="nil"/>
              <w:left w:val="nil"/>
              <w:bottom w:val="nil"/>
              <w:right w:val="nil"/>
            </w:tcBorders>
          </w:tcPr>
          <w:p w14:paraId="38840112" w14:textId="77777777" w:rsidR="00CF5C4E" w:rsidRDefault="00CF5C4E"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3B29E362" w14:textId="7CDB3BFF" w:rsidR="00CF5C4E" w:rsidRDefault="00E02C7F" w:rsidP="00DB410C">
            <w:pPr>
              <w:rPr>
                <w:rFonts w:ascii="Arial" w:hAnsi="Arial" w:cs="Arial"/>
                <w:sz w:val="22"/>
                <w:szCs w:val="22"/>
              </w:rPr>
            </w:pPr>
            <w:r>
              <w:rPr>
                <w:rFonts w:ascii="Arial" w:hAnsi="Arial" w:cs="Arial"/>
                <w:sz w:val="22"/>
                <w:szCs w:val="22"/>
              </w:rPr>
              <w:t>Jail Health: Provide COVID-19 v</w:t>
            </w:r>
            <w:r w:rsidRPr="00E02C7F">
              <w:rPr>
                <w:rFonts w:ascii="Arial" w:hAnsi="Arial" w:cs="Arial"/>
                <w:sz w:val="22"/>
                <w:szCs w:val="22"/>
              </w:rPr>
              <w:t xml:space="preserve">accines to incarcerated individuals </w:t>
            </w:r>
            <w:r>
              <w:rPr>
                <w:rFonts w:ascii="Arial" w:hAnsi="Arial" w:cs="Arial"/>
                <w:sz w:val="22"/>
                <w:szCs w:val="22"/>
              </w:rPr>
              <w:t>from</w:t>
            </w:r>
            <w:r w:rsidRPr="00E02C7F">
              <w:rPr>
                <w:rFonts w:ascii="Arial" w:hAnsi="Arial" w:cs="Arial"/>
                <w:sz w:val="22"/>
                <w:szCs w:val="22"/>
              </w:rPr>
              <w:t xml:space="preserve"> April </w:t>
            </w:r>
            <w:r>
              <w:rPr>
                <w:rFonts w:ascii="Arial" w:hAnsi="Arial" w:cs="Arial"/>
                <w:sz w:val="22"/>
                <w:szCs w:val="22"/>
              </w:rPr>
              <w:t>through</w:t>
            </w:r>
            <w:r w:rsidRPr="00E02C7F">
              <w:rPr>
                <w:rFonts w:ascii="Arial" w:hAnsi="Arial" w:cs="Arial"/>
                <w:sz w:val="22"/>
                <w:szCs w:val="22"/>
              </w:rPr>
              <w:t xml:space="preserve"> December 2021</w:t>
            </w:r>
            <w:r w:rsidR="000318A3">
              <w:rPr>
                <w:rFonts w:ascii="Arial" w:hAnsi="Arial" w:cs="Arial"/>
                <w:sz w:val="22"/>
                <w:szCs w:val="22"/>
              </w:rPr>
              <w:t xml:space="preserve"> supported</w:t>
            </w:r>
            <w:r w:rsidRPr="00E02C7F">
              <w:rPr>
                <w:rFonts w:ascii="Arial" w:hAnsi="Arial" w:cs="Arial"/>
                <w:sz w:val="22"/>
                <w:szCs w:val="22"/>
              </w:rPr>
              <w:t xml:space="preserve"> by the </w:t>
            </w:r>
            <w:r w:rsidR="00163554">
              <w:rPr>
                <w:rFonts w:ascii="Arial" w:hAnsi="Arial" w:cs="Arial"/>
                <w:sz w:val="22"/>
                <w:szCs w:val="22"/>
              </w:rPr>
              <w:t>federal</w:t>
            </w:r>
            <w:r w:rsidR="000318A3">
              <w:rPr>
                <w:rFonts w:ascii="Arial" w:hAnsi="Arial" w:cs="Arial"/>
                <w:sz w:val="22"/>
                <w:szCs w:val="22"/>
              </w:rPr>
              <w:t xml:space="preserve"> </w:t>
            </w:r>
            <w:r w:rsidRPr="00E02C7F">
              <w:rPr>
                <w:rFonts w:ascii="Arial" w:hAnsi="Arial" w:cs="Arial"/>
                <w:sz w:val="22"/>
                <w:szCs w:val="22"/>
              </w:rPr>
              <w:t>Vaccine Cares grant.</w:t>
            </w:r>
          </w:p>
        </w:tc>
        <w:tc>
          <w:tcPr>
            <w:tcW w:w="270" w:type="dxa"/>
            <w:tcBorders>
              <w:top w:val="nil"/>
              <w:left w:val="nil"/>
              <w:bottom w:val="nil"/>
              <w:right w:val="nil"/>
            </w:tcBorders>
          </w:tcPr>
          <w:p w14:paraId="51050A41" w14:textId="77777777" w:rsidR="00CF5C4E" w:rsidRPr="008D0300" w:rsidRDefault="00CF5C4E"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49674FC8" w14:textId="5654EB01" w:rsidR="00CF5C4E" w:rsidRDefault="00CF5C4E" w:rsidP="00DB410C">
            <w:pPr>
              <w:jc w:val="right"/>
              <w:rPr>
                <w:rFonts w:ascii="Arial" w:hAnsi="Arial" w:cs="Arial"/>
                <w:sz w:val="22"/>
                <w:szCs w:val="22"/>
              </w:rPr>
            </w:pPr>
            <w:r>
              <w:rPr>
                <w:rFonts w:ascii="Arial" w:hAnsi="Arial" w:cs="Arial"/>
                <w:sz w:val="22"/>
                <w:szCs w:val="22"/>
              </w:rPr>
              <w:t>$</w:t>
            </w:r>
            <w:r w:rsidR="00A61982">
              <w:rPr>
                <w:rFonts w:ascii="Arial" w:hAnsi="Arial" w:cs="Arial"/>
                <w:sz w:val="22"/>
                <w:szCs w:val="22"/>
              </w:rPr>
              <w:t>1.3</w:t>
            </w:r>
            <w:r>
              <w:rPr>
                <w:rFonts w:ascii="Arial" w:hAnsi="Arial" w:cs="Arial"/>
                <w:sz w:val="22"/>
                <w:szCs w:val="22"/>
              </w:rPr>
              <w:t xml:space="preserve"> M</w:t>
            </w:r>
          </w:p>
        </w:tc>
      </w:tr>
      <w:tr w:rsidR="00A61982" w:rsidRPr="008D0300" w14:paraId="05CD2644" w14:textId="77777777" w:rsidTr="00DB410C">
        <w:trPr>
          <w:cantSplit/>
          <w:jc w:val="center"/>
        </w:trPr>
        <w:tc>
          <w:tcPr>
            <w:tcW w:w="571" w:type="dxa"/>
            <w:tcBorders>
              <w:top w:val="nil"/>
              <w:left w:val="nil"/>
              <w:bottom w:val="nil"/>
              <w:right w:val="nil"/>
            </w:tcBorders>
          </w:tcPr>
          <w:p w14:paraId="71461374" w14:textId="2A41C55D" w:rsidR="00A61982" w:rsidRDefault="00A61982" w:rsidP="00DB410C">
            <w:pPr>
              <w:rPr>
                <w:rFonts w:ascii="Arial" w:hAnsi="Arial" w:cs="Arial"/>
                <w:sz w:val="22"/>
                <w:szCs w:val="22"/>
              </w:rPr>
            </w:pPr>
            <w:r>
              <w:rPr>
                <w:rFonts w:ascii="Arial" w:hAnsi="Arial" w:cs="Arial"/>
                <w:sz w:val="22"/>
                <w:szCs w:val="22"/>
              </w:rPr>
              <w:t>7</w:t>
            </w:r>
          </w:p>
        </w:tc>
        <w:tc>
          <w:tcPr>
            <w:tcW w:w="268" w:type="dxa"/>
            <w:tcBorders>
              <w:top w:val="nil"/>
              <w:left w:val="nil"/>
              <w:bottom w:val="nil"/>
              <w:right w:val="nil"/>
            </w:tcBorders>
          </w:tcPr>
          <w:p w14:paraId="28652DFF" w14:textId="77777777" w:rsidR="00A61982" w:rsidRDefault="00A61982"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4CA255FE" w14:textId="27D3E1B4" w:rsidR="00A61982" w:rsidRDefault="001B239C" w:rsidP="00DB410C">
            <w:pPr>
              <w:rPr>
                <w:rFonts w:ascii="Arial" w:hAnsi="Arial" w:cs="Arial"/>
                <w:sz w:val="22"/>
                <w:szCs w:val="22"/>
              </w:rPr>
            </w:pPr>
            <w:r>
              <w:rPr>
                <w:rFonts w:ascii="Arial" w:hAnsi="Arial" w:cs="Arial"/>
                <w:sz w:val="22"/>
                <w:szCs w:val="22"/>
              </w:rPr>
              <w:t>Public Health: Extend public health</w:t>
            </w:r>
            <w:r w:rsidRPr="001B239C">
              <w:rPr>
                <w:rFonts w:ascii="Arial" w:hAnsi="Arial" w:cs="Arial"/>
                <w:sz w:val="22"/>
                <w:szCs w:val="22"/>
              </w:rPr>
              <w:t xml:space="preserve"> response through December 2021.</w:t>
            </w:r>
            <w:r>
              <w:rPr>
                <w:rFonts w:ascii="Arial" w:hAnsi="Arial" w:cs="Arial"/>
                <w:sz w:val="22"/>
                <w:szCs w:val="22"/>
              </w:rPr>
              <w:t xml:space="preserve"> Supported by various </w:t>
            </w:r>
            <w:r w:rsidRPr="001B239C">
              <w:rPr>
                <w:rFonts w:ascii="Arial" w:hAnsi="Arial" w:cs="Arial"/>
                <w:sz w:val="22"/>
                <w:szCs w:val="22"/>
              </w:rPr>
              <w:t xml:space="preserve">grants </w:t>
            </w:r>
            <w:r>
              <w:rPr>
                <w:rFonts w:ascii="Arial" w:hAnsi="Arial" w:cs="Arial"/>
                <w:sz w:val="22"/>
                <w:szCs w:val="22"/>
              </w:rPr>
              <w:t xml:space="preserve">from </w:t>
            </w:r>
            <w:r w:rsidR="00B04B07">
              <w:rPr>
                <w:rFonts w:ascii="Arial" w:hAnsi="Arial" w:cs="Arial"/>
                <w:sz w:val="22"/>
                <w:szCs w:val="22"/>
              </w:rPr>
              <w:t xml:space="preserve">CDC, Vaccine Cares, etc. </w:t>
            </w:r>
            <w:r w:rsidRPr="001B239C">
              <w:rPr>
                <w:rFonts w:ascii="Arial" w:hAnsi="Arial" w:cs="Arial"/>
                <w:sz w:val="22"/>
                <w:szCs w:val="22"/>
              </w:rPr>
              <w:t>and technical adjustments</w:t>
            </w:r>
            <w:r w:rsidR="00B04B07">
              <w:rPr>
                <w:rFonts w:ascii="Arial" w:hAnsi="Arial" w:cs="Arial"/>
                <w:sz w:val="22"/>
                <w:szCs w:val="22"/>
              </w:rPr>
              <w:t>.</w:t>
            </w:r>
          </w:p>
        </w:tc>
        <w:tc>
          <w:tcPr>
            <w:tcW w:w="270" w:type="dxa"/>
            <w:tcBorders>
              <w:top w:val="nil"/>
              <w:left w:val="nil"/>
              <w:bottom w:val="nil"/>
              <w:right w:val="nil"/>
            </w:tcBorders>
          </w:tcPr>
          <w:p w14:paraId="0AC9E09F" w14:textId="77777777" w:rsidR="00A61982" w:rsidRPr="008D0300" w:rsidRDefault="00A61982"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7DBAE416" w14:textId="54CED062" w:rsidR="00A61982" w:rsidRDefault="00B04B07" w:rsidP="00DB410C">
            <w:pPr>
              <w:jc w:val="right"/>
              <w:rPr>
                <w:rFonts w:ascii="Arial" w:hAnsi="Arial" w:cs="Arial"/>
                <w:sz w:val="22"/>
                <w:szCs w:val="22"/>
              </w:rPr>
            </w:pPr>
            <w:r>
              <w:rPr>
                <w:rFonts w:ascii="Arial" w:hAnsi="Arial" w:cs="Arial"/>
                <w:sz w:val="22"/>
                <w:szCs w:val="22"/>
              </w:rPr>
              <w:t>$11.3 M</w:t>
            </w:r>
          </w:p>
        </w:tc>
      </w:tr>
      <w:tr w:rsidR="00B04B07" w:rsidRPr="008D0300" w14:paraId="46638A5D" w14:textId="77777777" w:rsidTr="00DB410C">
        <w:trPr>
          <w:cantSplit/>
          <w:jc w:val="center"/>
        </w:trPr>
        <w:tc>
          <w:tcPr>
            <w:tcW w:w="571" w:type="dxa"/>
            <w:tcBorders>
              <w:top w:val="nil"/>
              <w:left w:val="nil"/>
              <w:bottom w:val="nil"/>
              <w:right w:val="nil"/>
            </w:tcBorders>
          </w:tcPr>
          <w:p w14:paraId="4C5CB979" w14:textId="74CAB564" w:rsidR="00B04B07" w:rsidRDefault="00B04B07" w:rsidP="00DB410C">
            <w:pPr>
              <w:rPr>
                <w:rFonts w:ascii="Arial" w:hAnsi="Arial" w:cs="Arial"/>
                <w:sz w:val="22"/>
                <w:szCs w:val="22"/>
              </w:rPr>
            </w:pPr>
            <w:r>
              <w:rPr>
                <w:rFonts w:ascii="Arial" w:hAnsi="Arial" w:cs="Arial"/>
                <w:sz w:val="22"/>
                <w:szCs w:val="22"/>
              </w:rPr>
              <w:t>8</w:t>
            </w:r>
          </w:p>
        </w:tc>
        <w:tc>
          <w:tcPr>
            <w:tcW w:w="268" w:type="dxa"/>
            <w:tcBorders>
              <w:top w:val="nil"/>
              <w:left w:val="nil"/>
              <w:bottom w:val="nil"/>
              <w:right w:val="nil"/>
            </w:tcBorders>
          </w:tcPr>
          <w:p w14:paraId="1C442542" w14:textId="77777777" w:rsidR="00B04B07" w:rsidRDefault="00B04B07"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D5627B2" w14:textId="6894C2E9" w:rsidR="00B04B07" w:rsidRDefault="008E5637" w:rsidP="00DB410C">
            <w:pPr>
              <w:rPr>
                <w:rFonts w:ascii="Arial" w:hAnsi="Arial" w:cs="Arial"/>
                <w:sz w:val="22"/>
                <w:szCs w:val="22"/>
              </w:rPr>
            </w:pPr>
            <w:r>
              <w:rPr>
                <w:rFonts w:ascii="Arial" w:hAnsi="Arial" w:cs="Arial"/>
                <w:sz w:val="22"/>
                <w:szCs w:val="22"/>
              </w:rPr>
              <w:t>DAJD: Support through the</w:t>
            </w:r>
            <w:r w:rsidRPr="008E5637">
              <w:rPr>
                <w:rFonts w:ascii="Arial" w:hAnsi="Arial" w:cs="Arial"/>
                <w:sz w:val="22"/>
                <w:szCs w:val="22"/>
              </w:rPr>
              <w:t xml:space="preserve"> end of 2021 for previously unbudgeted COVID</w:t>
            </w:r>
            <w:r>
              <w:rPr>
                <w:rFonts w:ascii="Arial" w:hAnsi="Arial" w:cs="Arial"/>
                <w:sz w:val="22"/>
                <w:szCs w:val="22"/>
              </w:rPr>
              <w:t>-19</w:t>
            </w:r>
            <w:r w:rsidRPr="008E5637">
              <w:rPr>
                <w:rFonts w:ascii="Arial" w:hAnsi="Arial" w:cs="Arial"/>
                <w:sz w:val="22"/>
                <w:szCs w:val="22"/>
              </w:rPr>
              <w:t xml:space="preserve"> operating supplies, including specially pre-packaged quarantine meals and personal protective equipment for staff and inmates.</w:t>
            </w:r>
          </w:p>
        </w:tc>
        <w:tc>
          <w:tcPr>
            <w:tcW w:w="270" w:type="dxa"/>
            <w:tcBorders>
              <w:top w:val="nil"/>
              <w:left w:val="nil"/>
              <w:bottom w:val="nil"/>
              <w:right w:val="nil"/>
            </w:tcBorders>
          </w:tcPr>
          <w:p w14:paraId="6D3DC5E2" w14:textId="77777777" w:rsidR="00B04B07" w:rsidRPr="008D0300" w:rsidRDefault="00B04B07"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75DD506E" w14:textId="7FDA39A4" w:rsidR="00B04B07" w:rsidRDefault="008E5637" w:rsidP="00DB410C">
            <w:pPr>
              <w:jc w:val="right"/>
              <w:rPr>
                <w:rFonts w:ascii="Arial" w:hAnsi="Arial" w:cs="Arial"/>
                <w:sz w:val="22"/>
                <w:szCs w:val="22"/>
              </w:rPr>
            </w:pPr>
            <w:r>
              <w:rPr>
                <w:rFonts w:ascii="Arial" w:hAnsi="Arial" w:cs="Arial"/>
                <w:sz w:val="22"/>
                <w:szCs w:val="22"/>
              </w:rPr>
              <w:t>$1.2 M</w:t>
            </w:r>
          </w:p>
        </w:tc>
      </w:tr>
      <w:tr w:rsidR="00B04B07" w:rsidRPr="008D0300" w14:paraId="1B0A4A22" w14:textId="77777777" w:rsidTr="00DB410C">
        <w:trPr>
          <w:cantSplit/>
          <w:jc w:val="center"/>
        </w:trPr>
        <w:tc>
          <w:tcPr>
            <w:tcW w:w="571" w:type="dxa"/>
            <w:tcBorders>
              <w:top w:val="nil"/>
              <w:left w:val="nil"/>
              <w:bottom w:val="nil"/>
              <w:right w:val="nil"/>
            </w:tcBorders>
          </w:tcPr>
          <w:p w14:paraId="1C594F24" w14:textId="71E24242" w:rsidR="00B04B07" w:rsidRDefault="008E5637" w:rsidP="00DB410C">
            <w:pPr>
              <w:rPr>
                <w:rFonts w:ascii="Arial" w:hAnsi="Arial" w:cs="Arial"/>
                <w:sz w:val="22"/>
                <w:szCs w:val="22"/>
              </w:rPr>
            </w:pPr>
            <w:r>
              <w:rPr>
                <w:rFonts w:ascii="Arial" w:hAnsi="Arial" w:cs="Arial"/>
                <w:sz w:val="22"/>
                <w:szCs w:val="22"/>
              </w:rPr>
              <w:t>9</w:t>
            </w:r>
          </w:p>
        </w:tc>
        <w:tc>
          <w:tcPr>
            <w:tcW w:w="268" w:type="dxa"/>
            <w:tcBorders>
              <w:top w:val="nil"/>
              <w:left w:val="nil"/>
              <w:bottom w:val="nil"/>
              <w:right w:val="nil"/>
            </w:tcBorders>
          </w:tcPr>
          <w:p w14:paraId="293DC869" w14:textId="77777777" w:rsidR="00B04B07" w:rsidRDefault="00B04B07"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423E1DB1" w14:textId="6B2D8863" w:rsidR="00B04B07" w:rsidRDefault="00857A38" w:rsidP="00DB410C">
            <w:pPr>
              <w:rPr>
                <w:rFonts w:ascii="Arial" w:hAnsi="Arial" w:cs="Arial"/>
                <w:sz w:val="22"/>
                <w:szCs w:val="22"/>
              </w:rPr>
            </w:pPr>
            <w:r>
              <w:rPr>
                <w:rFonts w:ascii="Arial" w:hAnsi="Arial" w:cs="Arial"/>
                <w:sz w:val="22"/>
                <w:szCs w:val="22"/>
              </w:rPr>
              <w:t xml:space="preserve">KCIT: </w:t>
            </w:r>
            <w:r w:rsidRPr="00857A38">
              <w:rPr>
                <w:rFonts w:ascii="Arial" w:hAnsi="Arial" w:cs="Arial"/>
                <w:sz w:val="22"/>
                <w:szCs w:val="22"/>
              </w:rPr>
              <w:t>cost of 2nd year licenses, namely: Zoom Video Communications for Large County Virtual Meetings ($205K), MS O365 G5 Licenses to support mass vaccination (275 licenses for a total of $166K), Power Platform Licenses for COVID applications ($174K), and Tableau licenses.</w:t>
            </w:r>
          </w:p>
        </w:tc>
        <w:tc>
          <w:tcPr>
            <w:tcW w:w="270" w:type="dxa"/>
            <w:tcBorders>
              <w:top w:val="nil"/>
              <w:left w:val="nil"/>
              <w:bottom w:val="nil"/>
              <w:right w:val="nil"/>
            </w:tcBorders>
          </w:tcPr>
          <w:p w14:paraId="6405D5F5" w14:textId="77777777" w:rsidR="00B04B07" w:rsidRPr="008D0300" w:rsidRDefault="00B04B07"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4EEDFCDB" w14:textId="41DCD532" w:rsidR="00B04B07" w:rsidRDefault="00857A38" w:rsidP="00DB410C">
            <w:pPr>
              <w:jc w:val="right"/>
              <w:rPr>
                <w:rFonts w:ascii="Arial" w:hAnsi="Arial" w:cs="Arial"/>
                <w:sz w:val="22"/>
                <w:szCs w:val="22"/>
              </w:rPr>
            </w:pPr>
            <w:r>
              <w:rPr>
                <w:rFonts w:ascii="Arial" w:hAnsi="Arial" w:cs="Arial"/>
                <w:sz w:val="22"/>
                <w:szCs w:val="22"/>
              </w:rPr>
              <w:t>$0.6 M</w:t>
            </w:r>
          </w:p>
        </w:tc>
      </w:tr>
      <w:tr w:rsidR="00B04B07" w:rsidRPr="008D0300" w14:paraId="2E2A689D" w14:textId="77777777" w:rsidTr="00DB410C">
        <w:trPr>
          <w:cantSplit/>
          <w:jc w:val="center"/>
        </w:trPr>
        <w:tc>
          <w:tcPr>
            <w:tcW w:w="571" w:type="dxa"/>
            <w:tcBorders>
              <w:top w:val="nil"/>
              <w:left w:val="nil"/>
              <w:bottom w:val="nil"/>
              <w:right w:val="nil"/>
            </w:tcBorders>
          </w:tcPr>
          <w:p w14:paraId="7C4CB7F3" w14:textId="1E848B4D" w:rsidR="00B04B07" w:rsidRDefault="00857A38" w:rsidP="00DB410C">
            <w:pPr>
              <w:rPr>
                <w:rFonts w:ascii="Arial" w:hAnsi="Arial" w:cs="Arial"/>
                <w:sz w:val="22"/>
                <w:szCs w:val="22"/>
              </w:rPr>
            </w:pPr>
            <w:r>
              <w:rPr>
                <w:rFonts w:ascii="Arial" w:hAnsi="Arial" w:cs="Arial"/>
                <w:sz w:val="22"/>
                <w:szCs w:val="22"/>
              </w:rPr>
              <w:lastRenderedPageBreak/>
              <w:t>10</w:t>
            </w:r>
          </w:p>
        </w:tc>
        <w:tc>
          <w:tcPr>
            <w:tcW w:w="268" w:type="dxa"/>
            <w:tcBorders>
              <w:top w:val="nil"/>
              <w:left w:val="nil"/>
              <w:bottom w:val="nil"/>
              <w:right w:val="nil"/>
            </w:tcBorders>
          </w:tcPr>
          <w:p w14:paraId="2639DB97" w14:textId="77777777" w:rsidR="00B04B07" w:rsidRDefault="00B04B07"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4AA0281" w14:textId="093C7198" w:rsidR="00B04B07" w:rsidRDefault="00857A38" w:rsidP="00DB410C">
            <w:pPr>
              <w:rPr>
                <w:rFonts w:ascii="Arial" w:hAnsi="Arial" w:cs="Arial"/>
                <w:sz w:val="22"/>
                <w:szCs w:val="22"/>
              </w:rPr>
            </w:pPr>
            <w:r>
              <w:rPr>
                <w:rFonts w:ascii="Arial" w:hAnsi="Arial" w:cs="Arial"/>
                <w:sz w:val="22"/>
                <w:szCs w:val="22"/>
              </w:rPr>
              <w:t xml:space="preserve">KCIT: </w:t>
            </w:r>
            <w:r w:rsidR="00DE23B1" w:rsidRPr="00DE23B1">
              <w:rPr>
                <w:rFonts w:ascii="Arial" w:hAnsi="Arial" w:cs="Arial"/>
                <w:sz w:val="22"/>
                <w:szCs w:val="22"/>
              </w:rPr>
              <w:t>cost of 2nd year workstation leases for laptops used by staff supporting COVID-19 testing and vaccination, as well as other KC employees who needed mobile devices for mandatory telecommuting.</w:t>
            </w:r>
          </w:p>
        </w:tc>
        <w:tc>
          <w:tcPr>
            <w:tcW w:w="270" w:type="dxa"/>
            <w:tcBorders>
              <w:top w:val="nil"/>
              <w:left w:val="nil"/>
              <w:bottom w:val="nil"/>
              <w:right w:val="nil"/>
            </w:tcBorders>
          </w:tcPr>
          <w:p w14:paraId="592ECFC0" w14:textId="77777777" w:rsidR="00B04B07" w:rsidRPr="008D0300" w:rsidRDefault="00B04B07"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73E4DE20" w14:textId="51001FFE" w:rsidR="00B04B07" w:rsidRDefault="00DE23B1" w:rsidP="00DB410C">
            <w:pPr>
              <w:jc w:val="right"/>
              <w:rPr>
                <w:rFonts w:ascii="Arial" w:hAnsi="Arial" w:cs="Arial"/>
                <w:sz w:val="22"/>
                <w:szCs w:val="22"/>
              </w:rPr>
            </w:pPr>
            <w:r>
              <w:rPr>
                <w:rFonts w:ascii="Arial" w:hAnsi="Arial" w:cs="Arial"/>
                <w:sz w:val="22"/>
                <w:szCs w:val="22"/>
              </w:rPr>
              <w:t>$0.3 M</w:t>
            </w:r>
          </w:p>
        </w:tc>
      </w:tr>
      <w:tr w:rsidR="00DE23B1" w:rsidRPr="008D0300" w14:paraId="03B2BA1E" w14:textId="77777777" w:rsidTr="00DB410C">
        <w:trPr>
          <w:cantSplit/>
          <w:jc w:val="center"/>
        </w:trPr>
        <w:tc>
          <w:tcPr>
            <w:tcW w:w="571" w:type="dxa"/>
            <w:tcBorders>
              <w:top w:val="nil"/>
              <w:left w:val="nil"/>
              <w:bottom w:val="nil"/>
              <w:right w:val="nil"/>
            </w:tcBorders>
          </w:tcPr>
          <w:p w14:paraId="1B994FD7" w14:textId="1D63F473" w:rsidR="00DE23B1" w:rsidRDefault="00DE23B1" w:rsidP="00DB410C">
            <w:pPr>
              <w:rPr>
                <w:rFonts w:ascii="Arial" w:hAnsi="Arial" w:cs="Arial"/>
                <w:sz w:val="22"/>
                <w:szCs w:val="22"/>
              </w:rPr>
            </w:pPr>
            <w:r>
              <w:rPr>
                <w:rFonts w:ascii="Arial" w:hAnsi="Arial" w:cs="Arial"/>
                <w:sz w:val="22"/>
                <w:szCs w:val="22"/>
              </w:rPr>
              <w:t>11</w:t>
            </w:r>
          </w:p>
        </w:tc>
        <w:tc>
          <w:tcPr>
            <w:tcW w:w="268" w:type="dxa"/>
            <w:tcBorders>
              <w:top w:val="nil"/>
              <w:left w:val="nil"/>
              <w:bottom w:val="nil"/>
              <w:right w:val="nil"/>
            </w:tcBorders>
          </w:tcPr>
          <w:p w14:paraId="6398A612" w14:textId="77777777" w:rsidR="00DE23B1" w:rsidRDefault="00DE23B1"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227FEDE" w14:textId="2CEACB5A" w:rsidR="00DE23B1" w:rsidRDefault="00DE23B1" w:rsidP="00DB410C">
            <w:pPr>
              <w:rPr>
                <w:rFonts w:ascii="Arial" w:hAnsi="Arial" w:cs="Arial"/>
                <w:sz w:val="22"/>
                <w:szCs w:val="22"/>
              </w:rPr>
            </w:pPr>
            <w:r>
              <w:rPr>
                <w:rFonts w:ascii="Arial" w:hAnsi="Arial" w:cs="Arial"/>
                <w:sz w:val="22"/>
                <w:szCs w:val="22"/>
              </w:rPr>
              <w:t>Various: Technical adjustments related to COVID 7 appropriations.</w:t>
            </w:r>
          </w:p>
        </w:tc>
        <w:tc>
          <w:tcPr>
            <w:tcW w:w="270" w:type="dxa"/>
            <w:tcBorders>
              <w:top w:val="nil"/>
              <w:left w:val="nil"/>
              <w:bottom w:val="nil"/>
              <w:right w:val="nil"/>
            </w:tcBorders>
          </w:tcPr>
          <w:p w14:paraId="03696DEF" w14:textId="77777777" w:rsidR="00DE23B1" w:rsidRPr="008D0300" w:rsidRDefault="00DE23B1"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7EAB10DC" w14:textId="68512C4A" w:rsidR="00DE23B1" w:rsidRDefault="00DE23B1" w:rsidP="00DB410C">
            <w:pPr>
              <w:jc w:val="right"/>
              <w:rPr>
                <w:rFonts w:ascii="Arial" w:hAnsi="Arial" w:cs="Arial"/>
                <w:sz w:val="22"/>
                <w:szCs w:val="22"/>
              </w:rPr>
            </w:pPr>
            <w:r w:rsidRPr="00437E3C">
              <w:rPr>
                <w:rFonts w:ascii="Arial" w:hAnsi="Arial" w:cs="Arial"/>
                <w:color w:val="C0504D" w:themeColor="accent2"/>
                <w:sz w:val="22"/>
                <w:szCs w:val="22"/>
              </w:rPr>
              <w:t>$</w:t>
            </w:r>
            <w:r w:rsidR="00437E3C" w:rsidRPr="00437E3C">
              <w:rPr>
                <w:rFonts w:ascii="Arial" w:hAnsi="Arial" w:cs="Arial"/>
                <w:color w:val="C0504D" w:themeColor="accent2"/>
                <w:sz w:val="22"/>
                <w:szCs w:val="22"/>
              </w:rPr>
              <w:t>7</w:t>
            </w:r>
            <w:r w:rsidRPr="00437E3C">
              <w:rPr>
                <w:rFonts w:ascii="Arial" w:hAnsi="Arial" w:cs="Arial"/>
                <w:color w:val="C0504D" w:themeColor="accent2"/>
                <w:sz w:val="22"/>
                <w:szCs w:val="22"/>
              </w:rPr>
              <w:t>.5</w:t>
            </w:r>
            <w:r>
              <w:rPr>
                <w:rFonts w:ascii="Arial" w:hAnsi="Arial" w:cs="Arial"/>
                <w:sz w:val="22"/>
                <w:szCs w:val="22"/>
              </w:rPr>
              <w:t xml:space="preserve"> M</w:t>
            </w:r>
          </w:p>
        </w:tc>
      </w:tr>
      <w:tr w:rsidR="00CF5C4E" w:rsidRPr="008D0300" w14:paraId="6861FB01" w14:textId="77777777" w:rsidTr="00DB410C">
        <w:trPr>
          <w:cantSplit/>
          <w:jc w:val="center"/>
        </w:trPr>
        <w:tc>
          <w:tcPr>
            <w:tcW w:w="571" w:type="dxa"/>
            <w:tcBorders>
              <w:top w:val="nil"/>
              <w:left w:val="nil"/>
              <w:bottom w:val="single" w:sz="12" w:space="0" w:color="auto"/>
              <w:right w:val="nil"/>
            </w:tcBorders>
          </w:tcPr>
          <w:p w14:paraId="2CCE905F" w14:textId="77777777" w:rsidR="00CF5C4E" w:rsidRPr="008D0300" w:rsidRDefault="00CF5C4E" w:rsidP="00DB410C">
            <w:pPr>
              <w:rPr>
                <w:rFonts w:ascii="Arial" w:hAnsi="Arial" w:cs="Arial"/>
                <w:b/>
                <w:sz w:val="22"/>
                <w:szCs w:val="22"/>
              </w:rPr>
            </w:pPr>
          </w:p>
        </w:tc>
        <w:tc>
          <w:tcPr>
            <w:tcW w:w="268" w:type="dxa"/>
            <w:tcBorders>
              <w:top w:val="nil"/>
              <w:left w:val="nil"/>
              <w:bottom w:val="single" w:sz="12" w:space="0" w:color="auto"/>
              <w:right w:val="nil"/>
            </w:tcBorders>
          </w:tcPr>
          <w:p w14:paraId="0B85574B" w14:textId="77777777" w:rsidR="00CF5C4E" w:rsidRPr="008D0300" w:rsidRDefault="00CF5C4E" w:rsidP="00DB410C">
            <w:pPr>
              <w:rPr>
                <w:rFonts w:ascii="Arial" w:hAnsi="Arial" w:cs="Arial"/>
                <w:b/>
                <w:sz w:val="22"/>
                <w:szCs w:val="22"/>
              </w:rPr>
            </w:pPr>
          </w:p>
        </w:tc>
        <w:tc>
          <w:tcPr>
            <w:tcW w:w="7081" w:type="dxa"/>
            <w:tcBorders>
              <w:top w:val="nil"/>
              <w:left w:val="nil"/>
              <w:bottom w:val="single" w:sz="12" w:space="0" w:color="auto"/>
              <w:right w:val="nil"/>
            </w:tcBorders>
            <w:tcMar>
              <w:top w:w="72" w:type="dxa"/>
              <w:left w:w="115" w:type="dxa"/>
              <w:bottom w:w="72" w:type="dxa"/>
              <w:right w:w="115" w:type="dxa"/>
            </w:tcMar>
          </w:tcPr>
          <w:p w14:paraId="1572965D" w14:textId="77777777" w:rsidR="00CF5C4E" w:rsidRPr="008D0300" w:rsidRDefault="00CF5C4E" w:rsidP="00DB410C">
            <w:pPr>
              <w:rPr>
                <w:rFonts w:ascii="Arial" w:hAnsi="Arial" w:cs="Arial"/>
                <w:b/>
                <w:sz w:val="22"/>
                <w:szCs w:val="22"/>
              </w:rPr>
            </w:pPr>
          </w:p>
        </w:tc>
        <w:tc>
          <w:tcPr>
            <w:tcW w:w="270" w:type="dxa"/>
            <w:tcBorders>
              <w:top w:val="nil"/>
              <w:left w:val="single" w:sz="2" w:space="0" w:color="FFFFFF" w:themeColor="background1"/>
              <w:bottom w:val="single" w:sz="12" w:space="0" w:color="auto"/>
              <w:right w:val="single" w:sz="2" w:space="0" w:color="FFFFFF" w:themeColor="background1"/>
            </w:tcBorders>
          </w:tcPr>
          <w:p w14:paraId="67FF3783" w14:textId="77777777" w:rsidR="00CF5C4E" w:rsidRPr="00B33952" w:rsidRDefault="00CF5C4E" w:rsidP="00DB410C">
            <w:pPr>
              <w:jc w:val="right"/>
              <w:rPr>
                <w:rFonts w:ascii="Arial" w:hAnsi="Arial" w:cs="Arial"/>
                <w:b/>
                <w:sz w:val="22"/>
                <w:szCs w:val="22"/>
              </w:rPr>
            </w:pPr>
          </w:p>
        </w:tc>
        <w:tc>
          <w:tcPr>
            <w:tcW w:w="1170"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4501929A" w14:textId="47475024" w:rsidR="00CF5C4E" w:rsidRPr="00B33952" w:rsidRDefault="00CF5C4E" w:rsidP="00DB410C">
            <w:pPr>
              <w:jc w:val="right"/>
              <w:rPr>
                <w:rFonts w:ascii="Arial" w:hAnsi="Arial" w:cs="Arial"/>
                <w:b/>
                <w:sz w:val="22"/>
                <w:szCs w:val="22"/>
              </w:rPr>
            </w:pPr>
            <w:r w:rsidRPr="00CB54FC">
              <w:rPr>
                <w:rFonts w:ascii="Arial" w:hAnsi="Arial" w:cs="Arial"/>
                <w:b/>
                <w:color w:val="C0504D" w:themeColor="accent2"/>
                <w:sz w:val="22"/>
                <w:szCs w:val="22"/>
              </w:rPr>
              <w:t>$</w:t>
            </w:r>
            <w:r w:rsidR="00DE23B1" w:rsidRPr="00CB54FC">
              <w:rPr>
                <w:rFonts w:ascii="Arial" w:hAnsi="Arial" w:cs="Arial"/>
                <w:b/>
                <w:color w:val="C0504D" w:themeColor="accent2"/>
                <w:sz w:val="22"/>
                <w:szCs w:val="22"/>
              </w:rPr>
              <w:t>13</w:t>
            </w:r>
            <w:r w:rsidR="00CB54FC" w:rsidRPr="00CB54FC">
              <w:rPr>
                <w:rFonts w:ascii="Arial" w:hAnsi="Arial" w:cs="Arial"/>
                <w:b/>
                <w:color w:val="C0504D" w:themeColor="accent2"/>
                <w:sz w:val="22"/>
                <w:szCs w:val="22"/>
              </w:rPr>
              <w:t>2</w:t>
            </w:r>
            <w:r w:rsidR="00DE23B1" w:rsidRPr="00CB54FC">
              <w:rPr>
                <w:rFonts w:ascii="Arial" w:hAnsi="Arial" w:cs="Arial"/>
                <w:b/>
                <w:color w:val="C0504D" w:themeColor="accent2"/>
                <w:sz w:val="22"/>
                <w:szCs w:val="22"/>
              </w:rPr>
              <w:t>.4</w:t>
            </w:r>
            <w:r w:rsidR="00DE23B1">
              <w:rPr>
                <w:rFonts w:ascii="Arial" w:hAnsi="Arial" w:cs="Arial"/>
                <w:b/>
                <w:sz w:val="22"/>
                <w:szCs w:val="22"/>
              </w:rPr>
              <w:t xml:space="preserve"> </w:t>
            </w:r>
            <w:r>
              <w:rPr>
                <w:rFonts w:ascii="Arial" w:hAnsi="Arial" w:cs="Arial"/>
                <w:b/>
                <w:sz w:val="22"/>
                <w:szCs w:val="22"/>
              </w:rPr>
              <w:t>M</w:t>
            </w:r>
          </w:p>
        </w:tc>
      </w:tr>
    </w:tbl>
    <w:p w14:paraId="2C7587BA" w14:textId="11E74622" w:rsidR="00CF5C4E" w:rsidRDefault="00CF5C4E" w:rsidP="00CF5C4E">
      <w:pPr>
        <w:spacing w:line="264" w:lineRule="auto"/>
        <w:jc w:val="both"/>
        <w:rPr>
          <w:rFonts w:ascii="Arial" w:hAnsi="Arial" w:cs="Arial"/>
          <w:bCs/>
          <w:szCs w:val="24"/>
        </w:rPr>
      </w:pPr>
    </w:p>
    <w:p w14:paraId="62894D56" w14:textId="77777777" w:rsidR="0094017B" w:rsidRDefault="0094017B" w:rsidP="004F4850">
      <w:pPr>
        <w:spacing w:line="264" w:lineRule="auto"/>
        <w:jc w:val="both"/>
        <w:rPr>
          <w:rFonts w:ascii="Arial" w:hAnsi="Arial" w:cs="Arial"/>
          <w:bCs/>
          <w:szCs w:val="24"/>
        </w:rPr>
      </w:pPr>
    </w:p>
    <w:p w14:paraId="75719691" w14:textId="32394FF9" w:rsidR="004F4850" w:rsidRDefault="007F077B" w:rsidP="004F4850">
      <w:pPr>
        <w:spacing w:line="264" w:lineRule="auto"/>
        <w:jc w:val="both"/>
        <w:rPr>
          <w:rFonts w:ascii="Arial" w:hAnsi="Arial" w:cs="Arial"/>
          <w:szCs w:val="24"/>
        </w:rPr>
      </w:pPr>
      <w:r w:rsidRPr="007F077B">
        <w:rPr>
          <w:rFonts w:ascii="Arial" w:hAnsi="Arial" w:cs="Arial"/>
          <w:bCs/>
          <w:i/>
          <w:iCs/>
          <w:szCs w:val="24"/>
        </w:rPr>
        <w:t>Public Health: Mass Vaccination Program.</w:t>
      </w:r>
      <w:r>
        <w:rPr>
          <w:rFonts w:ascii="Arial" w:hAnsi="Arial" w:cs="Arial"/>
          <w:bCs/>
          <w:szCs w:val="24"/>
        </w:rPr>
        <w:t xml:space="preserve">  </w:t>
      </w:r>
      <w:r w:rsidR="004F4850" w:rsidRPr="00A37D6B">
        <w:rPr>
          <w:rFonts w:ascii="Arial" w:hAnsi="Arial" w:cs="Arial"/>
          <w:bCs/>
          <w:szCs w:val="24"/>
        </w:rPr>
        <w:t>The two mass vaccination site locations</w:t>
      </w:r>
      <w:r w:rsidR="002E09E0">
        <w:rPr>
          <w:rFonts w:ascii="Arial" w:hAnsi="Arial" w:cs="Arial"/>
          <w:bCs/>
          <w:szCs w:val="24"/>
        </w:rPr>
        <w:t xml:space="preserve"> for the county continue to be located at the</w:t>
      </w:r>
      <w:r w:rsidR="004F4850" w:rsidRPr="00A37D6B">
        <w:rPr>
          <w:rFonts w:ascii="Arial" w:hAnsi="Arial" w:cs="Arial"/>
          <w:bCs/>
          <w:szCs w:val="24"/>
        </w:rPr>
        <w:t xml:space="preserve"> </w:t>
      </w:r>
      <w:r w:rsidR="004F4850" w:rsidRPr="00A37D6B">
        <w:rPr>
          <w:rFonts w:ascii="Arial" w:hAnsi="Arial" w:cs="Arial"/>
          <w:szCs w:val="24"/>
        </w:rPr>
        <w:t xml:space="preserve">accesso ShoWare Center in </w:t>
      </w:r>
      <w:r w:rsidR="00A37D6B">
        <w:rPr>
          <w:rFonts w:ascii="Arial" w:hAnsi="Arial" w:cs="Arial"/>
          <w:szCs w:val="24"/>
        </w:rPr>
        <w:t xml:space="preserve">the City of </w:t>
      </w:r>
      <w:r w:rsidR="004F4850" w:rsidRPr="00A37D6B">
        <w:rPr>
          <w:rFonts w:ascii="Arial" w:hAnsi="Arial" w:cs="Arial"/>
          <w:szCs w:val="24"/>
        </w:rPr>
        <w:t xml:space="preserve">Kent and </w:t>
      </w:r>
      <w:r w:rsidR="00A37D6B">
        <w:rPr>
          <w:rFonts w:ascii="Arial" w:hAnsi="Arial" w:cs="Arial"/>
          <w:szCs w:val="24"/>
        </w:rPr>
        <w:t xml:space="preserve">the </w:t>
      </w:r>
      <w:r w:rsidR="003E1DA6">
        <w:rPr>
          <w:rFonts w:ascii="Arial" w:hAnsi="Arial" w:cs="Arial"/>
          <w:szCs w:val="24"/>
        </w:rPr>
        <w:t>Outlet Collection</w:t>
      </w:r>
      <w:r w:rsidR="004F4850" w:rsidRPr="00A37D6B">
        <w:rPr>
          <w:rFonts w:ascii="Arial" w:hAnsi="Arial" w:cs="Arial"/>
          <w:szCs w:val="24"/>
        </w:rPr>
        <w:t xml:space="preserve"> </w:t>
      </w:r>
      <w:r w:rsidR="003E1DA6">
        <w:rPr>
          <w:rFonts w:ascii="Arial" w:hAnsi="Arial" w:cs="Arial"/>
          <w:szCs w:val="24"/>
        </w:rPr>
        <w:t xml:space="preserve">Seattle, formerly Supermall of the Great Northwest, </w:t>
      </w:r>
      <w:r w:rsidR="004F4850" w:rsidRPr="00A37D6B">
        <w:rPr>
          <w:rFonts w:ascii="Arial" w:hAnsi="Arial" w:cs="Arial"/>
          <w:szCs w:val="24"/>
        </w:rPr>
        <w:t xml:space="preserve">in </w:t>
      </w:r>
      <w:r w:rsidR="00A37D6B">
        <w:rPr>
          <w:rFonts w:ascii="Arial" w:hAnsi="Arial" w:cs="Arial"/>
          <w:szCs w:val="24"/>
        </w:rPr>
        <w:t xml:space="preserve">the City of </w:t>
      </w:r>
      <w:r w:rsidR="004F4850" w:rsidRPr="00A37D6B">
        <w:rPr>
          <w:rFonts w:ascii="Arial" w:hAnsi="Arial" w:cs="Arial"/>
          <w:szCs w:val="24"/>
        </w:rPr>
        <w:t>Auburn</w:t>
      </w:r>
      <w:r w:rsidR="00A37D6B">
        <w:rPr>
          <w:rFonts w:ascii="Arial" w:hAnsi="Arial" w:cs="Arial"/>
          <w:szCs w:val="24"/>
        </w:rPr>
        <w:t xml:space="preserve">. </w:t>
      </w:r>
    </w:p>
    <w:p w14:paraId="54A8F91B" w14:textId="6EFE9617" w:rsidR="003E1DA6" w:rsidRDefault="003E1DA6" w:rsidP="004F4850">
      <w:pPr>
        <w:spacing w:line="264" w:lineRule="auto"/>
        <w:jc w:val="both"/>
        <w:rPr>
          <w:rFonts w:ascii="Arial" w:hAnsi="Arial" w:cs="Arial"/>
          <w:szCs w:val="24"/>
        </w:rPr>
      </w:pPr>
    </w:p>
    <w:p w14:paraId="77CFE719" w14:textId="15FDAC2B" w:rsidR="003E1DA6" w:rsidRPr="00864071" w:rsidRDefault="005102EF" w:rsidP="003E1DA6">
      <w:pPr>
        <w:spacing w:line="264" w:lineRule="auto"/>
        <w:jc w:val="both"/>
        <w:rPr>
          <w:rFonts w:ascii="Arial" w:hAnsi="Arial" w:cs="Arial"/>
          <w:bCs/>
          <w:szCs w:val="24"/>
        </w:rPr>
      </w:pPr>
      <w:r>
        <w:rPr>
          <w:rFonts w:ascii="Arial" w:hAnsi="Arial" w:cs="Arial"/>
          <w:bCs/>
          <w:szCs w:val="24"/>
        </w:rPr>
        <w:t>Through the</w:t>
      </w:r>
      <w:r w:rsidR="003E1DA6" w:rsidRPr="00864071">
        <w:rPr>
          <w:rFonts w:ascii="Arial" w:hAnsi="Arial" w:cs="Arial"/>
          <w:bCs/>
          <w:szCs w:val="24"/>
        </w:rPr>
        <w:t xml:space="preserve"> King County Partnership Vaccination Networ</w:t>
      </w:r>
      <w:r>
        <w:rPr>
          <w:rFonts w:ascii="Arial" w:hAnsi="Arial" w:cs="Arial"/>
          <w:bCs/>
          <w:szCs w:val="24"/>
        </w:rPr>
        <w:t>k, Public Health</w:t>
      </w:r>
      <w:r w:rsidR="003E1DA6" w:rsidRPr="00864071">
        <w:rPr>
          <w:rFonts w:ascii="Arial" w:hAnsi="Arial" w:cs="Arial"/>
          <w:bCs/>
          <w:szCs w:val="24"/>
        </w:rPr>
        <w:t xml:space="preserve"> </w:t>
      </w:r>
      <w:r>
        <w:rPr>
          <w:rFonts w:ascii="Arial" w:hAnsi="Arial" w:cs="Arial"/>
          <w:bCs/>
          <w:szCs w:val="24"/>
        </w:rPr>
        <w:t xml:space="preserve">supports </w:t>
      </w:r>
      <w:r w:rsidR="003E1DA6" w:rsidRPr="00864071">
        <w:rPr>
          <w:rFonts w:ascii="Arial" w:hAnsi="Arial" w:cs="Arial"/>
          <w:bCs/>
          <w:szCs w:val="24"/>
        </w:rPr>
        <w:t>operat</w:t>
      </w:r>
      <w:r>
        <w:rPr>
          <w:rFonts w:ascii="Arial" w:hAnsi="Arial" w:cs="Arial"/>
          <w:bCs/>
          <w:szCs w:val="24"/>
        </w:rPr>
        <w:t>ion of</w:t>
      </w:r>
      <w:r w:rsidR="003E1DA6" w:rsidRPr="00864071">
        <w:rPr>
          <w:rFonts w:ascii="Arial" w:hAnsi="Arial" w:cs="Arial"/>
          <w:bCs/>
          <w:szCs w:val="24"/>
        </w:rPr>
        <w:t xml:space="preserve"> high and medium volume </w:t>
      </w:r>
      <w:r w:rsidR="003E1DA6">
        <w:rPr>
          <w:rFonts w:ascii="Arial" w:hAnsi="Arial" w:cs="Arial"/>
          <w:bCs/>
          <w:szCs w:val="24"/>
        </w:rPr>
        <w:t xml:space="preserve">mass vaccination </w:t>
      </w:r>
      <w:r w:rsidR="003E1DA6" w:rsidRPr="00864071">
        <w:rPr>
          <w:rFonts w:ascii="Arial" w:hAnsi="Arial" w:cs="Arial"/>
          <w:bCs/>
          <w:szCs w:val="24"/>
        </w:rPr>
        <w:t xml:space="preserve">sites. Selection of partners and sites </w:t>
      </w:r>
      <w:r w:rsidR="00CF5C4E">
        <w:rPr>
          <w:rFonts w:ascii="Arial" w:hAnsi="Arial" w:cs="Arial"/>
          <w:bCs/>
          <w:szCs w:val="24"/>
        </w:rPr>
        <w:t>are</w:t>
      </w:r>
      <w:r w:rsidR="003E1DA6" w:rsidRPr="00864071">
        <w:rPr>
          <w:rFonts w:ascii="Arial" w:hAnsi="Arial" w:cs="Arial"/>
          <w:bCs/>
          <w:szCs w:val="24"/>
        </w:rPr>
        <w:t xml:space="preserve"> informed by the following considerations:</w:t>
      </w:r>
    </w:p>
    <w:p w14:paraId="5216717B" w14:textId="6FB98138" w:rsidR="00CF5C4E" w:rsidRDefault="00CF5C4E" w:rsidP="003E1DA6">
      <w:pPr>
        <w:pStyle w:val="ListParagraph0"/>
        <w:numPr>
          <w:ilvl w:val="0"/>
          <w:numId w:val="33"/>
        </w:numPr>
        <w:spacing w:line="264" w:lineRule="auto"/>
        <w:jc w:val="both"/>
        <w:rPr>
          <w:rFonts w:ascii="Arial" w:hAnsi="Arial" w:cs="Arial"/>
          <w:bCs/>
        </w:rPr>
      </w:pPr>
      <w:r>
        <w:rPr>
          <w:rFonts w:ascii="Arial" w:hAnsi="Arial" w:cs="Arial"/>
          <w:bCs/>
        </w:rPr>
        <w:t>o</w:t>
      </w:r>
      <w:r w:rsidR="003E1DA6" w:rsidRPr="00CF5C4E">
        <w:rPr>
          <w:rFonts w:ascii="Arial" w:hAnsi="Arial" w:cs="Arial"/>
          <w:bCs/>
        </w:rPr>
        <w:t xml:space="preserve">verall vaccine supply to </w:t>
      </w:r>
      <w:r>
        <w:rPr>
          <w:rFonts w:ascii="Arial" w:hAnsi="Arial" w:cs="Arial"/>
          <w:bCs/>
        </w:rPr>
        <w:t>the county,</w:t>
      </w:r>
    </w:p>
    <w:p w14:paraId="3CD39EA6" w14:textId="08410693" w:rsidR="00CF5C4E" w:rsidRDefault="003E1DA6" w:rsidP="003E1DA6">
      <w:pPr>
        <w:pStyle w:val="ListParagraph0"/>
        <w:numPr>
          <w:ilvl w:val="0"/>
          <w:numId w:val="33"/>
        </w:numPr>
        <w:spacing w:line="264" w:lineRule="auto"/>
        <w:jc w:val="both"/>
        <w:rPr>
          <w:rFonts w:ascii="Arial" w:hAnsi="Arial" w:cs="Arial"/>
          <w:bCs/>
        </w:rPr>
      </w:pPr>
      <w:r w:rsidRPr="00CF5C4E">
        <w:rPr>
          <w:rFonts w:ascii="Arial" w:hAnsi="Arial" w:cs="Arial"/>
          <w:bCs/>
        </w:rPr>
        <w:t>King County’s Principle for Equitable Vaccine Delivery</w:t>
      </w:r>
      <w:r w:rsidR="00CF5C4E">
        <w:rPr>
          <w:rStyle w:val="FootnoteReference"/>
          <w:rFonts w:ascii="Arial" w:hAnsi="Arial" w:cs="Arial"/>
          <w:bCs/>
        </w:rPr>
        <w:footnoteReference w:id="22"/>
      </w:r>
      <w:r w:rsidR="00CF5C4E">
        <w:rPr>
          <w:rFonts w:ascii="Arial" w:hAnsi="Arial" w:cs="Arial"/>
          <w:bCs/>
        </w:rPr>
        <w:t>,</w:t>
      </w:r>
    </w:p>
    <w:p w14:paraId="6E1CE0A7" w14:textId="77777777" w:rsidR="00CF5C4E" w:rsidRDefault="003E1DA6" w:rsidP="003E1DA6">
      <w:pPr>
        <w:pStyle w:val="ListParagraph0"/>
        <w:numPr>
          <w:ilvl w:val="0"/>
          <w:numId w:val="33"/>
        </w:numPr>
        <w:spacing w:line="264" w:lineRule="auto"/>
        <w:jc w:val="both"/>
        <w:rPr>
          <w:rFonts w:ascii="Arial" w:hAnsi="Arial" w:cs="Arial"/>
          <w:bCs/>
        </w:rPr>
      </w:pPr>
      <w:r w:rsidRPr="00CF5C4E">
        <w:rPr>
          <w:rFonts w:ascii="Arial" w:hAnsi="Arial" w:cs="Arial"/>
          <w:bCs/>
        </w:rPr>
        <w:t>COVID-19 disease and mortality prevalence in the proposed geographic region</w:t>
      </w:r>
      <w:r w:rsidR="00CF5C4E">
        <w:rPr>
          <w:rFonts w:ascii="Arial" w:hAnsi="Arial" w:cs="Arial"/>
          <w:bCs/>
        </w:rPr>
        <w:t>,</w:t>
      </w:r>
    </w:p>
    <w:p w14:paraId="04C375DA" w14:textId="3F4CD6E7" w:rsidR="00CF5C4E" w:rsidRDefault="006E75DE" w:rsidP="003E1DA6">
      <w:pPr>
        <w:pStyle w:val="ListParagraph0"/>
        <w:numPr>
          <w:ilvl w:val="0"/>
          <w:numId w:val="33"/>
        </w:numPr>
        <w:spacing w:line="264" w:lineRule="auto"/>
        <w:jc w:val="both"/>
        <w:rPr>
          <w:rFonts w:ascii="Arial" w:hAnsi="Arial" w:cs="Arial"/>
          <w:bCs/>
        </w:rPr>
      </w:pPr>
      <w:r>
        <w:rPr>
          <w:rFonts w:ascii="Arial" w:hAnsi="Arial" w:cs="Arial"/>
          <w:bCs/>
        </w:rPr>
        <w:t>v</w:t>
      </w:r>
      <w:r w:rsidR="003E1DA6" w:rsidRPr="00CF5C4E">
        <w:rPr>
          <w:rFonts w:ascii="Arial" w:hAnsi="Arial" w:cs="Arial"/>
          <w:bCs/>
        </w:rPr>
        <w:t>accine uptake in the proposed geographic region</w:t>
      </w:r>
      <w:r w:rsidR="00CF5C4E">
        <w:rPr>
          <w:rFonts w:ascii="Arial" w:hAnsi="Arial" w:cs="Arial"/>
          <w:bCs/>
        </w:rPr>
        <w:t>,</w:t>
      </w:r>
    </w:p>
    <w:p w14:paraId="52EA72D5" w14:textId="1D58D12E" w:rsidR="00CF5C4E" w:rsidRDefault="006E75DE" w:rsidP="003E1DA6">
      <w:pPr>
        <w:pStyle w:val="ListParagraph0"/>
        <w:numPr>
          <w:ilvl w:val="0"/>
          <w:numId w:val="33"/>
        </w:numPr>
        <w:spacing w:line="264" w:lineRule="auto"/>
        <w:jc w:val="both"/>
        <w:rPr>
          <w:rFonts w:ascii="Arial" w:hAnsi="Arial" w:cs="Arial"/>
          <w:bCs/>
        </w:rPr>
      </w:pPr>
      <w:r>
        <w:rPr>
          <w:rFonts w:ascii="Arial" w:hAnsi="Arial" w:cs="Arial"/>
          <w:bCs/>
        </w:rPr>
        <w:t>l</w:t>
      </w:r>
      <w:r w:rsidR="003E1DA6" w:rsidRPr="00CF5C4E">
        <w:rPr>
          <w:rFonts w:ascii="Arial" w:hAnsi="Arial" w:cs="Arial"/>
          <w:bCs/>
        </w:rPr>
        <w:t>imited existing community access points for vaccine in the proposed geographic region</w:t>
      </w:r>
      <w:r w:rsidR="00CF5C4E">
        <w:rPr>
          <w:rFonts w:ascii="Arial" w:hAnsi="Arial" w:cs="Arial"/>
          <w:bCs/>
        </w:rPr>
        <w:t>,</w:t>
      </w:r>
    </w:p>
    <w:p w14:paraId="2E68CB48" w14:textId="65ABCC88" w:rsidR="00CF5C4E" w:rsidRDefault="006E75DE" w:rsidP="003E1DA6">
      <w:pPr>
        <w:pStyle w:val="ListParagraph0"/>
        <w:numPr>
          <w:ilvl w:val="0"/>
          <w:numId w:val="33"/>
        </w:numPr>
        <w:spacing w:line="264" w:lineRule="auto"/>
        <w:jc w:val="both"/>
        <w:rPr>
          <w:rFonts w:ascii="Arial" w:hAnsi="Arial" w:cs="Arial"/>
          <w:bCs/>
        </w:rPr>
      </w:pPr>
      <w:r>
        <w:rPr>
          <w:rFonts w:ascii="Arial" w:hAnsi="Arial" w:cs="Arial"/>
          <w:bCs/>
        </w:rPr>
        <w:t>f</w:t>
      </w:r>
      <w:r w:rsidR="003E1DA6" w:rsidRPr="00CF5C4E">
        <w:rPr>
          <w:rFonts w:ascii="Arial" w:hAnsi="Arial" w:cs="Arial"/>
          <w:bCs/>
        </w:rPr>
        <w:t>easibility of proposed site(s)</w:t>
      </w:r>
      <w:r w:rsidR="00CF5C4E">
        <w:rPr>
          <w:rFonts w:ascii="Arial" w:hAnsi="Arial" w:cs="Arial"/>
          <w:bCs/>
        </w:rPr>
        <w:t xml:space="preserve">, and </w:t>
      </w:r>
    </w:p>
    <w:p w14:paraId="4D78FF43" w14:textId="3FC2A704" w:rsidR="003E1DA6" w:rsidRDefault="006E75DE" w:rsidP="003E1DA6">
      <w:pPr>
        <w:pStyle w:val="ListParagraph0"/>
        <w:numPr>
          <w:ilvl w:val="0"/>
          <w:numId w:val="33"/>
        </w:numPr>
        <w:spacing w:line="264" w:lineRule="auto"/>
        <w:jc w:val="both"/>
        <w:rPr>
          <w:rFonts w:ascii="Arial" w:hAnsi="Arial" w:cs="Arial"/>
          <w:bCs/>
        </w:rPr>
      </w:pPr>
      <w:r>
        <w:rPr>
          <w:rFonts w:ascii="Arial" w:hAnsi="Arial" w:cs="Arial"/>
          <w:bCs/>
        </w:rPr>
        <w:t>c</w:t>
      </w:r>
      <w:r w:rsidR="003E1DA6" w:rsidRPr="00CF5C4E">
        <w:rPr>
          <w:rFonts w:ascii="Arial" w:hAnsi="Arial" w:cs="Arial"/>
          <w:bCs/>
        </w:rPr>
        <w:t>apacity of partners who will collaborate to ensure success</w:t>
      </w:r>
      <w:r>
        <w:rPr>
          <w:rFonts w:ascii="Arial" w:hAnsi="Arial" w:cs="Arial"/>
          <w:bCs/>
        </w:rPr>
        <w:t>.</w:t>
      </w:r>
    </w:p>
    <w:p w14:paraId="298E238A" w14:textId="5BF47862" w:rsidR="005102EF" w:rsidRDefault="005102EF" w:rsidP="005102EF">
      <w:pPr>
        <w:spacing w:line="264" w:lineRule="auto"/>
        <w:jc w:val="both"/>
        <w:rPr>
          <w:rFonts w:ascii="Arial" w:hAnsi="Arial" w:cs="Arial"/>
          <w:bCs/>
        </w:rPr>
      </w:pPr>
    </w:p>
    <w:p w14:paraId="4CBB2E2E" w14:textId="7A9EB566" w:rsidR="005102EF" w:rsidRDefault="005102EF" w:rsidP="005102EF">
      <w:pPr>
        <w:spacing w:line="264" w:lineRule="auto"/>
        <w:jc w:val="both"/>
        <w:rPr>
          <w:rFonts w:ascii="Arial" w:hAnsi="Arial" w:cs="Arial"/>
          <w:bCs/>
        </w:rPr>
      </w:pPr>
      <w:r>
        <w:rPr>
          <w:rFonts w:ascii="Arial" w:hAnsi="Arial" w:cs="Arial"/>
          <w:bCs/>
        </w:rPr>
        <w:t>T</w:t>
      </w:r>
      <w:r w:rsidR="00C058CD">
        <w:rPr>
          <w:rFonts w:ascii="Arial" w:hAnsi="Arial" w:cs="Arial"/>
          <w:bCs/>
        </w:rPr>
        <w:t>able 5 below outlines current vaccination site locations with partner agencies:</w:t>
      </w:r>
    </w:p>
    <w:p w14:paraId="6BC41366" w14:textId="7788D407" w:rsidR="00C058CD" w:rsidRDefault="00C058CD" w:rsidP="005102EF">
      <w:pPr>
        <w:spacing w:line="264" w:lineRule="auto"/>
        <w:jc w:val="both"/>
        <w:rPr>
          <w:rFonts w:ascii="Arial" w:hAnsi="Arial" w:cs="Arial"/>
          <w:bCs/>
        </w:rPr>
      </w:pPr>
    </w:p>
    <w:p w14:paraId="0F4C0928" w14:textId="77B5A249" w:rsidR="00C058CD" w:rsidRDefault="00C058CD" w:rsidP="00C058CD">
      <w:pPr>
        <w:keepNext/>
        <w:spacing w:line="264" w:lineRule="auto"/>
        <w:jc w:val="center"/>
        <w:rPr>
          <w:rFonts w:ascii="Arial" w:hAnsi="Arial" w:cs="Arial"/>
          <w:b/>
          <w:szCs w:val="24"/>
        </w:rPr>
      </w:pPr>
      <w:r>
        <w:rPr>
          <w:rFonts w:ascii="Arial" w:hAnsi="Arial" w:cs="Arial"/>
          <w:b/>
          <w:szCs w:val="24"/>
        </w:rPr>
        <w:t>Table 5</w:t>
      </w:r>
    </w:p>
    <w:p w14:paraId="12A1C4A7" w14:textId="28897124" w:rsidR="00C058CD" w:rsidRDefault="00C058CD" w:rsidP="00C058CD">
      <w:pPr>
        <w:keepNext/>
        <w:spacing w:line="264" w:lineRule="auto"/>
        <w:jc w:val="center"/>
        <w:rPr>
          <w:rFonts w:ascii="Arial" w:hAnsi="Arial" w:cs="Arial"/>
          <w:b/>
          <w:szCs w:val="24"/>
        </w:rPr>
      </w:pPr>
      <w:r>
        <w:rPr>
          <w:rFonts w:ascii="Arial" w:hAnsi="Arial" w:cs="Arial"/>
          <w:b/>
          <w:szCs w:val="24"/>
        </w:rPr>
        <w:t>King County Vaccination Sites with Partner Agencies.</w:t>
      </w:r>
    </w:p>
    <w:p w14:paraId="6301FB08" w14:textId="77777777" w:rsidR="00C058CD" w:rsidRPr="001C4B19" w:rsidRDefault="00C058CD" w:rsidP="00C058CD">
      <w:pPr>
        <w:keepNext/>
        <w:spacing w:line="264" w:lineRule="auto"/>
        <w:jc w:val="center"/>
        <w:rPr>
          <w:rFonts w:ascii="Arial" w:hAnsi="Arial" w:cs="Arial"/>
          <w:b/>
          <w:szCs w:val="24"/>
        </w:rPr>
      </w:pPr>
    </w:p>
    <w:tbl>
      <w:tblPr>
        <w:tblStyle w:val="TableGrid"/>
        <w:tblW w:w="8190" w:type="dxa"/>
        <w:jc w:val="center"/>
        <w:tblLook w:val="04A0" w:firstRow="1" w:lastRow="0" w:firstColumn="1" w:lastColumn="0" w:noHBand="0" w:noVBand="1"/>
      </w:tblPr>
      <w:tblGrid>
        <w:gridCol w:w="3510"/>
        <w:gridCol w:w="270"/>
        <w:gridCol w:w="4410"/>
      </w:tblGrid>
      <w:tr w:rsidR="00C058CD" w:rsidRPr="008D0300" w14:paraId="4FAB8B81" w14:textId="77777777" w:rsidTr="00300FF1">
        <w:trPr>
          <w:cantSplit/>
          <w:trHeight w:val="411"/>
          <w:tblHeader/>
          <w:jc w:val="center"/>
        </w:trPr>
        <w:tc>
          <w:tcPr>
            <w:tcW w:w="3510" w:type="dxa"/>
            <w:tcBorders>
              <w:top w:val="single" w:sz="12" w:space="0" w:color="auto"/>
              <w:left w:val="nil"/>
              <w:bottom w:val="single" w:sz="4" w:space="0" w:color="auto"/>
              <w:right w:val="nil"/>
            </w:tcBorders>
            <w:shd w:val="clear" w:color="auto" w:fill="auto"/>
            <w:vAlign w:val="center"/>
          </w:tcPr>
          <w:p w14:paraId="0308AD34" w14:textId="1C04F325" w:rsidR="00C058CD" w:rsidRPr="008D0300" w:rsidRDefault="00C058CD" w:rsidP="00A329A2">
            <w:pPr>
              <w:keepNext/>
              <w:rPr>
                <w:rFonts w:ascii="Arial" w:hAnsi="Arial" w:cs="Arial"/>
                <w:b/>
                <w:sz w:val="22"/>
                <w:szCs w:val="22"/>
              </w:rPr>
            </w:pPr>
            <w:r>
              <w:rPr>
                <w:rFonts w:ascii="Arial" w:hAnsi="Arial" w:cs="Arial"/>
                <w:b/>
                <w:sz w:val="22"/>
                <w:szCs w:val="22"/>
              </w:rPr>
              <w:t>Partner Agency</w:t>
            </w:r>
          </w:p>
        </w:tc>
        <w:tc>
          <w:tcPr>
            <w:tcW w:w="270" w:type="dxa"/>
            <w:tcBorders>
              <w:top w:val="single" w:sz="12" w:space="0" w:color="auto"/>
              <w:left w:val="nil"/>
              <w:bottom w:val="nil"/>
              <w:right w:val="nil"/>
            </w:tcBorders>
          </w:tcPr>
          <w:p w14:paraId="7EE9515E" w14:textId="77777777" w:rsidR="00C058CD" w:rsidRDefault="00C058CD" w:rsidP="00A329A2">
            <w:pPr>
              <w:keepNext/>
              <w:jc w:val="center"/>
              <w:rPr>
                <w:rFonts w:ascii="Arial" w:hAnsi="Arial" w:cs="Arial"/>
                <w:b/>
                <w:sz w:val="22"/>
                <w:szCs w:val="22"/>
              </w:rPr>
            </w:pPr>
          </w:p>
        </w:tc>
        <w:tc>
          <w:tcPr>
            <w:tcW w:w="4410" w:type="dxa"/>
            <w:tcBorders>
              <w:top w:val="single" w:sz="12" w:space="0" w:color="auto"/>
              <w:left w:val="nil"/>
              <w:bottom w:val="single" w:sz="2" w:space="0" w:color="auto"/>
              <w:right w:val="single" w:sz="2" w:space="0" w:color="FFFFFF" w:themeColor="background1"/>
            </w:tcBorders>
            <w:vAlign w:val="center"/>
          </w:tcPr>
          <w:p w14:paraId="57E38D2B" w14:textId="7192243D" w:rsidR="00C058CD" w:rsidRPr="008D0300" w:rsidRDefault="00C058CD" w:rsidP="00A329A2">
            <w:pPr>
              <w:keepNext/>
              <w:jc w:val="center"/>
              <w:rPr>
                <w:rFonts w:ascii="Arial" w:hAnsi="Arial" w:cs="Arial"/>
                <w:b/>
                <w:sz w:val="22"/>
                <w:szCs w:val="22"/>
              </w:rPr>
            </w:pPr>
            <w:r>
              <w:rPr>
                <w:rFonts w:ascii="Arial" w:hAnsi="Arial" w:cs="Arial"/>
                <w:b/>
                <w:sz w:val="22"/>
                <w:szCs w:val="22"/>
              </w:rPr>
              <w:t>Vaccination Sites</w:t>
            </w:r>
          </w:p>
        </w:tc>
      </w:tr>
      <w:tr w:rsidR="00C058CD" w:rsidRPr="008D0300" w14:paraId="189062CD" w14:textId="77777777" w:rsidTr="00300FF1">
        <w:trPr>
          <w:cantSplit/>
          <w:jc w:val="center"/>
        </w:trPr>
        <w:tc>
          <w:tcPr>
            <w:tcW w:w="3510" w:type="dxa"/>
            <w:tcBorders>
              <w:left w:val="nil"/>
              <w:bottom w:val="nil"/>
              <w:right w:val="nil"/>
            </w:tcBorders>
            <w:tcMar>
              <w:top w:w="72" w:type="dxa"/>
              <w:left w:w="115" w:type="dxa"/>
              <w:bottom w:w="72" w:type="dxa"/>
              <w:right w:w="115" w:type="dxa"/>
            </w:tcMar>
          </w:tcPr>
          <w:p w14:paraId="4F4A74F7" w14:textId="08C4D4C0" w:rsidR="00C058CD" w:rsidRPr="008D0300" w:rsidRDefault="00C058CD" w:rsidP="00A329A2">
            <w:pPr>
              <w:rPr>
                <w:rFonts w:ascii="Arial" w:hAnsi="Arial" w:cs="Arial"/>
                <w:sz w:val="22"/>
                <w:szCs w:val="22"/>
              </w:rPr>
            </w:pPr>
            <w:r>
              <w:rPr>
                <w:rFonts w:ascii="Arial" w:hAnsi="Arial" w:cs="Arial"/>
                <w:sz w:val="22"/>
                <w:szCs w:val="22"/>
              </w:rPr>
              <w:t>University of Washington</w:t>
            </w:r>
          </w:p>
        </w:tc>
        <w:tc>
          <w:tcPr>
            <w:tcW w:w="270" w:type="dxa"/>
            <w:tcBorders>
              <w:top w:val="nil"/>
              <w:left w:val="nil"/>
              <w:bottom w:val="nil"/>
              <w:right w:val="nil"/>
            </w:tcBorders>
          </w:tcPr>
          <w:p w14:paraId="767618B8" w14:textId="77777777" w:rsidR="00C058CD" w:rsidRDefault="00C058CD" w:rsidP="00A329A2">
            <w:pPr>
              <w:jc w:val="right"/>
              <w:rPr>
                <w:rFonts w:ascii="Arial" w:hAnsi="Arial" w:cs="Arial"/>
                <w:sz w:val="22"/>
                <w:szCs w:val="22"/>
              </w:rPr>
            </w:pPr>
          </w:p>
        </w:tc>
        <w:tc>
          <w:tcPr>
            <w:tcW w:w="4410" w:type="dxa"/>
            <w:tcBorders>
              <w:top w:val="single" w:sz="2" w:space="0" w:color="auto"/>
              <w:left w:val="nil"/>
              <w:bottom w:val="nil"/>
              <w:right w:val="single" w:sz="2" w:space="0" w:color="FFFFFF" w:themeColor="background1"/>
            </w:tcBorders>
            <w:tcMar>
              <w:top w:w="72" w:type="dxa"/>
              <w:left w:w="115" w:type="dxa"/>
              <w:bottom w:w="72" w:type="dxa"/>
              <w:right w:w="115" w:type="dxa"/>
            </w:tcMar>
          </w:tcPr>
          <w:p w14:paraId="2B9F47C0" w14:textId="54E5BDBB" w:rsidR="00C058CD" w:rsidRPr="008D0300" w:rsidRDefault="00C058CD" w:rsidP="00C058CD">
            <w:pPr>
              <w:jc w:val="center"/>
              <w:rPr>
                <w:rFonts w:ascii="Arial" w:hAnsi="Arial" w:cs="Arial"/>
                <w:sz w:val="22"/>
                <w:szCs w:val="22"/>
              </w:rPr>
            </w:pPr>
            <w:r>
              <w:rPr>
                <w:rFonts w:ascii="Arial" w:hAnsi="Arial" w:cs="Arial"/>
                <w:sz w:val="22"/>
                <w:szCs w:val="22"/>
              </w:rPr>
              <w:t>UWMC Montlake</w:t>
            </w:r>
          </w:p>
        </w:tc>
      </w:tr>
      <w:tr w:rsidR="00C058CD" w:rsidRPr="008D0300" w14:paraId="6229242B" w14:textId="77777777" w:rsidTr="00300FF1">
        <w:trPr>
          <w:cantSplit/>
          <w:jc w:val="center"/>
        </w:trPr>
        <w:tc>
          <w:tcPr>
            <w:tcW w:w="3510" w:type="dxa"/>
            <w:tcBorders>
              <w:top w:val="nil"/>
              <w:left w:val="nil"/>
              <w:bottom w:val="nil"/>
              <w:right w:val="nil"/>
            </w:tcBorders>
            <w:tcMar>
              <w:top w:w="72" w:type="dxa"/>
              <w:left w:w="115" w:type="dxa"/>
              <w:bottom w:w="72" w:type="dxa"/>
              <w:right w:w="115" w:type="dxa"/>
            </w:tcMar>
          </w:tcPr>
          <w:p w14:paraId="4C94026C" w14:textId="77777777" w:rsidR="00C058CD" w:rsidRDefault="00C058CD" w:rsidP="00A329A2">
            <w:pPr>
              <w:rPr>
                <w:rFonts w:ascii="Arial" w:hAnsi="Arial" w:cs="Arial"/>
                <w:sz w:val="22"/>
                <w:szCs w:val="22"/>
              </w:rPr>
            </w:pPr>
          </w:p>
        </w:tc>
        <w:tc>
          <w:tcPr>
            <w:tcW w:w="270" w:type="dxa"/>
            <w:tcBorders>
              <w:top w:val="nil"/>
              <w:left w:val="nil"/>
              <w:bottom w:val="nil"/>
              <w:right w:val="nil"/>
            </w:tcBorders>
          </w:tcPr>
          <w:p w14:paraId="652DC9AA" w14:textId="77777777" w:rsidR="00C058CD" w:rsidRDefault="00C058CD" w:rsidP="00A329A2">
            <w:pPr>
              <w:jc w:val="right"/>
              <w:rPr>
                <w:rFonts w:ascii="Arial" w:hAnsi="Arial" w:cs="Arial"/>
                <w:sz w:val="22"/>
                <w:szCs w:val="22"/>
              </w:rPr>
            </w:pPr>
          </w:p>
        </w:tc>
        <w:tc>
          <w:tcPr>
            <w:tcW w:w="4410" w:type="dxa"/>
            <w:tcBorders>
              <w:top w:val="nil"/>
              <w:left w:val="nil"/>
              <w:bottom w:val="nil"/>
              <w:right w:val="nil"/>
            </w:tcBorders>
            <w:tcMar>
              <w:top w:w="72" w:type="dxa"/>
              <w:left w:w="115" w:type="dxa"/>
              <w:bottom w:w="72" w:type="dxa"/>
              <w:right w:w="115" w:type="dxa"/>
            </w:tcMar>
          </w:tcPr>
          <w:p w14:paraId="289E7632" w14:textId="4B0BA9C7" w:rsidR="00C058CD" w:rsidRDefault="00C058CD" w:rsidP="00C058CD">
            <w:pPr>
              <w:jc w:val="center"/>
              <w:rPr>
                <w:rFonts w:ascii="Arial" w:hAnsi="Arial" w:cs="Arial"/>
                <w:sz w:val="22"/>
                <w:szCs w:val="22"/>
              </w:rPr>
            </w:pPr>
            <w:r>
              <w:rPr>
                <w:rFonts w:ascii="Arial" w:hAnsi="Arial" w:cs="Arial"/>
                <w:sz w:val="22"/>
                <w:szCs w:val="22"/>
              </w:rPr>
              <w:t>UWMC Northwest</w:t>
            </w:r>
          </w:p>
        </w:tc>
      </w:tr>
      <w:tr w:rsidR="00C058CD" w:rsidRPr="008D0300" w14:paraId="540E880E" w14:textId="77777777" w:rsidTr="00300FF1">
        <w:trPr>
          <w:cantSplit/>
          <w:jc w:val="center"/>
        </w:trPr>
        <w:tc>
          <w:tcPr>
            <w:tcW w:w="3510" w:type="dxa"/>
            <w:tcBorders>
              <w:top w:val="nil"/>
              <w:left w:val="nil"/>
              <w:bottom w:val="nil"/>
              <w:right w:val="nil"/>
            </w:tcBorders>
            <w:tcMar>
              <w:top w:w="72" w:type="dxa"/>
              <w:left w:w="115" w:type="dxa"/>
              <w:bottom w:w="72" w:type="dxa"/>
              <w:right w:w="115" w:type="dxa"/>
            </w:tcMar>
          </w:tcPr>
          <w:p w14:paraId="36E1C0D7" w14:textId="77777777" w:rsidR="00C058CD" w:rsidRDefault="00C058CD" w:rsidP="00A329A2">
            <w:pPr>
              <w:rPr>
                <w:rFonts w:ascii="Arial" w:hAnsi="Arial" w:cs="Arial"/>
                <w:sz w:val="22"/>
                <w:szCs w:val="22"/>
              </w:rPr>
            </w:pPr>
          </w:p>
        </w:tc>
        <w:tc>
          <w:tcPr>
            <w:tcW w:w="270" w:type="dxa"/>
            <w:tcBorders>
              <w:top w:val="nil"/>
              <w:left w:val="nil"/>
              <w:bottom w:val="nil"/>
              <w:right w:val="nil"/>
            </w:tcBorders>
          </w:tcPr>
          <w:p w14:paraId="0DAFD492" w14:textId="77777777" w:rsidR="00C058CD" w:rsidRDefault="00C058CD" w:rsidP="00A329A2">
            <w:pPr>
              <w:jc w:val="right"/>
              <w:rPr>
                <w:rFonts w:ascii="Arial" w:hAnsi="Arial" w:cs="Arial"/>
                <w:sz w:val="22"/>
                <w:szCs w:val="22"/>
              </w:rPr>
            </w:pPr>
          </w:p>
        </w:tc>
        <w:tc>
          <w:tcPr>
            <w:tcW w:w="4410" w:type="dxa"/>
            <w:tcBorders>
              <w:top w:val="nil"/>
              <w:left w:val="nil"/>
              <w:bottom w:val="nil"/>
              <w:right w:val="nil"/>
            </w:tcBorders>
            <w:tcMar>
              <w:top w:w="72" w:type="dxa"/>
              <w:left w:w="115" w:type="dxa"/>
              <w:bottom w:w="72" w:type="dxa"/>
              <w:right w:w="115" w:type="dxa"/>
            </w:tcMar>
          </w:tcPr>
          <w:p w14:paraId="2D7A9E10" w14:textId="5C2C2DBE" w:rsidR="00C058CD" w:rsidRDefault="00C058CD" w:rsidP="00C058CD">
            <w:pPr>
              <w:jc w:val="center"/>
              <w:rPr>
                <w:rFonts w:ascii="Arial" w:hAnsi="Arial" w:cs="Arial"/>
                <w:sz w:val="22"/>
                <w:szCs w:val="22"/>
              </w:rPr>
            </w:pPr>
            <w:r>
              <w:rPr>
                <w:rFonts w:ascii="Arial" w:hAnsi="Arial" w:cs="Arial"/>
                <w:sz w:val="22"/>
                <w:szCs w:val="22"/>
              </w:rPr>
              <w:t>Harborview Medical Center</w:t>
            </w:r>
          </w:p>
        </w:tc>
      </w:tr>
      <w:tr w:rsidR="00C058CD" w:rsidRPr="008D0300" w14:paraId="2C3C7C4A" w14:textId="77777777" w:rsidTr="00300FF1">
        <w:trPr>
          <w:cantSplit/>
          <w:jc w:val="center"/>
        </w:trPr>
        <w:tc>
          <w:tcPr>
            <w:tcW w:w="3510" w:type="dxa"/>
            <w:tcBorders>
              <w:top w:val="nil"/>
              <w:left w:val="nil"/>
              <w:bottom w:val="nil"/>
              <w:right w:val="nil"/>
            </w:tcBorders>
            <w:tcMar>
              <w:top w:w="72" w:type="dxa"/>
              <w:left w:w="115" w:type="dxa"/>
              <w:bottom w:w="72" w:type="dxa"/>
              <w:right w:w="115" w:type="dxa"/>
            </w:tcMar>
          </w:tcPr>
          <w:p w14:paraId="359C69F6" w14:textId="77777777" w:rsidR="00C058CD" w:rsidRDefault="00C058CD" w:rsidP="00A329A2">
            <w:pPr>
              <w:rPr>
                <w:rFonts w:ascii="Arial" w:hAnsi="Arial" w:cs="Arial"/>
                <w:sz w:val="22"/>
                <w:szCs w:val="22"/>
              </w:rPr>
            </w:pPr>
          </w:p>
        </w:tc>
        <w:tc>
          <w:tcPr>
            <w:tcW w:w="270" w:type="dxa"/>
            <w:tcBorders>
              <w:top w:val="nil"/>
              <w:left w:val="nil"/>
              <w:bottom w:val="nil"/>
              <w:right w:val="nil"/>
            </w:tcBorders>
          </w:tcPr>
          <w:p w14:paraId="4C99C5BA" w14:textId="77777777" w:rsidR="00C058CD" w:rsidRDefault="00C058CD" w:rsidP="00A329A2">
            <w:pPr>
              <w:jc w:val="right"/>
              <w:rPr>
                <w:rFonts w:ascii="Arial" w:hAnsi="Arial" w:cs="Arial"/>
                <w:sz w:val="22"/>
                <w:szCs w:val="22"/>
              </w:rPr>
            </w:pPr>
          </w:p>
        </w:tc>
        <w:tc>
          <w:tcPr>
            <w:tcW w:w="4410" w:type="dxa"/>
            <w:tcBorders>
              <w:top w:val="nil"/>
              <w:left w:val="nil"/>
              <w:bottom w:val="nil"/>
              <w:right w:val="nil"/>
            </w:tcBorders>
            <w:tcMar>
              <w:top w:w="72" w:type="dxa"/>
              <w:left w:w="115" w:type="dxa"/>
              <w:bottom w:w="72" w:type="dxa"/>
              <w:right w:w="115" w:type="dxa"/>
            </w:tcMar>
          </w:tcPr>
          <w:p w14:paraId="424355B9" w14:textId="16A3C3EA" w:rsidR="00C058CD" w:rsidRDefault="00C058CD" w:rsidP="00C058CD">
            <w:pPr>
              <w:jc w:val="center"/>
              <w:rPr>
                <w:rFonts w:ascii="Arial" w:hAnsi="Arial" w:cs="Arial"/>
                <w:sz w:val="22"/>
                <w:szCs w:val="22"/>
              </w:rPr>
            </w:pPr>
            <w:r>
              <w:rPr>
                <w:rFonts w:ascii="Arial" w:hAnsi="Arial" w:cs="Arial"/>
                <w:sz w:val="22"/>
                <w:szCs w:val="22"/>
              </w:rPr>
              <w:t>Valley Medical Center</w:t>
            </w:r>
          </w:p>
        </w:tc>
      </w:tr>
      <w:tr w:rsidR="00C058CD" w:rsidRPr="008D0300" w14:paraId="72285F6E" w14:textId="77777777" w:rsidTr="00052F99">
        <w:trPr>
          <w:cantSplit/>
          <w:jc w:val="center"/>
        </w:trPr>
        <w:tc>
          <w:tcPr>
            <w:tcW w:w="3510" w:type="dxa"/>
            <w:tcBorders>
              <w:top w:val="nil"/>
              <w:left w:val="nil"/>
              <w:bottom w:val="single" w:sz="4" w:space="0" w:color="auto"/>
              <w:right w:val="nil"/>
            </w:tcBorders>
            <w:tcMar>
              <w:top w:w="72" w:type="dxa"/>
              <w:left w:w="115" w:type="dxa"/>
              <w:bottom w:w="72" w:type="dxa"/>
              <w:right w:w="115" w:type="dxa"/>
            </w:tcMar>
          </w:tcPr>
          <w:p w14:paraId="072D498B" w14:textId="77777777" w:rsidR="00C058CD" w:rsidRDefault="00C058CD" w:rsidP="00A329A2">
            <w:pPr>
              <w:rPr>
                <w:rFonts w:ascii="Arial" w:hAnsi="Arial" w:cs="Arial"/>
                <w:sz w:val="22"/>
                <w:szCs w:val="22"/>
              </w:rPr>
            </w:pPr>
          </w:p>
        </w:tc>
        <w:tc>
          <w:tcPr>
            <w:tcW w:w="270" w:type="dxa"/>
            <w:tcBorders>
              <w:top w:val="nil"/>
              <w:left w:val="nil"/>
              <w:bottom w:val="single" w:sz="4" w:space="0" w:color="auto"/>
              <w:right w:val="nil"/>
            </w:tcBorders>
          </w:tcPr>
          <w:p w14:paraId="6F6B0780" w14:textId="77777777" w:rsidR="00C058CD" w:rsidRDefault="00C058CD" w:rsidP="00A329A2">
            <w:pPr>
              <w:jc w:val="right"/>
              <w:rPr>
                <w:rFonts w:ascii="Arial" w:hAnsi="Arial" w:cs="Arial"/>
                <w:sz w:val="22"/>
                <w:szCs w:val="22"/>
              </w:rPr>
            </w:pPr>
          </w:p>
        </w:tc>
        <w:tc>
          <w:tcPr>
            <w:tcW w:w="4410" w:type="dxa"/>
            <w:tcBorders>
              <w:top w:val="nil"/>
              <w:left w:val="nil"/>
              <w:bottom w:val="single" w:sz="4" w:space="0" w:color="auto"/>
              <w:right w:val="nil"/>
            </w:tcBorders>
            <w:tcMar>
              <w:top w:w="72" w:type="dxa"/>
              <w:left w:w="115" w:type="dxa"/>
              <w:bottom w:w="72" w:type="dxa"/>
              <w:right w:w="115" w:type="dxa"/>
            </w:tcMar>
          </w:tcPr>
          <w:p w14:paraId="780BA791" w14:textId="75818926" w:rsidR="00C058CD" w:rsidRDefault="00C058CD" w:rsidP="00C058CD">
            <w:pPr>
              <w:jc w:val="center"/>
              <w:rPr>
                <w:rFonts w:ascii="Arial" w:hAnsi="Arial" w:cs="Arial"/>
                <w:sz w:val="22"/>
                <w:szCs w:val="22"/>
              </w:rPr>
            </w:pPr>
            <w:r>
              <w:rPr>
                <w:rFonts w:ascii="Arial" w:hAnsi="Arial" w:cs="Arial"/>
                <w:sz w:val="22"/>
                <w:szCs w:val="22"/>
              </w:rPr>
              <w:t>Pop-up clinics (various)</w:t>
            </w:r>
          </w:p>
        </w:tc>
      </w:tr>
      <w:tr w:rsidR="00C058CD" w:rsidRPr="008D0300" w14:paraId="17FC0720" w14:textId="77777777" w:rsidTr="00052F99">
        <w:trPr>
          <w:cantSplit/>
          <w:jc w:val="center"/>
        </w:trPr>
        <w:tc>
          <w:tcPr>
            <w:tcW w:w="3510" w:type="dxa"/>
            <w:tcBorders>
              <w:top w:val="single" w:sz="4" w:space="0" w:color="auto"/>
              <w:left w:val="nil"/>
              <w:bottom w:val="nil"/>
              <w:right w:val="nil"/>
            </w:tcBorders>
            <w:tcMar>
              <w:top w:w="72" w:type="dxa"/>
              <w:left w:w="115" w:type="dxa"/>
              <w:bottom w:w="72" w:type="dxa"/>
              <w:right w:w="115" w:type="dxa"/>
            </w:tcMar>
          </w:tcPr>
          <w:p w14:paraId="031ED007" w14:textId="6DF5DF5A" w:rsidR="00C058CD" w:rsidRDefault="00300FF1" w:rsidP="00A329A2">
            <w:pPr>
              <w:rPr>
                <w:rFonts w:ascii="Arial" w:hAnsi="Arial" w:cs="Arial"/>
                <w:sz w:val="22"/>
                <w:szCs w:val="22"/>
              </w:rPr>
            </w:pPr>
            <w:r>
              <w:rPr>
                <w:rFonts w:ascii="Arial" w:hAnsi="Arial" w:cs="Arial"/>
                <w:sz w:val="22"/>
                <w:szCs w:val="22"/>
              </w:rPr>
              <w:t>Franciscan Health Care Systems</w:t>
            </w:r>
          </w:p>
        </w:tc>
        <w:tc>
          <w:tcPr>
            <w:tcW w:w="270" w:type="dxa"/>
            <w:tcBorders>
              <w:top w:val="single" w:sz="4" w:space="0" w:color="auto"/>
              <w:left w:val="nil"/>
              <w:bottom w:val="nil"/>
              <w:right w:val="nil"/>
            </w:tcBorders>
          </w:tcPr>
          <w:p w14:paraId="501F3C9D" w14:textId="77777777" w:rsidR="00C058CD" w:rsidRDefault="00C058CD" w:rsidP="00A329A2">
            <w:pPr>
              <w:jc w:val="right"/>
              <w:rPr>
                <w:rFonts w:ascii="Arial" w:hAnsi="Arial" w:cs="Arial"/>
                <w:sz w:val="22"/>
                <w:szCs w:val="22"/>
              </w:rPr>
            </w:pPr>
          </w:p>
        </w:tc>
        <w:tc>
          <w:tcPr>
            <w:tcW w:w="4410" w:type="dxa"/>
            <w:tcBorders>
              <w:top w:val="single" w:sz="4" w:space="0" w:color="auto"/>
              <w:left w:val="nil"/>
              <w:bottom w:val="nil"/>
              <w:right w:val="nil"/>
            </w:tcBorders>
            <w:tcMar>
              <w:top w:w="72" w:type="dxa"/>
              <w:left w:w="115" w:type="dxa"/>
              <w:bottom w:w="72" w:type="dxa"/>
              <w:right w:w="115" w:type="dxa"/>
            </w:tcMar>
          </w:tcPr>
          <w:p w14:paraId="596522FC" w14:textId="40DECA14" w:rsidR="00C058CD" w:rsidRDefault="00300FF1" w:rsidP="00C058CD">
            <w:pPr>
              <w:jc w:val="center"/>
              <w:rPr>
                <w:rFonts w:ascii="Arial" w:hAnsi="Arial" w:cs="Arial"/>
                <w:sz w:val="22"/>
                <w:szCs w:val="22"/>
              </w:rPr>
            </w:pPr>
            <w:r>
              <w:rPr>
                <w:rFonts w:ascii="Arial" w:hAnsi="Arial" w:cs="Arial"/>
                <w:sz w:val="22"/>
                <w:szCs w:val="22"/>
              </w:rPr>
              <w:t>St. Francis Hospital</w:t>
            </w:r>
          </w:p>
        </w:tc>
      </w:tr>
      <w:tr w:rsidR="00300FF1" w:rsidRPr="008D0300" w14:paraId="3414AD4A" w14:textId="77777777" w:rsidTr="00300FF1">
        <w:trPr>
          <w:cantSplit/>
          <w:jc w:val="center"/>
        </w:trPr>
        <w:tc>
          <w:tcPr>
            <w:tcW w:w="3510" w:type="dxa"/>
            <w:tcBorders>
              <w:top w:val="nil"/>
              <w:left w:val="nil"/>
              <w:bottom w:val="nil"/>
              <w:right w:val="nil"/>
            </w:tcBorders>
            <w:tcMar>
              <w:top w:w="72" w:type="dxa"/>
              <w:left w:w="115" w:type="dxa"/>
              <w:bottom w:w="72" w:type="dxa"/>
              <w:right w:w="115" w:type="dxa"/>
            </w:tcMar>
          </w:tcPr>
          <w:p w14:paraId="67BAC429" w14:textId="77777777" w:rsidR="00300FF1" w:rsidRDefault="00300FF1" w:rsidP="00A329A2">
            <w:pPr>
              <w:rPr>
                <w:rFonts w:ascii="Arial" w:hAnsi="Arial" w:cs="Arial"/>
                <w:sz w:val="22"/>
                <w:szCs w:val="22"/>
              </w:rPr>
            </w:pPr>
          </w:p>
        </w:tc>
        <w:tc>
          <w:tcPr>
            <w:tcW w:w="270" w:type="dxa"/>
            <w:tcBorders>
              <w:top w:val="nil"/>
              <w:left w:val="nil"/>
              <w:bottom w:val="nil"/>
              <w:right w:val="nil"/>
            </w:tcBorders>
          </w:tcPr>
          <w:p w14:paraId="03043D27" w14:textId="77777777" w:rsidR="00300FF1" w:rsidRDefault="00300FF1" w:rsidP="00A329A2">
            <w:pPr>
              <w:jc w:val="right"/>
              <w:rPr>
                <w:rFonts w:ascii="Arial" w:hAnsi="Arial" w:cs="Arial"/>
                <w:sz w:val="22"/>
                <w:szCs w:val="22"/>
              </w:rPr>
            </w:pPr>
          </w:p>
        </w:tc>
        <w:tc>
          <w:tcPr>
            <w:tcW w:w="4410" w:type="dxa"/>
            <w:tcBorders>
              <w:top w:val="nil"/>
              <w:left w:val="nil"/>
              <w:bottom w:val="nil"/>
              <w:right w:val="nil"/>
            </w:tcBorders>
            <w:tcMar>
              <w:top w:w="72" w:type="dxa"/>
              <w:left w:w="115" w:type="dxa"/>
              <w:bottom w:w="72" w:type="dxa"/>
              <w:right w:w="115" w:type="dxa"/>
            </w:tcMar>
          </w:tcPr>
          <w:p w14:paraId="54AAB5FE" w14:textId="53D9DB98" w:rsidR="00300FF1" w:rsidRDefault="00300FF1" w:rsidP="00C058CD">
            <w:pPr>
              <w:jc w:val="center"/>
              <w:rPr>
                <w:rFonts w:ascii="Arial" w:hAnsi="Arial" w:cs="Arial"/>
                <w:sz w:val="22"/>
                <w:szCs w:val="22"/>
              </w:rPr>
            </w:pPr>
            <w:r>
              <w:rPr>
                <w:rFonts w:ascii="Arial" w:hAnsi="Arial" w:cs="Arial"/>
                <w:sz w:val="22"/>
                <w:szCs w:val="22"/>
              </w:rPr>
              <w:t>Community Center</w:t>
            </w:r>
          </w:p>
        </w:tc>
      </w:tr>
      <w:tr w:rsidR="00300FF1" w:rsidRPr="008D0300" w14:paraId="0B3F6968" w14:textId="77777777" w:rsidTr="00300FF1">
        <w:trPr>
          <w:cantSplit/>
          <w:jc w:val="center"/>
        </w:trPr>
        <w:tc>
          <w:tcPr>
            <w:tcW w:w="3510" w:type="dxa"/>
            <w:tcBorders>
              <w:top w:val="nil"/>
              <w:left w:val="nil"/>
              <w:bottom w:val="nil"/>
              <w:right w:val="nil"/>
            </w:tcBorders>
            <w:tcMar>
              <w:top w:w="72" w:type="dxa"/>
              <w:left w:w="115" w:type="dxa"/>
              <w:bottom w:w="72" w:type="dxa"/>
              <w:right w:w="115" w:type="dxa"/>
            </w:tcMar>
          </w:tcPr>
          <w:p w14:paraId="1C70437D" w14:textId="77777777" w:rsidR="00300FF1" w:rsidRDefault="00300FF1" w:rsidP="00A329A2">
            <w:pPr>
              <w:rPr>
                <w:rFonts w:ascii="Arial" w:hAnsi="Arial" w:cs="Arial"/>
                <w:sz w:val="22"/>
                <w:szCs w:val="22"/>
              </w:rPr>
            </w:pPr>
          </w:p>
        </w:tc>
        <w:tc>
          <w:tcPr>
            <w:tcW w:w="270" w:type="dxa"/>
            <w:tcBorders>
              <w:top w:val="nil"/>
              <w:left w:val="nil"/>
              <w:bottom w:val="nil"/>
              <w:right w:val="nil"/>
            </w:tcBorders>
          </w:tcPr>
          <w:p w14:paraId="19D9E535" w14:textId="77777777" w:rsidR="00300FF1" w:rsidRDefault="00300FF1" w:rsidP="00A329A2">
            <w:pPr>
              <w:jc w:val="right"/>
              <w:rPr>
                <w:rFonts w:ascii="Arial" w:hAnsi="Arial" w:cs="Arial"/>
                <w:sz w:val="22"/>
                <w:szCs w:val="22"/>
              </w:rPr>
            </w:pPr>
          </w:p>
        </w:tc>
        <w:tc>
          <w:tcPr>
            <w:tcW w:w="4410" w:type="dxa"/>
            <w:tcBorders>
              <w:top w:val="nil"/>
              <w:left w:val="nil"/>
              <w:bottom w:val="nil"/>
              <w:right w:val="nil"/>
            </w:tcBorders>
            <w:tcMar>
              <w:top w:w="72" w:type="dxa"/>
              <w:left w:w="115" w:type="dxa"/>
              <w:bottom w:w="72" w:type="dxa"/>
              <w:right w:w="115" w:type="dxa"/>
            </w:tcMar>
          </w:tcPr>
          <w:p w14:paraId="573AF114" w14:textId="433B3545" w:rsidR="00300FF1" w:rsidRDefault="00300FF1" w:rsidP="00C058CD">
            <w:pPr>
              <w:jc w:val="center"/>
              <w:rPr>
                <w:rFonts w:ascii="Arial" w:hAnsi="Arial" w:cs="Arial"/>
                <w:sz w:val="22"/>
                <w:szCs w:val="22"/>
              </w:rPr>
            </w:pPr>
            <w:r>
              <w:rPr>
                <w:rFonts w:ascii="Arial" w:hAnsi="Arial" w:cs="Arial"/>
                <w:sz w:val="22"/>
                <w:szCs w:val="22"/>
              </w:rPr>
              <w:t>St. Anne Hospital</w:t>
            </w:r>
          </w:p>
        </w:tc>
      </w:tr>
      <w:tr w:rsidR="00300FF1" w:rsidRPr="008D0300" w14:paraId="705ADA27" w14:textId="77777777" w:rsidTr="00300FF1">
        <w:trPr>
          <w:cantSplit/>
          <w:jc w:val="center"/>
        </w:trPr>
        <w:tc>
          <w:tcPr>
            <w:tcW w:w="3510" w:type="dxa"/>
            <w:tcBorders>
              <w:top w:val="nil"/>
              <w:left w:val="nil"/>
              <w:bottom w:val="nil"/>
              <w:right w:val="nil"/>
            </w:tcBorders>
            <w:tcMar>
              <w:top w:w="72" w:type="dxa"/>
              <w:left w:w="115" w:type="dxa"/>
              <w:bottom w:w="72" w:type="dxa"/>
              <w:right w:w="115" w:type="dxa"/>
            </w:tcMar>
          </w:tcPr>
          <w:p w14:paraId="5B2FD315" w14:textId="77777777" w:rsidR="00300FF1" w:rsidRDefault="00300FF1" w:rsidP="00A329A2">
            <w:pPr>
              <w:rPr>
                <w:rFonts w:ascii="Arial" w:hAnsi="Arial" w:cs="Arial"/>
                <w:sz w:val="22"/>
                <w:szCs w:val="22"/>
              </w:rPr>
            </w:pPr>
          </w:p>
        </w:tc>
        <w:tc>
          <w:tcPr>
            <w:tcW w:w="270" w:type="dxa"/>
            <w:tcBorders>
              <w:top w:val="nil"/>
              <w:left w:val="nil"/>
              <w:bottom w:val="nil"/>
              <w:right w:val="nil"/>
            </w:tcBorders>
          </w:tcPr>
          <w:p w14:paraId="54C1C543" w14:textId="77777777" w:rsidR="00300FF1" w:rsidRDefault="00300FF1" w:rsidP="00A329A2">
            <w:pPr>
              <w:jc w:val="right"/>
              <w:rPr>
                <w:rFonts w:ascii="Arial" w:hAnsi="Arial" w:cs="Arial"/>
                <w:sz w:val="22"/>
                <w:szCs w:val="22"/>
              </w:rPr>
            </w:pPr>
          </w:p>
        </w:tc>
        <w:tc>
          <w:tcPr>
            <w:tcW w:w="4410" w:type="dxa"/>
            <w:tcBorders>
              <w:top w:val="nil"/>
              <w:left w:val="nil"/>
              <w:bottom w:val="nil"/>
              <w:right w:val="nil"/>
            </w:tcBorders>
            <w:tcMar>
              <w:top w:w="72" w:type="dxa"/>
              <w:left w:w="115" w:type="dxa"/>
              <w:bottom w:w="72" w:type="dxa"/>
              <w:right w:w="115" w:type="dxa"/>
            </w:tcMar>
          </w:tcPr>
          <w:p w14:paraId="28B9861D" w14:textId="141F1CD7" w:rsidR="00300FF1" w:rsidRDefault="00300FF1" w:rsidP="00C058CD">
            <w:pPr>
              <w:jc w:val="center"/>
              <w:rPr>
                <w:rFonts w:ascii="Arial" w:hAnsi="Arial" w:cs="Arial"/>
                <w:sz w:val="22"/>
                <w:szCs w:val="22"/>
              </w:rPr>
            </w:pPr>
            <w:r>
              <w:rPr>
                <w:rFonts w:ascii="Arial" w:hAnsi="Arial" w:cs="Arial"/>
                <w:sz w:val="22"/>
                <w:szCs w:val="22"/>
              </w:rPr>
              <w:t>St. Elizabeth Hospital</w:t>
            </w:r>
          </w:p>
        </w:tc>
      </w:tr>
      <w:tr w:rsidR="00300FF1" w:rsidRPr="008D0300" w14:paraId="0BC3E305" w14:textId="77777777" w:rsidTr="007B0A52">
        <w:trPr>
          <w:cantSplit/>
          <w:jc w:val="center"/>
        </w:trPr>
        <w:tc>
          <w:tcPr>
            <w:tcW w:w="3510" w:type="dxa"/>
            <w:tcBorders>
              <w:top w:val="nil"/>
              <w:left w:val="nil"/>
              <w:bottom w:val="single" w:sz="4" w:space="0" w:color="auto"/>
              <w:right w:val="nil"/>
            </w:tcBorders>
            <w:tcMar>
              <w:top w:w="72" w:type="dxa"/>
              <w:left w:w="115" w:type="dxa"/>
              <w:bottom w:w="72" w:type="dxa"/>
              <w:right w:w="115" w:type="dxa"/>
            </w:tcMar>
          </w:tcPr>
          <w:p w14:paraId="543575DC" w14:textId="77777777" w:rsidR="00300FF1" w:rsidRDefault="00300FF1" w:rsidP="00A329A2">
            <w:pPr>
              <w:rPr>
                <w:rFonts w:ascii="Arial" w:hAnsi="Arial" w:cs="Arial"/>
                <w:sz w:val="22"/>
                <w:szCs w:val="22"/>
              </w:rPr>
            </w:pPr>
          </w:p>
        </w:tc>
        <w:tc>
          <w:tcPr>
            <w:tcW w:w="270" w:type="dxa"/>
            <w:tcBorders>
              <w:top w:val="nil"/>
              <w:left w:val="nil"/>
              <w:bottom w:val="single" w:sz="4" w:space="0" w:color="auto"/>
              <w:right w:val="nil"/>
            </w:tcBorders>
          </w:tcPr>
          <w:p w14:paraId="21F75DB4" w14:textId="77777777" w:rsidR="00300FF1" w:rsidRDefault="00300FF1" w:rsidP="00A329A2">
            <w:pPr>
              <w:jc w:val="right"/>
              <w:rPr>
                <w:rFonts w:ascii="Arial" w:hAnsi="Arial" w:cs="Arial"/>
                <w:sz w:val="22"/>
                <w:szCs w:val="22"/>
              </w:rPr>
            </w:pPr>
          </w:p>
        </w:tc>
        <w:tc>
          <w:tcPr>
            <w:tcW w:w="4410" w:type="dxa"/>
            <w:tcBorders>
              <w:top w:val="nil"/>
              <w:left w:val="nil"/>
              <w:bottom w:val="single" w:sz="4" w:space="0" w:color="auto"/>
              <w:right w:val="nil"/>
            </w:tcBorders>
            <w:tcMar>
              <w:top w:w="72" w:type="dxa"/>
              <w:left w:w="115" w:type="dxa"/>
              <w:bottom w:w="72" w:type="dxa"/>
              <w:right w:w="115" w:type="dxa"/>
            </w:tcMar>
          </w:tcPr>
          <w:p w14:paraId="29D281A2" w14:textId="01851422" w:rsidR="00300FF1" w:rsidRDefault="00300FF1" w:rsidP="00C058CD">
            <w:pPr>
              <w:jc w:val="center"/>
              <w:rPr>
                <w:rFonts w:ascii="Arial" w:hAnsi="Arial" w:cs="Arial"/>
                <w:sz w:val="22"/>
                <w:szCs w:val="22"/>
              </w:rPr>
            </w:pPr>
            <w:r>
              <w:rPr>
                <w:rFonts w:ascii="Arial" w:hAnsi="Arial" w:cs="Arial"/>
                <w:sz w:val="22"/>
                <w:szCs w:val="22"/>
              </w:rPr>
              <w:t>Pop-up clinics: KC Metro, El Centro, Highline Community College, MLK Baptist</w:t>
            </w:r>
          </w:p>
        </w:tc>
      </w:tr>
      <w:tr w:rsidR="00300FF1" w:rsidRPr="008D0300" w14:paraId="2FFEE61B" w14:textId="77777777" w:rsidTr="007B0A52">
        <w:trPr>
          <w:cantSplit/>
          <w:jc w:val="center"/>
        </w:trPr>
        <w:tc>
          <w:tcPr>
            <w:tcW w:w="3510" w:type="dxa"/>
            <w:tcBorders>
              <w:top w:val="single" w:sz="4" w:space="0" w:color="auto"/>
              <w:left w:val="nil"/>
              <w:bottom w:val="nil"/>
              <w:right w:val="nil"/>
            </w:tcBorders>
            <w:tcMar>
              <w:top w:w="72" w:type="dxa"/>
              <w:left w:w="115" w:type="dxa"/>
              <w:bottom w:w="72" w:type="dxa"/>
              <w:right w:w="115" w:type="dxa"/>
            </w:tcMar>
          </w:tcPr>
          <w:p w14:paraId="422CEED6" w14:textId="24809CEF" w:rsidR="00300FF1" w:rsidRDefault="00300FF1" w:rsidP="00A329A2">
            <w:pPr>
              <w:rPr>
                <w:rFonts w:ascii="Arial" w:hAnsi="Arial" w:cs="Arial"/>
                <w:sz w:val="22"/>
                <w:szCs w:val="22"/>
              </w:rPr>
            </w:pPr>
            <w:r>
              <w:rPr>
                <w:rFonts w:ascii="Arial" w:hAnsi="Arial" w:cs="Arial"/>
                <w:sz w:val="22"/>
                <w:szCs w:val="22"/>
              </w:rPr>
              <w:t>Virginia Mason</w:t>
            </w:r>
          </w:p>
        </w:tc>
        <w:tc>
          <w:tcPr>
            <w:tcW w:w="270" w:type="dxa"/>
            <w:tcBorders>
              <w:top w:val="single" w:sz="4" w:space="0" w:color="auto"/>
              <w:left w:val="nil"/>
              <w:bottom w:val="nil"/>
              <w:right w:val="nil"/>
            </w:tcBorders>
          </w:tcPr>
          <w:p w14:paraId="50D34F99" w14:textId="77777777" w:rsidR="00300FF1" w:rsidRDefault="00300FF1" w:rsidP="00A329A2">
            <w:pPr>
              <w:jc w:val="right"/>
              <w:rPr>
                <w:rFonts w:ascii="Arial" w:hAnsi="Arial" w:cs="Arial"/>
                <w:sz w:val="22"/>
                <w:szCs w:val="22"/>
              </w:rPr>
            </w:pPr>
          </w:p>
        </w:tc>
        <w:tc>
          <w:tcPr>
            <w:tcW w:w="4410" w:type="dxa"/>
            <w:tcBorders>
              <w:top w:val="single" w:sz="4" w:space="0" w:color="auto"/>
              <w:left w:val="nil"/>
              <w:bottom w:val="nil"/>
              <w:right w:val="nil"/>
            </w:tcBorders>
            <w:tcMar>
              <w:top w:w="72" w:type="dxa"/>
              <w:left w:w="115" w:type="dxa"/>
              <w:bottom w:w="72" w:type="dxa"/>
              <w:right w:w="115" w:type="dxa"/>
            </w:tcMar>
          </w:tcPr>
          <w:p w14:paraId="55A181D7" w14:textId="2C901ADA" w:rsidR="00300FF1" w:rsidRDefault="00300FF1" w:rsidP="00C058CD">
            <w:pPr>
              <w:jc w:val="center"/>
              <w:rPr>
                <w:rFonts w:ascii="Arial" w:hAnsi="Arial" w:cs="Arial"/>
                <w:sz w:val="22"/>
                <w:szCs w:val="22"/>
              </w:rPr>
            </w:pPr>
            <w:r>
              <w:rPr>
                <w:rFonts w:ascii="Arial" w:hAnsi="Arial" w:cs="Arial"/>
                <w:sz w:val="22"/>
                <w:szCs w:val="22"/>
              </w:rPr>
              <w:t>Human Resources Building</w:t>
            </w:r>
          </w:p>
        </w:tc>
      </w:tr>
      <w:tr w:rsidR="00300FF1" w:rsidRPr="008D0300" w14:paraId="519DABC5" w14:textId="77777777" w:rsidTr="007B0A52">
        <w:trPr>
          <w:cantSplit/>
          <w:jc w:val="center"/>
        </w:trPr>
        <w:tc>
          <w:tcPr>
            <w:tcW w:w="3510" w:type="dxa"/>
            <w:tcBorders>
              <w:top w:val="nil"/>
              <w:left w:val="nil"/>
              <w:bottom w:val="single" w:sz="4" w:space="0" w:color="auto"/>
              <w:right w:val="nil"/>
            </w:tcBorders>
            <w:tcMar>
              <w:top w:w="72" w:type="dxa"/>
              <w:left w:w="115" w:type="dxa"/>
              <w:bottom w:w="72" w:type="dxa"/>
              <w:right w:w="115" w:type="dxa"/>
            </w:tcMar>
          </w:tcPr>
          <w:p w14:paraId="4ECA3A64" w14:textId="77777777" w:rsidR="00300FF1" w:rsidRDefault="00300FF1" w:rsidP="00A329A2">
            <w:pPr>
              <w:rPr>
                <w:rFonts w:ascii="Arial" w:hAnsi="Arial" w:cs="Arial"/>
                <w:sz w:val="22"/>
                <w:szCs w:val="22"/>
              </w:rPr>
            </w:pPr>
          </w:p>
        </w:tc>
        <w:tc>
          <w:tcPr>
            <w:tcW w:w="270" w:type="dxa"/>
            <w:tcBorders>
              <w:top w:val="nil"/>
              <w:left w:val="nil"/>
              <w:bottom w:val="single" w:sz="4" w:space="0" w:color="auto"/>
              <w:right w:val="nil"/>
            </w:tcBorders>
          </w:tcPr>
          <w:p w14:paraId="3F2EDFDA" w14:textId="77777777" w:rsidR="00300FF1" w:rsidRDefault="00300FF1" w:rsidP="00A329A2">
            <w:pPr>
              <w:jc w:val="right"/>
              <w:rPr>
                <w:rFonts w:ascii="Arial" w:hAnsi="Arial" w:cs="Arial"/>
                <w:sz w:val="22"/>
                <w:szCs w:val="22"/>
              </w:rPr>
            </w:pPr>
          </w:p>
        </w:tc>
        <w:tc>
          <w:tcPr>
            <w:tcW w:w="4410" w:type="dxa"/>
            <w:tcBorders>
              <w:top w:val="nil"/>
              <w:left w:val="nil"/>
              <w:bottom w:val="single" w:sz="4" w:space="0" w:color="auto"/>
              <w:right w:val="nil"/>
            </w:tcBorders>
            <w:tcMar>
              <w:top w:w="72" w:type="dxa"/>
              <w:left w:w="115" w:type="dxa"/>
              <w:bottom w:w="72" w:type="dxa"/>
              <w:right w:w="115" w:type="dxa"/>
            </w:tcMar>
          </w:tcPr>
          <w:p w14:paraId="044E79A7" w14:textId="06AE40CE" w:rsidR="00300FF1" w:rsidRDefault="00300FF1" w:rsidP="00C058CD">
            <w:pPr>
              <w:jc w:val="center"/>
              <w:rPr>
                <w:rFonts w:ascii="Arial" w:hAnsi="Arial" w:cs="Arial"/>
                <w:sz w:val="22"/>
                <w:szCs w:val="22"/>
              </w:rPr>
            </w:pPr>
            <w:r>
              <w:rPr>
                <w:rFonts w:ascii="Arial" w:hAnsi="Arial" w:cs="Arial"/>
                <w:sz w:val="22"/>
                <w:szCs w:val="22"/>
              </w:rPr>
              <w:t>Am</w:t>
            </w:r>
            <w:r w:rsidR="007B0A52">
              <w:rPr>
                <w:rFonts w:ascii="Arial" w:hAnsi="Arial" w:cs="Arial"/>
                <w:sz w:val="22"/>
                <w:szCs w:val="22"/>
              </w:rPr>
              <w:t>azon (Georgetown)</w:t>
            </w:r>
          </w:p>
        </w:tc>
      </w:tr>
      <w:tr w:rsidR="007B0A52" w:rsidRPr="008D0300" w14:paraId="49EA75D8" w14:textId="77777777" w:rsidTr="007B0A52">
        <w:trPr>
          <w:cantSplit/>
          <w:jc w:val="center"/>
        </w:trPr>
        <w:tc>
          <w:tcPr>
            <w:tcW w:w="3510" w:type="dxa"/>
            <w:tcBorders>
              <w:top w:val="single" w:sz="4" w:space="0" w:color="auto"/>
              <w:left w:val="nil"/>
              <w:bottom w:val="single" w:sz="4" w:space="0" w:color="auto"/>
              <w:right w:val="nil"/>
            </w:tcBorders>
            <w:tcMar>
              <w:top w:w="72" w:type="dxa"/>
              <w:left w:w="115" w:type="dxa"/>
              <w:bottom w:w="72" w:type="dxa"/>
              <w:right w:w="115" w:type="dxa"/>
            </w:tcMar>
          </w:tcPr>
          <w:p w14:paraId="7B532275" w14:textId="39E9B38B" w:rsidR="007B0A52" w:rsidRDefault="007B0A52" w:rsidP="00A329A2">
            <w:pPr>
              <w:rPr>
                <w:rFonts w:ascii="Arial" w:hAnsi="Arial" w:cs="Arial"/>
                <w:sz w:val="22"/>
                <w:szCs w:val="22"/>
              </w:rPr>
            </w:pPr>
            <w:r>
              <w:rPr>
                <w:rFonts w:ascii="Arial" w:hAnsi="Arial" w:cs="Arial"/>
                <w:sz w:val="22"/>
                <w:szCs w:val="22"/>
              </w:rPr>
              <w:t>Shoreline Fire Department</w:t>
            </w:r>
          </w:p>
        </w:tc>
        <w:tc>
          <w:tcPr>
            <w:tcW w:w="270" w:type="dxa"/>
            <w:tcBorders>
              <w:top w:val="single" w:sz="4" w:space="0" w:color="auto"/>
              <w:left w:val="nil"/>
              <w:bottom w:val="single" w:sz="4" w:space="0" w:color="auto"/>
              <w:right w:val="nil"/>
            </w:tcBorders>
          </w:tcPr>
          <w:p w14:paraId="3F5DEC39" w14:textId="77777777" w:rsidR="007B0A52" w:rsidRDefault="007B0A52" w:rsidP="00A329A2">
            <w:pPr>
              <w:jc w:val="right"/>
              <w:rPr>
                <w:rFonts w:ascii="Arial" w:hAnsi="Arial" w:cs="Arial"/>
                <w:sz w:val="22"/>
                <w:szCs w:val="22"/>
              </w:rPr>
            </w:pPr>
          </w:p>
        </w:tc>
        <w:tc>
          <w:tcPr>
            <w:tcW w:w="4410" w:type="dxa"/>
            <w:tcBorders>
              <w:top w:val="single" w:sz="4" w:space="0" w:color="auto"/>
              <w:left w:val="nil"/>
              <w:bottom w:val="single" w:sz="4" w:space="0" w:color="auto"/>
              <w:right w:val="nil"/>
            </w:tcBorders>
            <w:tcMar>
              <w:top w:w="72" w:type="dxa"/>
              <w:left w:w="115" w:type="dxa"/>
              <w:bottom w:w="72" w:type="dxa"/>
              <w:right w:w="115" w:type="dxa"/>
            </w:tcMar>
          </w:tcPr>
          <w:p w14:paraId="113C1B28" w14:textId="397B53DA" w:rsidR="007B0A52" w:rsidRDefault="007B0A52" w:rsidP="00C058CD">
            <w:pPr>
              <w:jc w:val="center"/>
              <w:rPr>
                <w:rFonts w:ascii="Arial" w:hAnsi="Arial" w:cs="Arial"/>
                <w:sz w:val="22"/>
                <w:szCs w:val="22"/>
              </w:rPr>
            </w:pPr>
            <w:r>
              <w:rPr>
                <w:rFonts w:ascii="Arial" w:hAnsi="Arial" w:cs="Arial"/>
                <w:sz w:val="22"/>
                <w:szCs w:val="22"/>
              </w:rPr>
              <w:t>Various North KC</w:t>
            </w:r>
            <w:r w:rsidR="000A0A4A">
              <w:rPr>
                <w:rFonts w:ascii="Arial" w:hAnsi="Arial" w:cs="Arial"/>
                <w:sz w:val="22"/>
                <w:szCs w:val="22"/>
              </w:rPr>
              <w:t xml:space="preserve"> sites</w:t>
            </w:r>
          </w:p>
        </w:tc>
      </w:tr>
      <w:tr w:rsidR="007B0A52" w:rsidRPr="008D0300" w14:paraId="3355356E" w14:textId="77777777" w:rsidTr="007B0A52">
        <w:trPr>
          <w:cantSplit/>
          <w:jc w:val="center"/>
        </w:trPr>
        <w:tc>
          <w:tcPr>
            <w:tcW w:w="3510" w:type="dxa"/>
            <w:tcBorders>
              <w:top w:val="single" w:sz="4" w:space="0" w:color="auto"/>
              <w:left w:val="nil"/>
              <w:bottom w:val="single" w:sz="12" w:space="0" w:color="auto"/>
              <w:right w:val="nil"/>
            </w:tcBorders>
            <w:tcMar>
              <w:top w:w="72" w:type="dxa"/>
              <w:left w:w="115" w:type="dxa"/>
              <w:bottom w:w="72" w:type="dxa"/>
              <w:right w:w="115" w:type="dxa"/>
            </w:tcMar>
          </w:tcPr>
          <w:p w14:paraId="11A33582" w14:textId="274D6415" w:rsidR="007B0A52" w:rsidRDefault="007B0A52" w:rsidP="00A329A2">
            <w:pPr>
              <w:rPr>
                <w:rFonts w:ascii="Arial" w:hAnsi="Arial" w:cs="Arial"/>
                <w:sz w:val="22"/>
                <w:szCs w:val="22"/>
              </w:rPr>
            </w:pPr>
            <w:r>
              <w:rPr>
                <w:rFonts w:ascii="Arial" w:hAnsi="Arial" w:cs="Arial"/>
                <w:sz w:val="22"/>
                <w:szCs w:val="22"/>
              </w:rPr>
              <w:t>Snoqualmie Valley Hospital</w:t>
            </w:r>
          </w:p>
        </w:tc>
        <w:tc>
          <w:tcPr>
            <w:tcW w:w="270" w:type="dxa"/>
            <w:tcBorders>
              <w:top w:val="single" w:sz="4" w:space="0" w:color="auto"/>
              <w:left w:val="nil"/>
              <w:bottom w:val="single" w:sz="12" w:space="0" w:color="auto"/>
              <w:right w:val="nil"/>
            </w:tcBorders>
          </w:tcPr>
          <w:p w14:paraId="3D4882BC" w14:textId="77777777" w:rsidR="007B0A52" w:rsidRDefault="007B0A52" w:rsidP="00A329A2">
            <w:pPr>
              <w:jc w:val="right"/>
              <w:rPr>
                <w:rFonts w:ascii="Arial" w:hAnsi="Arial" w:cs="Arial"/>
                <w:sz w:val="22"/>
                <w:szCs w:val="22"/>
              </w:rPr>
            </w:pPr>
          </w:p>
        </w:tc>
        <w:tc>
          <w:tcPr>
            <w:tcW w:w="4410" w:type="dxa"/>
            <w:tcBorders>
              <w:top w:val="single" w:sz="4" w:space="0" w:color="auto"/>
              <w:left w:val="nil"/>
              <w:bottom w:val="single" w:sz="12" w:space="0" w:color="auto"/>
              <w:right w:val="nil"/>
            </w:tcBorders>
            <w:tcMar>
              <w:top w:w="72" w:type="dxa"/>
              <w:left w:w="115" w:type="dxa"/>
              <w:bottom w:w="72" w:type="dxa"/>
              <w:right w:w="115" w:type="dxa"/>
            </w:tcMar>
          </w:tcPr>
          <w:p w14:paraId="21CC3D37" w14:textId="0C44C4C7" w:rsidR="007B0A52" w:rsidRDefault="007B0A52" w:rsidP="00C058CD">
            <w:pPr>
              <w:jc w:val="center"/>
              <w:rPr>
                <w:rFonts w:ascii="Arial" w:hAnsi="Arial" w:cs="Arial"/>
                <w:sz w:val="22"/>
                <w:szCs w:val="22"/>
              </w:rPr>
            </w:pPr>
            <w:r>
              <w:rPr>
                <w:rFonts w:ascii="Arial" w:hAnsi="Arial" w:cs="Arial"/>
                <w:sz w:val="22"/>
                <w:szCs w:val="22"/>
              </w:rPr>
              <w:t>Various East KC</w:t>
            </w:r>
            <w:r w:rsidR="000A0A4A">
              <w:rPr>
                <w:rFonts w:ascii="Arial" w:hAnsi="Arial" w:cs="Arial"/>
                <w:sz w:val="22"/>
                <w:szCs w:val="22"/>
              </w:rPr>
              <w:t xml:space="preserve"> sites</w:t>
            </w:r>
          </w:p>
        </w:tc>
      </w:tr>
    </w:tbl>
    <w:p w14:paraId="573B0C19" w14:textId="77777777" w:rsidR="00C058CD" w:rsidRPr="005102EF" w:rsidRDefault="00C058CD" w:rsidP="005102EF">
      <w:pPr>
        <w:spacing w:line="264" w:lineRule="auto"/>
        <w:jc w:val="both"/>
        <w:rPr>
          <w:rFonts w:ascii="Arial" w:hAnsi="Arial" w:cs="Arial"/>
          <w:bCs/>
        </w:rPr>
      </w:pPr>
    </w:p>
    <w:p w14:paraId="590BE85D" w14:textId="38DE1A8B" w:rsidR="00AD7EDD" w:rsidRDefault="00AD7EDD" w:rsidP="003E1DA6">
      <w:pPr>
        <w:spacing w:line="264" w:lineRule="auto"/>
        <w:jc w:val="both"/>
        <w:rPr>
          <w:rFonts w:ascii="Arial" w:hAnsi="Arial" w:cs="Arial"/>
          <w:bCs/>
          <w:szCs w:val="24"/>
        </w:rPr>
      </w:pPr>
    </w:p>
    <w:p w14:paraId="3BAD0968" w14:textId="37BD93BB" w:rsidR="00AD7EDD" w:rsidRDefault="00AD7EDD" w:rsidP="003A2E1E">
      <w:pPr>
        <w:spacing w:line="264" w:lineRule="auto"/>
        <w:jc w:val="both"/>
        <w:rPr>
          <w:rFonts w:ascii="Arial" w:hAnsi="Arial" w:cs="Arial"/>
          <w:bCs/>
          <w:szCs w:val="24"/>
        </w:rPr>
      </w:pPr>
      <w:r w:rsidRPr="00AD7EDD">
        <w:rPr>
          <w:rFonts w:ascii="Arial" w:hAnsi="Arial" w:cs="Arial"/>
          <w:bCs/>
          <w:i/>
          <w:iCs/>
          <w:szCs w:val="24"/>
        </w:rPr>
        <w:t xml:space="preserve">Jail Health: Vaccination Program. </w:t>
      </w:r>
      <w:r w:rsidR="00A82D78">
        <w:rPr>
          <w:rFonts w:ascii="Arial" w:hAnsi="Arial" w:cs="Arial"/>
          <w:bCs/>
          <w:szCs w:val="24"/>
        </w:rPr>
        <w:t>Executive staff state that a</w:t>
      </w:r>
      <w:r w:rsidRPr="00AD7EDD">
        <w:rPr>
          <w:rFonts w:ascii="Arial" w:hAnsi="Arial" w:cs="Arial"/>
          <w:bCs/>
          <w:szCs w:val="24"/>
        </w:rPr>
        <w:t xml:space="preserve">s of </w:t>
      </w:r>
      <w:r w:rsidR="00A82D78">
        <w:rPr>
          <w:rFonts w:ascii="Arial" w:hAnsi="Arial" w:cs="Arial"/>
          <w:bCs/>
          <w:szCs w:val="24"/>
        </w:rPr>
        <w:t xml:space="preserve">June 21, 2021, </w:t>
      </w:r>
      <w:r w:rsidRPr="00AD7EDD">
        <w:rPr>
          <w:rFonts w:ascii="Arial" w:hAnsi="Arial" w:cs="Arial"/>
          <w:bCs/>
          <w:szCs w:val="24"/>
        </w:rPr>
        <w:t xml:space="preserve">approximately 55% of </w:t>
      </w:r>
      <w:r w:rsidR="00357E74">
        <w:rPr>
          <w:rFonts w:ascii="Arial" w:hAnsi="Arial" w:cs="Arial"/>
          <w:bCs/>
          <w:szCs w:val="24"/>
        </w:rPr>
        <w:t>Jail Health’s</w:t>
      </w:r>
      <w:r w:rsidRPr="00AD7EDD">
        <w:rPr>
          <w:rFonts w:ascii="Arial" w:hAnsi="Arial" w:cs="Arial"/>
          <w:bCs/>
          <w:szCs w:val="24"/>
        </w:rPr>
        <w:t xml:space="preserve"> patient population </w:t>
      </w:r>
      <w:r w:rsidR="00357E74">
        <w:rPr>
          <w:rFonts w:ascii="Arial" w:hAnsi="Arial" w:cs="Arial"/>
          <w:bCs/>
          <w:szCs w:val="24"/>
        </w:rPr>
        <w:t>is</w:t>
      </w:r>
      <w:r w:rsidRPr="00AD7EDD">
        <w:rPr>
          <w:rFonts w:ascii="Arial" w:hAnsi="Arial" w:cs="Arial"/>
          <w:bCs/>
          <w:szCs w:val="24"/>
        </w:rPr>
        <w:t xml:space="preserve"> fully vaccinated</w:t>
      </w:r>
      <w:r w:rsidR="00357E74">
        <w:rPr>
          <w:rFonts w:ascii="Arial" w:hAnsi="Arial" w:cs="Arial"/>
          <w:bCs/>
          <w:szCs w:val="24"/>
        </w:rPr>
        <w:t xml:space="preserve">. </w:t>
      </w:r>
      <w:r w:rsidRPr="00AD7EDD">
        <w:rPr>
          <w:rFonts w:ascii="Arial" w:hAnsi="Arial" w:cs="Arial"/>
          <w:bCs/>
          <w:szCs w:val="24"/>
        </w:rPr>
        <w:t xml:space="preserve">As of </w:t>
      </w:r>
      <w:r w:rsidR="00357E74">
        <w:rPr>
          <w:rFonts w:ascii="Arial" w:hAnsi="Arial" w:cs="Arial"/>
          <w:bCs/>
          <w:szCs w:val="24"/>
        </w:rPr>
        <w:t>June 14, 2021,</w:t>
      </w:r>
      <w:r w:rsidRPr="00AD7EDD">
        <w:rPr>
          <w:rFonts w:ascii="Arial" w:hAnsi="Arial" w:cs="Arial"/>
          <w:bCs/>
          <w:szCs w:val="24"/>
        </w:rPr>
        <w:t xml:space="preserve"> there was a 42% acceptance rate for those who are unvaccinated and are offered the vaccine while in jail.</w:t>
      </w:r>
      <w:r w:rsidR="00357E74">
        <w:rPr>
          <w:rFonts w:ascii="Arial" w:hAnsi="Arial" w:cs="Arial"/>
          <w:bCs/>
          <w:szCs w:val="24"/>
        </w:rPr>
        <w:t xml:space="preserve"> Executive staff further state that Jail Health </w:t>
      </w:r>
      <w:r w:rsidRPr="00AD7EDD">
        <w:rPr>
          <w:rFonts w:ascii="Arial" w:hAnsi="Arial" w:cs="Arial"/>
          <w:bCs/>
          <w:szCs w:val="24"/>
        </w:rPr>
        <w:t xml:space="preserve">has not set a specific goal related to the number or percentage of patients vaccinated as the population in jail continuously changes depending on length of stay.  However, </w:t>
      </w:r>
      <w:r w:rsidR="00357E74">
        <w:rPr>
          <w:rFonts w:ascii="Arial" w:hAnsi="Arial" w:cs="Arial"/>
          <w:bCs/>
          <w:szCs w:val="24"/>
        </w:rPr>
        <w:t>Jail Health</w:t>
      </w:r>
      <w:r w:rsidRPr="00AD7EDD">
        <w:rPr>
          <w:rFonts w:ascii="Arial" w:hAnsi="Arial" w:cs="Arial"/>
          <w:bCs/>
          <w:szCs w:val="24"/>
        </w:rPr>
        <w:t xml:space="preserve"> does have some basic process-level goals for vaccinating inmates including offering all inmates COVID-19 vaccinations</w:t>
      </w:r>
      <w:r w:rsidR="003A2E1E">
        <w:rPr>
          <w:rFonts w:ascii="Arial" w:hAnsi="Arial" w:cs="Arial"/>
          <w:bCs/>
          <w:szCs w:val="24"/>
        </w:rPr>
        <w:t>.</w:t>
      </w:r>
    </w:p>
    <w:p w14:paraId="7ED9463F" w14:textId="7068CC81" w:rsidR="003A2E1E" w:rsidRDefault="003A2E1E" w:rsidP="003A2E1E">
      <w:pPr>
        <w:spacing w:line="264" w:lineRule="auto"/>
        <w:jc w:val="both"/>
        <w:rPr>
          <w:rFonts w:ascii="Arial" w:hAnsi="Arial" w:cs="Arial"/>
          <w:bCs/>
          <w:szCs w:val="24"/>
        </w:rPr>
      </w:pPr>
    </w:p>
    <w:p w14:paraId="7ED730EF" w14:textId="024EA8E9" w:rsidR="001D6103" w:rsidRDefault="003A2E1E" w:rsidP="001D6103">
      <w:pPr>
        <w:spacing w:line="264" w:lineRule="auto"/>
        <w:jc w:val="both"/>
        <w:rPr>
          <w:rFonts w:ascii="Arial" w:hAnsi="Arial" w:cs="Arial"/>
          <w:bCs/>
          <w:szCs w:val="24"/>
        </w:rPr>
      </w:pPr>
      <w:r w:rsidRPr="003A2E1E">
        <w:rPr>
          <w:rFonts w:ascii="Arial" w:hAnsi="Arial" w:cs="Arial"/>
          <w:bCs/>
          <w:i/>
          <w:iCs/>
          <w:szCs w:val="24"/>
        </w:rPr>
        <w:t>HCD: Eviction Prevention and Rental Assistance Program</w:t>
      </w:r>
      <w:r w:rsidR="00DD7E4C">
        <w:rPr>
          <w:rFonts w:ascii="Arial" w:hAnsi="Arial" w:cs="Arial"/>
          <w:bCs/>
          <w:i/>
          <w:iCs/>
          <w:szCs w:val="24"/>
        </w:rPr>
        <w:t xml:space="preserve"> (EPRAP)</w:t>
      </w:r>
      <w:r w:rsidRPr="003A2E1E">
        <w:rPr>
          <w:rFonts w:ascii="Arial" w:hAnsi="Arial" w:cs="Arial"/>
          <w:bCs/>
          <w:i/>
          <w:iCs/>
          <w:szCs w:val="24"/>
        </w:rPr>
        <w:t>.</w:t>
      </w:r>
      <w:r>
        <w:rPr>
          <w:rFonts w:ascii="Arial" w:hAnsi="Arial" w:cs="Arial"/>
          <w:bCs/>
          <w:szCs w:val="24"/>
        </w:rPr>
        <w:t xml:space="preserve">  COVID 8 would appropriate an additional </w:t>
      </w:r>
      <w:r w:rsidR="0088079B">
        <w:rPr>
          <w:rFonts w:ascii="Arial" w:hAnsi="Arial" w:cs="Arial"/>
          <w:bCs/>
          <w:szCs w:val="24"/>
        </w:rPr>
        <w:t>$62.8 million to support the county’s Eviction Prevention and Rental Assistance Program (EPRAP)</w:t>
      </w:r>
      <w:r w:rsidR="00A329A2">
        <w:rPr>
          <w:rFonts w:ascii="Arial" w:hAnsi="Arial" w:cs="Arial"/>
          <w:bCs/>
          <w:szCs w:val="24"/>
        </w:rPr>
        <w:t xml:space="preserve">. </w:t>
      </w:r>
      <w:r w:rsidR="00A329A2" w:rsidRPr="005D2FE7">
        <w:rPr>
          <w:rFonts w:ascii="Arial" w:hAnsi="Arial" w:cs="Arial"/>
          <w:bCs/>
          <w:color w:val="C0504D" w:themeColor="accent2"/>
          <w:szCs w:val="24"/>
        </w:rPr>
        <w:t xml:space="preserve">Of the total, $13.2 million would be </w:t>
      </w:r>
      <w:r w:rsidR="00DD7E4C" w:rsidRPr="005D2FE7">
        <w:rPr>
          <w:rFonts w:ascii="Arial" w:hAnsi="Arial" w:cs="Arial"/>
          <w:bCs/>
          <w:color w:val="C0504D" w:themeColor="accent2"/>
          <w:szCs w:val="24"/>
        </w:rPr>
        <w:t>supported by</w:t>
      </w:r>
      <w:r w:rsidR="00A329A2" w:rsidRPr="005D2FE7">
        <w:rPr>
          <w:rFonts w:ascii="Arial" w:hAnsi="Arial" w:cs="Arial"/>
          <w:bCs/>
          <w:color w:val="C0504D" w:themeColor="accent2"/>
          <w:szCs w:val="24"/>
        </w:rPr>
        <w:t xml:space="preserve"> </w:t>
      </w:r>
      <w:r w:rsidR="00F36561" w:rsidRPr="005D2FE7">
        <w:rPr>
          <w:rFonts w:ascii="Arial" w:hAnsi="Arial" w:cs="Arial"/>
          <w:bCs/>
          <w:color w:val="C0504D" w:themeColor="accent2"/>
          <w:szCs w:val="24"/>
        </w:rPr>
        <w:t>new</w:t>
      </w:r>
      <w:r w:rsidR="00DD7E4C" w:rsidRPr="005D2FE7">
        <w:rPr>
          <w:rFonts w:ascii="Arial" w:hAnsi="Arial" w:cs="Arial"/>
          <w:bCs/>
          <w:color w:val="C0504D" w:themeColor="accent2"/>
          <w:szCs w:val="24"/>
        </w:rPr>
        <w:t xml:space="preserve"> grants from the State’s </w:t>
      </w:r>
      <w:r w:rsidR="00F36561" w:rsidRPr="005D2FE7">
        <w:rPr>
          <w:rFonts w:ascii="Arial" w:hAnsi="Arial" w:cs="Arial"/>
          <w:bCs/>
          <w:color w:val="C0504D" w:themeColor="accent2"/>
          <w:szCs w:val="24"/>
        </w:rPr>
        <w:t>Disaster Response Account</w:t>
      </w:r>
      <w:r w:rsidR="00A329A2" w:rsidRPr="005D2FE7">
        <w:rPr>
          <w:rFonts w:ascii="Arial" w:hAnsi="Arial" w:cs="Arial"/>
          <w:bCs/>
          <w:color w:val="C0504D" w:themeColor="accent2"/>
          <w:szCs w:val="24"/>
        </w:rPr>
        <w:t xml:space="preserve"> and be used for EPRAP 1.5, essentially a continuation of EPRAP 1.0 that was implemented in 2020</w:t>
      </w:r>
      <w:r w:rsidR="00196B75" w:rsidRPr="005D2FE7">
        <w:rPr>
          <w:rFonts w:ascii="Arial" w:hAnsi="Arial" w:cs="Arial"/>
          <w:bCs/>
          <w:color w:val="C0504D" w:themeColor="accent2"/>
          <w:szCs w:val="24"/>
        </w:rPr>
        <w:t xml:space="preserve">. </w:t>
      </w:r>
      <w:r w:rsidR="00A329A2" w:rsidRPr="005D2FE7">
        <w:rPr>
          <w:rFonts w:ascii="Arial" w:hAnsi="Arial" w:cs="Arial"/>
          <w:bCs/>
          <w:color w:val="C0504D" w:themeColor="accent2"/>
          <w:szCs w:val="24"/>
        </w:rPr>
        <w:t xml:space="preserve">The remaining $49.6 million would be supported by additional funds from ARPA to support EPRAP 3.0, which would </w:t>
      </w:r>
      <w:r w:rsidR="001D6103" w:rsidRPr="005D2FE7">
        <w:rPr>
          <w:rFonts w:ascii="Arial" w:hAnsi="Arial" w:cs="Arial"/>
          <w:bCs/>
          <w:color w:val="C0504D" w:themeColor="accent2"/>
          <w:szCs w:val="24"/>
        </w:rPr>
        <w:t>continue building on the foundation established</w:t>
      </w:r>
      <w:r w:rsidR="005D2FE7" w:rsidRPr="005D2FE7">
        <w:rPr>
          <w:rFonts w:ascii="Arial" w:hAnsi="Arial" w:cs="Arial"/>
          <w:bCs/>
          <w:color w:val="C0504D" w:themeColor="accent2"/>
          <w:szCs w:val="24"/>
        </w:rPr>
        <w:t xml:space="preserve"> in EPRAP 2.0 to include </w:t>
      </w:r>
      <w:r w:rsidR="001D6103" w:rsidRPr="005D2FE7">
        <w:rPr>
          <w:rFonts w:ascii="Arial" w:hAnsi="Arial" w:cs="Arial"/>
          <w:bCs/>
          <w:color w:val="C0504D" w:themeColor="accent2"/>
          <w:szCs w:val="24"/>
        </w:rPr>
        <w:t xml:space="preserve">all three </w:t>
      </w:r>
      <w:r w:rsidR="005D2FE7" w:rsidRPr="005D2FE7">
        <w:rPr>
          <w:rFonts w:ascii="Arial" w:hAnsi="Arial" w:cs="Arial"/>
          <w:bCs/>
          <w:color w:val="C0504D" w:themeColor="accent2"/>
          <w:szCs w:val="24"/>
        </w:rPr>
        <w:t>sub</w:t>
      </w:r>
      <w:r w:rsidR="001D6103" w:rsidRPr="005D2FE7">
        <w:rPr>
          <w:rFonts w:ascii="Arial" w:hAnsi="Arial" w:cs="Arial"/>
          <w:bCs/>
          <w:color w:val="C0504D" w:themeColor="accent2"/>
          <w:szCs w:val="24"/>
        </w:rPr>
        <w:t xml:space="preserve">programs (Large Landlord, Tenant Pool, and Hub/Spoke). However, EPRAP </w:t>
      </w:r>
      <w:r w:rsidR="005D2FE7" w:rsidRPr="005D2FE7">
        <w:rPr>
          <w:rFonts w:ascii="Arial" w:hAnsi="Arial" w:cs="Arial"/>
          <w:bCs/>
          <w:color w:val="C0504D" w:themeColor="accent2"/>
          <w:szCs w:val="24"/>
        </w:rPr>
        <w:t>3.0 will</w:t>
      </w:r>
      <w:r w:rsidR="001D6103" w:rsidRPr="005D2FE7">
        <w:rPr>
          <w:rFonts w:ascii="Arial" w:hAnsi="Arial" w:cs="Arial"/>
          <w:bCs/>
          <w:color w:val="C0504D" w:themeColor="accent2"/>
          <w:szCs w:val="24"/>
        </w:rPr>
        <w:t xml:space="preserve"> need to change to adapt to the new restrictions and </w:t>
      </w:r>
      <w:r w:rsidR="005D2FE7" w:rsidRPr="005D2FE7">
        <w:rPr>
          <w:rFonts w:ascii="Arial" w:hAnsi="Arial" w:cs="Arial"/>
          <w:bCs/>
          <w:color w:val="C0504D" w:themeColor="accent2"/>
          <w:szCs w:val="24"/>
        </w:rPr>
        <w:t>Department of Treasury</w:t>
      </w:r>
      <w:r w:rsidR="001D6103" w:rsidRPr="005D2FE7">
        <w:rPr>
          <w:rFonts w:ascii="Arial" w:hAnsi="Arial" w:cs="Arial"/>
          <w:bCs/>
          <w:color w:val="C0504D" w:themeColor="accent2"/>
          <w:szCs w:val="24"/>
        </w:rPr>
        <w:t xml:space="preserve"> guidance under ARPA</w:t>
      </w:r>
      <w:r w:rsidR="005D2FE7" w:rsidRPr="005D2FE7">
        <w:rPr>
          <w:rFonts w:ascii="Arial" w:hAnsi="Arial" w:cs="Arial"/>
          <w:bCs/>
          <w:color w:val="C0504D" w:themeColor="accent2"/>
          <w:szCs w:val="24"/>
        </w:rPr>
        <w:t>, which requires</w:t>
      </w:r>
      <w:r w:rsidR="001D6103" w:rsidRPr="005D2FE7">
        <w:rPr>
          <w:rFonts w:ascii="Arial" w:hAnsi="Arial" w:cs="Arial"/>
          <w:bCs/>
          <w:color w:val="C0504D" w:themeColor="accent2"/>
          <w:szCs w:val="24"/>
        </w:rPr>
        <w:t xml:space="preserve"> that funds be made available directly to</w:t>
      </w:r>
      <w:r w:rsidR="005D2FE7" w:rsidRPr="005D2FE7">
        <w:rPr>
          <w:rFonts w:ascii="Arial" w:hAnsi="Arial" w:cs="Arial"/>
          <w:bCs/>
          <w:color w:val="C0504D" w:themeColor="accent2"/>
          <w:szCs w:val="24"/>
        </w:rPr>
        <w:t xml:space="preserve"> </w:t>
      </w:r>
      <w:r w:rsidR="001D6103" w:rsidRPr="005D2FE7">
        <w:rPr>
          <w:rFonts w:ascii="Arial" w:hAnsi="Arial" w:cs="Arial"/>
          <w:bCs/>
          <w:color w:val="C0504D" w:themeColor="accent2"/>
          <w:szCs w:val="24"/>
        </w:rPr>
        <w:t>tenants (as</w:t>
      </w:r>
      <w:r w:rsidR="005D2FE7">
        <w:rPr>
          <w:rFonts w:ascii="Arial" w:hAnsi="Arial" w:cs="Arial"/>
          <w:bCs/>
          <w:color w:val="C0504D" w:themeColor="accent2"/>
          <w:szCs w:val="24"/>
        </w:rPr>
        <w:t xml:space="preserve"> </w:t>
      </w:r>
      <w:r w:rsidR="001D6103" w:rsidRPr="005D2FE7">
        <w:rPr>
          <w:rFonts w:ascii="Arial" w:hAnsi="Arial" w:cs="Arial"/>
          <w:bCs/>
          <w:color w:val="C0504D" w:themeColor="accent2"/>
          <w:szCs w:val="24"/>
        </w:rPr>
        <w:t xml:space="preserve">opposed to paid to landlords on behalf of tenants). </w:t>
      </w:r>
      <w:r w:rsidR="005D2FE7" w:rsidRPr="005D2FE7">
        <w:rPr>
          <w:rFonts w:ascii="Arial" w:hAnsi="Arial" w:cs="Arial"/>
          <w:bCs/>
          <w:color w:val="C0504D" w:themeColor="accent2"/>
          <w:szCs w:val="24"/>
        </w:rPr>
        <w:t xml:space="preserve">Executive staff state that they may </w:t>
      </w:r>
      <w:r w:rsidR="001D6103" w:rsidRPr="005D2FE7">
        <w:rPr>
          <w:rFonts w:ascii="Arial" w:hAnsi="Arial" w:cs="Arial"/>
          <w:bCs/>
          <w:color w:val="C0504D" w:themeColor="accent2"/>
          <w:szCs w:val="24"/>
        </w:rPr>
        <w:t>also need to modify the data system, adjust how applications are processed, and perhaps change documentation requirements.</w:t>
      </w:r>
    </w:p>
    <w:p w14:paraId="2E9973EE" w14:textId="77777777" w:rsidR="005D2FE7" w:rsidRDefault="005D2FE7" w:rsidP="003A2E1E">
      <w:pPr>
        <w:spacing w:line="264" w:lineRule="auto"/>
        <w:jc w:val="both"/>
        <w:rPr>
          <w:rFonts w:ascii="Arial" w:hAnsi="Arial" w:cs="Arial"/>
          <w:bCs/>
          <w:szCs w:val="24"/>
        </w:rPr>
      </w:pPr>
    </w:p>
    <w:p w14:paraId="6A1D3BD2" w14:textId="1057BB24" w:rsidR="00E02BBC" w:rsidRDefault="00E02BBC" w:rsidP="003A2E1E">
      <w:pPr>
        <w:spacing w:line="264" w:lineRule="auto"/>
        <w:jc w:val="both"/>
        <w:rPr>
          <w:rFonts w:ascii="Arial" w:hAnsi="Arial" w:cs="Arial"/>
          <w:bCs/>
          <w:color w:val="C0504D" w:themeColor="accent2"/>
          <w:szCs w:val="24"/>
        </w:rPr>
      </w:pPr>
      <w:r w:rsidRPr="004042C6">
        <w:rPr>
          <w:rFonts w:ascii="Arial" w:hAnsi="Arial" w:cs="Arial"/>
          <w:bCs/>
          <w:color w:val="C0504D" w:themeColor="accent2"/>
          <w:szCs w:val="24"/>
        </w:rPr>
        <w:t>In addition, since the July 6</w:t>
      </w:r>
      <w:r w:rsidRPr="004042C6">
        <w:rPr>
          <w:rFonts w:ascii="Arial" w:hAnsi="Arial" w:cs="Arial"/>
          <w:bCs/>
          <w:color w:val="C0504D" w:themeColor="accent2"/>
          <w:szCs w:val="24"/>
          <w:vertAlign w:val="superscript"/>
        </w:rPr>
        <w:t>th</w:t>
      </w:r>
      <w:r w:rsidRPr="004042C6">
        <w:rPr>
          <w:rFonts w:ascii="Arial" w:hAnsi="Arial" w:cs="Arial"/>
          <w:bCs/>
          <w:color w:val="C0504D" w:themeColor="accent2"/>
          <w:szCs w:val="24"/>
        </w:rPr>
        <w:t xml:space="preserve"> BFM meeting, executive staff has informed council staff and the BFM Chair that the county would receive an additional $177 million of </w:t>
      </w:r>
      <w:r w:rsidR="005D2FE7">
        <w:rPr>
          <w:rFonts w:ascii="Arial" w:hAnsi="Arial" w:cs="Arial"/>
          <w:bCs/>
          <w:color w:val="C0504D" w:themeColor="accent2"/>
          <w:szCs w:val="24"/>
        </w:rPr>
        <w:t xml:space="preserve">ARPA supported </w:t>
      </w:r>
      <w:r w:rsidRPr="004042C6">
        <w:rPr>
          <w:rFonts w:ascii="Arial" w:hAnsi="Arial" w:cs="Arial"/>
          <w:bCs/>
          <w:color w:val="C0504D" w:themeColor="accent2"/>
          <w:szCs w:val="24"/>
        </w:rPr>
        <w:t xml:space="preserve">State Department of Commerce Treasury Rent Assistance Program (T-RAP 2.0) grants </w:t>
      </w:r>
      <w:r w:rsidR="004042C6" w:rsidRPr="004042C6">
        <w:rPr>
          <w:rFonts w:ascii="Arial" w:hAnsi="Arial" w:cs="Arial"/>
          <w:bCs/>
          <w:color w:val="C0504D" w:themeColor="accent2"/>
          <w:szCs w:val="24"/>
        </w:rPr>
        <w:t>to support EPRAP</w:t>
      </w:r>
      <w:r w:rsidR="005D2FE7">
        <w:rPr>
          <w:rFonts w:ascii="Arial" w:hAnsi="Arial" w:cs="Arial"/>
          <w:bCs/>
          <w:color w:val="C0504D" w:themeColor="accent2"/>
          <w:szCs w:val="24"/>
        </w:rPr>
        <w:t xml:space="preserve"> 3.0</w:t>
      </w:r>
      <w:r w:rsidR="004042C6" w:rsidRPr="004042C6">
        <w:rPr>
          <w:rFonts w:ascii="Arial" w:hAnsi="Arial" w:cs="Arial"/>
          <w:bCs/>
          <w:color w:val="C0504D" w:themeColor="accent2"/>
          <w:szCs w:val="24"/>
        </w:rPr>
        <w:t>.</w:t>
      </w:r>
      <w:r w:rsidR="005D2FE7">
        <w:rPr>
          <w:rFonts w:ascii="Arial" w:hAnsi="Arial" w:cs="Arial"/>
          <w:bCs/>
          <w:color w:val="C0504D" w:themeColor="accent2"/>
          <w:szCs w:val="24"/>
        </w:rPr>
        <w:t xml:space="preserve"> </w:t>
      </w:r>
      <w:r w:rsidR="004042C6" w:rsidRPr="004042C6">
        <w:rPr>
          <w:rFonts w:ascii="Arial" w:hAnsi="Arial" w:cs="Arial"/>
          <w:bCs/>
          <w:color w:val="C0504D" w:themeColor="accent2"/>
          <w:szCs w:val="24"/>
        </w:rPr>
        <w:t>Council staff is working with the BFM Chair to include the appropriation authority needed to expend these grants in the BFM Chair’s striking amendment.</w:t>
      </w:r>
    </w:p>
    <w:p w14:paraId="7D1813C2" w14:textId="77777777" w:rsidR="00E02BBC" w:rsidRDefault="00E02BBC" w:rsidP="003A2E1E">
      <w:pPr>
        <w:spacing w:line="264" w:lineRule="auto"/>
        <w:jc w:val="both"/>
        <w:rPr>
          <w:rFonts w:ascii="Arial" w:hAnsi="Arial" w:cs="Arial"/>
          <w:bCs/>
          <w:szCs w:val="24"/>
        </w:rPr>
      </w:pPr>
    </w:p>
    <w:p w14:paraId="4A2FEB2B" w14:textId="7E8CDD70" w:rsidR="0088079B" w:rsidRDefault="00196B75" w:rsidP="003A2E1E">
      <w:pPr>
        <w:spacing w:line="264" w:lineRule="auto"/>
        <w:jc w:val="both"/>
        <w:rPr>
          <w:rFonts w:ascii="Arial" w:hAnsi="Arial" w:cs="Arial"/>
          <w:bCs/>
          <w:szCs w:val="24"/>
        </w:rPr>
      </w:pPr>
      <w:r>
        <w:rPr>
          <w:rFonts w:ascii="Arial" w:hAnsi="Arial" w:cs="Arial"/>
          <w:bCs/>
          <w:szCs w:val="24"/>
        </w:rPr>
        <w:t xml:space="preserve">Table 6 below </w:t>
      </w:r>
      <w:r w:rsidR="00D007C8">
        <w:rPr>
          <w:rFonts w:ascii="Arial" w:hAnsi="Arial" w:cs="Arial"/>
          <w:bCs/>
          <w:szCs w:val="24"/>
        </w:rPr>
        <w:t xml:space="preserve">provides a summary of all appropriations </w:t>
      </w:r>
      <w:r w:rsidR="00815CBA">
        <w:rPr>
          <w:rFonts w:ascii="Arial" w:hAnsi="Arial" w:cs="Arial"/>
          <w:bCs/>
          <w:szCs w:val="24"/>
        </w:rPr>
        <w:t xml:space="preserve">to-date </w:t>
      </w:r>
      <w:r w:rsidR="00435742">
        <w:rPr>
          <w:rFonts w:ascii="Arial" w:hAnsi="Arial" w:cs="Arial"/>
          <w:bCs/>
          <w:szCs w:val="24"/>
        </w:rPr>
        <w:t>for EPRAP.</w:t>
      </w:r>
    </w:p>
    <w:p w14:paraId="6BDE8E4E" w14:textId="77777777" w:rsidR="000A0A4A" w:rsidRDefault="000A0A4A" w:rsidP="00443DC5">
      <w:pPr>
        <w:rPr>
          <w:sz w:val="22"/>
        </w:rPr>
      </w:pPr>
    </w:p>
    <w:p w14:paraId="5F3A9179" w14:textId="225AA7A5" w:rsidR="00435742" w:rsidRDefault="00435742" w:rsidP="00260269">
      <w:pPr>
        <w:keepNext/>
        <w:spacing w:line="264" w:lineRule="auto"/>
        <w:jc w:val="center"/>
        <w:rPr>
          <w:rFonts w:ascii="Arial" w:hAnsi="Arial" w:cs="Arial"/>
          <w:b/>
          <w:szCs w:val="24"/>
        </w:rPr>
      </w:pPr>
      <w:r>
        <w:rPr>
          <w:rFonts w:ascii="Arial" w:hAnsi="Arial" w:cs="Arial"/>
          <w:b/>
          <w:szCs w:val="24"/>
        </w:rPr>
        <w:t>Table 6</w:t>
      </w:r>
    </w:p>
    <w:p w14:paraId="64EBB36F" w14:textId="7139837C" w:rsidR="00435742" w:rsidRDefault="00435742" w:rsidP="00260269">
      <w:pPr>
        <w:keepNext/>
        <w:spacing w:line="264" w:lineRule="auto"/>
        <w:jc w:val="center"/>
        <w:rPr>
          <w:rFonts w:ascii="Arial" w:hAnsi="Arial" w:cs="Arial"/>
          <w:b/>
          <w:szCs w:val="24"/>
        </w:rPr>
      </w:pPr>
      <w:r>
        <w:rPr>
          <w:rFonts w:ascii="Arial" w:hAnsi="Arial" w:cs="Arial"/>
          <w:b/>
          <w:szCs w:val="24"/>
        </w:rPr>
        <w:t>Summary of Appropriations for EPRAP.</w:t>
      </w:r>
    </w:p>
    <w:p w14:paraId="2F7E567D" w14:textId="77777777" w:rsidR="00435742" w:rsidRDefault="00435742" w:rsidP="00260269">
      <w:pPr>
        <w:keepNext/>
        <w:rPr>
          <w:sz w:val="22"/>
        </w:rPr>
      </w:pPr>
    </w:p>
    <w:tbl>
      <w:tblPr>
        <w:tblStyle w:val="TableGrid"/>
        <w:tblW w:w="9360" w:type="dxa"/>
        <w:jc w:val="center"/>
        <w:tblLook w:val="04A0" w:firstRow="1" w:lastRow="0" w:firstColumn="1" w:lastColumn="0" w:noHBand="0" w:noVBand="1"/>
      </w:tblPr>
      <w:tblGrid>
        <w:gridCol w:w="2160"/>
        <w:gridCol w:w="270"/>
        <w:gridCol w:w="1980"/>
        <w:gridCol w:w="270"/>
        <w:gridCol w:w="4680"/>
      </w:tblGrid>
      <w:tr w:rsidR="00435742" w:rsidRPr="008D0300" w14:paraId="2BF7F34C" w14:textId="77777777" w:rsidTr="009638DA">
        <w:trPr>
          <w:cantSplit/>
          <w:trHeight w:val="411"/>
          <w:tblHeader/>
          <w:jc w:val="center"/>
        </w:trPr>
        <w:tc>
          <w:tcPr>
            <w:tcW w:w="2160" w:type="dxa"/>
            <w:tcBorders>
              <w:top w:val="single" w:sz="12" w:space="0" w:color="auto"/>
              <w:left w:val="nil"/>
              <w:bottom w:val="single" w:sz="4" w:space="0" w:color="auto"/>
              <w:right w:val="nil"/>
            </w:tcBorders>
            <w:vAlign w:val="center"/>
          </w:tcPr>
          <w:p w14:paraId="6AFE2F83" w14:textId="5421C2E0" w:rsidR="00435742" w:rsidRDefault="0061148F" w:rsidP="00260269">
            <w:pPr>
              <w:keepNext/>
              <w:jc w:val="center"/>
              <w:rPr>
                <w:rFonts w:ascii="Arial" w:hAnsi="Arial" w:cs="Arial"/>
                <w:b/>
                <w:sz w:val="22"/>
                <w:szCs w:val="22"/>
              </w:rPr>
            </w:pPr>
            <w:r>
              <w:rPr>
                <w:rFonts w:ascii="Arial" w:hAnsi="Arial" w:cs="Arial"/>
                <w:b/>
                <w:sz w:val="22"/>
                <w:szCs w:val="22"/>
              </w:rPr>
              <w:t>Budget Ordinances</w:t>
            </w:r>
          </w:p>
        </w:tc>
        <w:tc>
          <w:tcPr>
            <w:tcW w:w="270" w:type="dxa"/>
            <w:tcBorders>
              <w:top w:val="single" w:sz="12" w:space="0" w:color="auto"/>
              <w:left w:val="nil"/>
              <w:bottom w:val="single" w:sz="4" w:space="0" w:color="auto"/>
              <w:right w:val="nil"/>
            </w:tcBorders>
          </w:tcPr>
          <w:p w14:paraId="347197A5" w14:textId="77777777" w:rsidR="00435742" w:rsidRDefault="00435742" w:rsidP="00260269">
            <w:pPr>
              <w:keepNext/>
              <w:jc w:val="center"/>
              <w:rPr>
                <w:rFonts w:ascii="Arial" w:hAnsi="Arial" w:cs="Arial"/>
                <w:b/>
                <w:sz w:val="22"/>
                <w:szCs w:val="22"/>
              </w:rPr>
            </w:pPr>
          </w:p>
        </w:tc>
        <w:tc>
          <w:tcPr>
            <w:tcW w:w="1980" w:type="dxa"/>
            <w:tcBorders>
              <w:top w:val="single" w:sz="12" w:space="0" w:color="auto"/>
              <w:left w:val="nil"/>
              <w:bottom w:val="single" w:sz="4" w:space="0" w:color="auto"/>
              <w:right w:val="nil"/>
            </w:tcBorders>
            <w:shd w:val="clear" w:color="auto" w:fill="auto"/>
            <w:vAlign w:val="center"/>
          </w:tcPr>
          <w:p w14:paraId="04D373E1" w14:textId="0E26952C" w:rsidR="00435742" w:rsidRPr="008D0300" w:rsidRDefault="0061148F" w:rsidP="00260269">
            <w:pPr>
              <w:keepNext/>
              <w:jc w:val="center"/>
              <w:rPr>
                <w:rFonts w:ascii="Arial" w:hAnsi="Arial" w:cs="Arial"/>
                <w:b/>
                <w:sz w:val="22"/>
                <w:szCs w:val="22"/>
              </w:rPr>
            </w:pPr>
            <w:r>
              <w:rPr>
                <w:rFonts w:ascii="Arial" w:hAnsi="Arial" w:cs="Arial"/>
                <w:b/>
                <w:sz w:val="22"/>
                <w:szCs w:val="22"/>
              </w:rPr>
              <w:t>Appropriation Amount</w:t>
            </w:r>
          </w:p>
        </w:tc>
        <w:tc>
          <w:tcPr>
            <w:tcW w:w="270" w:type="dxa"/>
            <w:tcBorders>
              <w:top w:val="single" w:sz="12" w:space="0" w:color="auto"/>
              <w:left w:val="nil"/>
              <w:bottom w:val="single" w:sz="4" w:space="0" w:color="auto"/>
              <w:right w:val="nil"/>
            </w:tcBorders>
          </w:tcPr>
          <w:p w14:paraId="3F113789" w14:textId="77777777" w:rsidR="00435742" w:rsidRDefault="00435742" w:rsidP="00260269">
            <w:pPr>
              <w:keepNext/>
              <w:jc w:val="center"/>
              <w:rPr>
                <w:rFonts w:ascii="Arial" w:hAnsi="Arial" w:cs="Arial"/>
                <w:b/>
                <w:sz w:val="22"/>
                <w:szCs w:val="22"/>
              </w:rPr>
            </w:pPr>
          </w:p>
        </w:tc>
        <w:tc>
          <w:tcPr>
            <w:tcW w:w="4680" w:type="dxa"/>
            <w:tcBorders>
              <w:top w:val="single" w:sz="12" w:space="0" w:color="auto"/>
              <w:left w:val="nil"/>
              <w:bottom w:val="single" w:sz="4" w:space="0" w:color="auto"/>
              <w:right w:val="single" w:sz="2" w:space="0" w:color="FFFFFF" w:themeColor="background1"/>
            </w:tcBorders>
            <w:vAlign w:val="center"/>
          </w:tcPr>
          <w:p w14:paraId="128C5079" w14:textId="3FA62BA0" w:rsidR="00435742" w:rsidRPr="008D0300" w:rsidRDefault="0061148F" w:rsidP="00260269">
            <w:pPr>
              <w:keepNext/>
              <w:rPr>
                <w:rFonts w:ascii="Arial" w:hAnsi="Arial" w:cs="Arial"/>
                <w:b/>
                <w:sz w:val="22"/>
                <w:szCs w:val="22"/>
              </w:rPr>
            </w:pPr>
            <w:r>
              <w:rPr>
                <w:rFonts w:ascii="Arial" w:hAnsi="Arial" w:cs="Arial"/>
                <w:b/>
                <w:sz w:val="22"/>
                <w:szCs w:val="22"/>
              </w:rPr>
              <w:t>Description</w:t>
            </w:r>
          </w:p>
        </w:tc>
      </w:tr>
      <w:tr w:rsidR="00435742" w:rsidRPr="008D0300" w14:paraId="7A1C7CA8" w14:textId="77777777" w:rsidTr="009638DA">
        <w:trPr>
          <w:cantSplit/>
          <w:jc w:val="center"/>
        </w:trPr>
        <w:tc>
          <w:tcPr>
            <w:tcW w:w="2160" w:type="dxa"/>
            <w:tcBorders>
              <w:top w:val="single" w:sz="4" w:space="0" w:color="auto"/>
              <w:left w:val="nil"/>
              <w:bottom w:val="single" w:sz="4" w:space="0" w:color="auto"/>
              <w:right w:val="nil"/>
            </w:tcBorders>
          </w:tcPr>
          <w:p w14:paraId="75436C75" w14:textId="66A538D1" w:rsidR="003E50AB" w:rsidRDefault="003E50AB" w:rsidP="00260269">
            <w:pPr>
              <w:keepNext/>
              <w:jc w:val="center"/>
              <w:rPr>
                <w:rFonts w:ascii="Arial" w:hAnsi="Arial" w:cs="Arial"/>
                <w:sz w:val="22"/>
                <w:szCs w:val="22"/>
              </w:rPr>
            </w:pPr>
            <w:r>
              <w:rPr>
                <w:rFonts w:ascii="Arial" w:hAnsi="Arial" w:cs="Arial"/>
                <w:sz w:val="22"/>
                <w:szCs w:val="22"/>
              </w:rPr>
              <w:t>20</w:t>
            </w:r>
            <w:r w:rsidR="00367185">
              <w:rPr>
                <w:rFonts w:ascii="Arial" w:hAnsi="Arial" w:cs="Arial"/>
                <w:sz w:val="22"/>
                <w:szCs w:val="22"/>
              </w:rPr>
              <w:t>19</w:t>
            </w:r>
            <w:r>
              <w:rPr>
                <w:rFonts w:ascii="Arial" w:hAnsi="Arial" w:cs="Arial"/>
                <w:sz w:val="22"/>
                <w:szCs w:val="22"/>
              </w:rPr>
              <w:t>-202</w:t>
            </w:r>
            <w:r w:rsidR="001C2C7A">
              <w:rPr>
                <w:rFonts w:ascii="Arial" w:hAnsi="Arial" w:cs="Arial"/>
                <w:sz w:val="22"/>
                <w:szCs w:val="22"/>
              </w:rPr>
              <w:t>0</w:t>
            </w:r>
            <w:r>
              <w:rPr>
                <w:rFonts w:ascii="Arial" w:hAnsi="Arial" w:cs="Arial"/>
                <w:sz w:val="22"/>
                <w:szCs w:val="22"/>
              </w:rPr>
              <w:t xml:space="preserve"> Budget</w:t>
            </w:r>
            <w:r w:rsidR="001C2C7A">
              <w:rPr>
                <w:rFonts w:ascii="Arial" w:hAnsi="Arial" w:cs="Arial"/>
                <w:sz w:val="22"/>
                <w:szCs w:val="22"/>
              </w:rPr>
              <w:t xml:space="preserve"> and supplementals</w:t>
            </w:r>
          </w:p>
          <w:p w14:paraId="3E339DFC" w14:textId="2C3395AA" w:rsidR="003E50AB" w:rsidRDefault="003E50AB" w:rsidP="00260269">
            <w:pPr>
              <w:keepNext/>
              <w:jc w:val="center"/>
              <w:rPr>
                <w:rFonts w:ascii="Arial" w:hAnsi="Arial" w:cs="Arial"/>
                <w:sz w:val="22"/>
                <w:szCs w:val="22"/>
              </w:rPr>
            </w:pPr>
            <w:r>
              <w:rPr>
                <w:rFonts w:ascii="Arial" w:hAnsi="Arial" w:cs="Arial"/>
                <w:sz w:val="22"/>
                <w:szCs w:val="22"/>
              </w:rPr>
              <w:t>(</w:t>
            </w:r>
            <w:r w:rsidR="001C2C7A">
              <w:rPr>
                <w:rFonts w:ascii="Arial" w:hAnsi="Arial" w:cs="Arial"/>
                <w:sz w:val="22"/>
                <w:szCs w:val="22"/>
              </w:rPr>
              <w:t>Various</w:t>
            </w:r>
            <w:r>
              <w:rPr>
                <w:rFonts w:ascii="Arial" w:hAnsi="Arial" w:cs="Arial"/>
                <w:sz w:val="22"/>
                <w:szCs w:val="22"/>
              </w:rPr>
              <w:t>)</w:t>
            </w:r>
          </w:p>
          <w:p w14:paraId="65F0B567" w14:textId="77777777" w:rsidR="003E50AB" w:rsidRDefault="003E50AB" w:rsidP="00260269">
            <w:pPr>
              <w:keepNext/>
              <w:jc w:val="center"/>
              <w:rPr>
                <w:rFonts w:ascii="Arial" w:hAnsi="Arial" w:cs="Arial"/>
                <w:sz w:val="22"/>
                <w:szCs w:val="22"/>
              </w:rPr>
            </w:pPr>
          </w:p>
          <w:p w14:paraId="19C1F558" w14:textId="36A4A8E9" w:rsidR="00435742" w:rsidRDefault="0061148F" w:rsidP="00260269">
            <w:pPr>
              <w:keepNext/>
              <w:jc w:val="center"/>
              <w:rPr>
                <w:rFonts w:ascii="Arial" w:hAnsi="Arial" w:cs="Arial"/>
                <w:sz w:val="22"/>
                <w:szCs w:val="22"/>
              </w:rPr>
            </w:pPr>
            <w:r>
              <w:rPr>
                <w:rFonts w:ascii="Arial" w:hAnsi="Arial" w:cs="Arial"/>
                <w:sz w:val="22"/>
                <w:szCs w:val="22"/>
              </w:rPr>
              <w:t>COVID 3 (Ordinance 19120)</w:t>
            </w:r>
          </w:p>
          <w:p w14:paraId="4DDD2D8A" w14:textId="77777777" w:rsidR="00F36561" w:rsidRDefault="00F36561" w:rsidP="00260269">
            <w:pPr>
              <w:keepNext/>
              <w:rPr>
                <w:rFonts w:ascii="Arial" w:hAnsi="Arial" w:cs="Arial"/>
                <w:sz w:val="22"/>
                <w:szCs w:val="22"/>
              </w:rPr>
            </w:pPr>
          </w:p>
          <w:p w14:paraId="5D843242" w14:textId="113529D8" w:rsidR="0061148F" w:rsidRDefault="0061148F" w:rsidP="00260269">
            <w:pPr>
              <w:keepNext/>
              <w:jc w:val="center"/>
              <w:rPr>
                <w:rFonts w:ascii="Arial" w:hAnsi="Arial" w:cs="Arial"/>
                <w:sz w:val="22"/>
                <w:szCs w:val="22"/>
              </w:rPr>
            </w:pPr>
            <w:r>
              <w:rPr>
                <w:rFonts w:ascii="Arial" w:hAnsi="Arial" w:cs="Arial"/>
                <w:sz w:val="22"/>
                <w:szCs w:val="22"/>
              </w:rPr>
              <w:t>COVID 5</w:t>
            </w:r>
          </w:p>
          <w:p w14:paraId="623D6D12" w14:textId="39C68DA8" w:rsidR="0061148F" w:rsidRDefault="0061148F" w:rsidP="00260269">
            <w:pPr>
              <w:keepNext/>
              <w:jc w:val="center"/>
              <w:rPr>
                <w:rFonts w:ascii="Arial" w:hAnsi="Arial" w:cs="Arial"/>
                <w:sz w:val="22"/>
                <w:szCs w:val="22"/>
              </w:rPr>
            </w:pPr>
            <w:r>
              <w:rPr>
                <w:rFonts w:ascii="Arial" w:hAnsi="Arial" w:cs="Arial"/>
                <w:sz w:val="22"/>
                <w:szCs w:val="22"/>
              </w:rPr>
              <w:t>(</w:t>
            </w:r>
            <w:r w:rsidR="00811F4A">
              <w:rPr>
                <w:rFonts w:ascii="Arial" w:hAnsi="Arial" w:cs="Arial"/>
                <w:sz w:val="22"/>
                <w:szCs w:val="22"/>
              </w:rPr>
              <w:t>Ordnance</w:t>
            </w:r>
            <w:r>
              <w:rPr>
                <w:rFonts w:ascii="Arial" w:hAnsi="Arial" w:cs="Arial"/>
                <w:sz w:val="22"/>
                <w:szCs w:val="22"/>
              </w:rPr>
              <w:t xml:space="preserve"> 19191)</w:t>
            </w:r>
          </w:p>
        </w:tc>
        <w:tc>
          <w:tcPr>
            <w:tcW w:w="270" w:type="dxa"/>
            <w:tcBorders>
              <w:top w:val="single" w:sz="4" w:space="0" w:color="auto"/>
              <w:left w:val="nil"/>
              <w:bottom w:val="single" w:sz="4" w:space="0" w:color="auto"/>
              <w:right w:val="nil"/>
            </w:tcBorders>
          </w:tcPr>
          <w:p w14:paraId="698E29CC" w14:textId="77777777" w:rsidR="00435742" w:rsidRDefault="00435742" w:rsidP="00260269">
            <w:pPr>
              <w:keepNext/>
              <w:rPr>
                <w:rFonts w:ascii="Arial" w:hAnsi="Arial" w:cs="Arial"/>
                <w:sz w:val="22"/>
                <w:szCs w:val="22"/>
              </w:rPr>
            </w:pPr>
          </w:p>
        </w:tc>
        <w:tc>
          <w:tcPr>
            <w:tcW w:w="1980" w:type="dxa"/>
            <w:tcBorders>
              <w:top w:val="single" w:sz="4" w:space="0" w:color="auto"/>
              <w:left w:val="nil"/>
              <w:bottom w:val="single" w:sz="4" w:space="0" w:color="auto"/>
              <w:right w:val="nil"/>
            </w:tcBorders>
            <w:tcMar>
              <w:top w:w="72" w:type="dxa"/>
              <w:left w:w="115" w:type="dxa"/>
              <w:bottom w:w="72" w:type="dxa"/>
              <w:right w:w="115" w:type="dxa"/>
            </w:tcMar>
          </w:tcPr>
          <w:p w14:paraId="0DE66449" w14:textId="14FD18C2" w:rsidR="00435742" w:rsidRPr="008D0300" w:rsidRDefault="0061148F" w:rsidP="00260269">
            <w:pPr>
              <w:keepNext/>
              <w:jc w:val="right"/>
              <w:rPr>
                <w:rFonts w:ascii="Arial" w:hAnsi="Arial" w:cs="Arial"/>
                <w:sz w:val="22"/>
                <w:szCs w:val="22"/>
              </w:rPr>
            </w:pPr>
            <w:r>
              <w:rPr>
                <w:rFonts w:ascii="Arial" w:hAnsi="Arial" w:cs="Arial"/>
                <w:sz w:val="22"/>
                <w:szCs w:val="22"/>
              </w:rPr>
              <w:t>$46.0 million</w:t>
            </w:r>
          </w:p>
        </w:tc>
        <w:tc>
          <w:tcPr>
            <w:tcW w:w="270" w:type="dxa"/>
            <w:tcBorders>
              <w:top w:val="single" w:sz="4" w:space="0" w:color="auto"/>
              <w:left w:val="nil"/>
              <w:bottom w:val="single" w:sz="4" w:space="0" w:color="auto"/>
              <w:right w:val="nil"/>
            </w:tcBorders>
          </w:tcPr>
          <w:p w14:paraId="5AA1EA95" w14:textId="77777777" w:rsidR="00435742" w:rsidRDefault="00435742" w:rsidP="00260269">
            <w:pPr>
              <w:keepNext/>
              <w:jc w:val="right"/>
              <w:rPr>
                <w:rFonts w:ascii="Arial" w:hAnsi="Arial" w:cs="Arial"/>
                <w:sz w:val="22"/>
                <w:szCs w:val="22"/>
              </w:rPr>
            </w:pPr>
          </w:p>
        </w:tc>
        <w:tc>
          <w:tcPr>
            <w:tcW w:w="4680" w:type="dxa"/>
            <w:tcBorders>
              <w:top w:val="single" w:sz="4" w:space="0" w:color="auto"/>
              <w:left w:val="nil"/>
              <w:bottom w:val="single" w:sz="4" w:space="0" w:color="auto"/>
              <w:right w:val="single" w:sz="2" w:space="0" w:color="FFFFFF" w:themeColor="background1"/>
            </w:tcBorders>
            <w:tcMar>
              <w:top w:w="72" w:type="dxa"/>
              <w:left w:w="115" w:type="dxa"/>
              <w:bottom w:w="72" w:type="dxa"/>
              <w:right w:w="115" w:type="dxa"/>
            </w:tcMar>
          </w:tcPr>
          <w:p w14:paraId="5F7DF6A0" w14:textId="77777777" w:rsidR="00435742" w:rsidRDefault="0061148F" w:rsidP="00260269">
            <w:pPr>
              <w:keepNext/>
              <w:rPr>
                <w:rFonts w:ascii="Arial" w:hAnsi="Arial" w:cs="Arial"/>
                <w:sz w:val="22"/>
                <w:szCs w:val="22"/>
              </w:rPr>
            </w:pPr>
            <w:r>
              <w:rPr>
                <w:rFonts w:ascii="Arial" w:hAnsi="Arial" w:cs="Arial"/>
                <w:sz w:val="22"/>
                <w:szCs w:val="22"/>
              </w:rPr>
              <w:t>Funding Sources:</w:t>
            </w:r>
          </w:p>
          <w:p w14:paraId="5D047A25" w14:textId="3185FA66" w:rsidR="0061148F" w:rsidRDefault="00811F4A" w:rsidP="00260269">
            <w:pPr>
              <w:pStyle w:val="ListParagraph0"/>
              <w:keepNext/>
              <w:numPr>
                <w:ilvl w:val="0"/>
                <w:numId w:val="44"/>
              </w:numPr>
              <w:rPr>
                <w:rFonts w:ascii="Arial" w:hAnsi="Arial" w:cs="Arial"/>
                <w:sz w:val="22"/>
                <w:szCs w:val="22"/>
              </w:rPr>
            </w:pPr>
            <w:r>
              <w:rPr>
                <w:rFonts w:ascii="Arial" w:hAnsi="Arial" w:cs="Arial"/>
                <w:sz w:val="22"/>
                <w:szCs w:val="22"/>
              </w:rPr>
              <w:t>$14.4 million – CARES Act CRF</w:t>
            </w:r>
            <w:r w:rsidR="00E11635">
              <w:rPr>
                <w:rFonts w:ascii="Arial" w:hAnsi="Arial" w:cs="Arial"/>
                <w:sz w:val="22"/>
                <w:szCs w:val="22"/>
              </w:rPr>
              <w:t xml:space="preserve"> (CSO ER5)</w:t>
            </w:r>
          </w:p>
          <w:p w14:paraId="4D07D5FE" w14:textId="77777777" w:rsidR="00811F4A" w:rsidRDefault="00811F4A" w:rsidP="00260269">
            <w:pPr>
              <w:pStyle w:val="ListParagraph0"/>
              <w:keepNext/>
              <w:numPr>
                <w:ilvl w:val="0"/>
                <w:numId w:val="44"/>
              </w:numPr>
              <w:rPr>
                <w:rFonts w:ascii="Arial" w:hAnsi="Arial" w:cs="Arial"/>
                <w:sz w:val="22"/>
                <w:szCs w:val="22"/>
              </w:rPr>
            </w:pPr>
            <w:r>
              <w:rPr>
                <w:rFonts w:ascii="Arial" w:hAnsi="Arial" w:cs="Arial"/>
                <w:sz w:val="22"/>
                <w:szCs w:val="22"/>
              </w:rPr>
              <w:t xml:space="preserve">$28.7 million – </w:t>
            </w:r>
            <w:r w:rsidRPr="00811F4A">
              <w:rPr>
                <w:rFonts w:ascii="Arial" w:hAnsi="Arial" w:cs="Arial"/>
                <w:sz w:val="22"/>
                <w:szCs w:val="22"/>
              </w:rPr>
              <w:t>State Dep</w:t>
            </w:r>
            <w:r>
              <w:rPr>
                <w:rFonts w:ascii="Arial" w:hAnsi="Arial" w:cs="Arial"/>
                <w:sz w:val="22"/>
                <w:szCs w:val="22"/>
              </w:rPr>
              <w:t>artment</w:t>
            </w:r>
            <w:r w:rsidRPr="00811F4A">
              <w:rPr>
                <w:rFonts w:ascii="Arial" w:hAnsi="Arial" w:cs="Arial"/>
                <w:sz w:val="22"/>
                <w:szCs w:val="22"/>
              </w:rPr>
              <w:t xml:space="preserve"> of Commerce grant which is a passthrough from CARES Act</w:t>
            </w:r>
            <w:r>
              <w:rPr>
                <w:rStyle w:val="FootnoteReference"/>
                <w:rFonts w:ascii="Arial" w:hAnsi="Arial" w:cs="Arial"/>
                <w:sz w:val="22"/>
                <w:szCs w:val="22"/>
              </w:rPr>
              <w:footnoteReference w:id="23"/>
            </w:r>
          </w:p>
          <w:p w14:paraId="0E2FC6C6" w14:textId="1E5E0A88" w:rsidR="00E11635" w:rsidRDefault="00E11635" w:rsidP="00260269">
            <w:pPr>
              <w:pStyle w:val="ListParagraph0"/>
              <w:keepNext/>
              <w:numPr>
                <w:ilvl w:val="0"/>
                <w:numId w:val="44"/>
              </w:numPr>
              <w:rPr>
                <w:rFonts w:ascii="Arial" w:hAnsi="Arial" w:cs="Arial"/>
                <w:sz w:val="22"/>
                <w:szCs w:val="22"/>
              </w:rPr>
            </w:pPr>
            <w:r>
              <w:rPr>
                <w:rFonts w:ascii="Arial" w:hAnsi="Arial" w:cs="Arial"/>
                <w:sz w:val="22"/>
                <w:szCs w:val="22"/>
              </w:rPr>
              <w:t>$1.7 million – CDBG</w:t>
            </w:r>
          </w:p>
          <w:p w14:paraId="10B13A76" w14:textId="40A410C0" w:rsidR="00E11635" w:rsidRPr="0061148F" w:rsidRDefault="00E11635" w:rsidP="00260269">
            <w:pPr>
              <w:pStyle w:val="ListParagraph0"/>
              <w:keepNext/>
              <w:numPr>
                <w:ilvl w:val="0"/>
                <w:numId w:val="44"/>
              </w:numPr>
              <w:rPr>
                <w:rFonts w:ascii="Arial" w:hAnsi="Arial" w:cs="Arial"/>
                <w:sz w:val="22"/>
                <w:szCs w:val="22"/>
              </w:rPr>
            </w:pPr>
            <w:r>
              <w:rPr>
                <w:rFonts w:ascii="Arial" w:hAnsi="Arial" w:cs="Arial"/>
                <w:sz w:val="22"/>
                <w:szCs w:val="22"/>
              </w:rPr>
              <w:t>$1.2 million – Veterans, Seniors and Human Services Levy (VSHSL)</w:t>
            </w:r>
          </w:p>
        </w:tc>
      </w:tr>
      <w:tr w:rsidR="00435742" w:rsidRPr="008D0300" w14:paraId="2D7A0D5B" w14:textId="77777777" w:rsidTr="009638DA">
        <w:trPr>
          <w:cantSplit/>
          <w:jc w:val="center"/>
        </w:trPr>
        <w:tc>
          <w:tcPr>
            <w:tcW w:w="2160" w:type="dxa"/>
            <w:tcBorders>
              <w:top w:val="single" w:sz="4" w:space="0" w:color="auto"/>
              <w:left w:val="nil"/>
              <w:bottom w:val="single" w:sz="4" w:space="0" w:color="auto"/>
              <w:right w:val="nil"/>
            </w:tcBorders>
          </w:tcPr>
          <w:p w14:paraId="0C381B8E" w14:textId="77777777" w:rsidR="00435742" w:rsidRDefault="00E11635" w:rsidP="00260269">
            <w:pPr>
              <w:keepNext/>
              <w:jc w:val="center"/>
              <w:rPr>
                <w:rFonts w:ascii="Arial" w:hAnsi="Arial" w:cs="Arial"/>
                <w:sz w:val="22"/>
                <w:szCs w:val="22"/>
              </w:rPr>
            </w:pPr>
            <w:r>
              <w:rPr>
                <w:rFonts w:ascii="Arial" w:hAnsi="Arial" w:cs="Arial"/>
                <w:sz w:val="22"/>
                <w:szCs w:val="22"/>
              </w:rPr>
              <w:t xml:space="preserve">COVID 6 </w:t>
            </w:r>
          </w:p>
          <w:p w14:paraId="31E73749" w14:textId="028F2E5D" w:rsidR="00E11635" w:rsidRDefault="00E11635" w:rsidP="00260269">
            <w:pPr>
              <w:keepNext/>
              <w:jc w:val="center"/>
              <w:rPr>
                <w:rFonts w:ascii="Arial" w:hAnsi="Arial" w:cs="Arial"/>
                <w:sz w:val="22"/>
                <w:szCs w:val="22"/>
              </w:rPr>
            </w:pPr>
            <w:r>
              <w:rPr>
                <w:rFonts w:ascii="Arial" w:hAnsi="Arial" w:cs="Arial"/>
                <w:sz w:val="22"/>
                <w:szCs w:val="22"/>
              </w:rPr>
              <w:t>(Ordinance 19265)</w:t>
            </w:r>
          </w:p>
        </w:tc>
        <w:tc>
          <w:tcPr>
            <w:tcW w:w="270" w:type="dxa"/>
            <w:tcBorders>
              <w:top w:val="single" w:sz="4" w:space="0" w:color="auto"/>
              <w:left w:val="nil"/>
              <w:bottom w:val="single" w:sz="4" w:space="0" w:color="auto"/>
              <w:right w:val="nil"/>
            </w:tcBorders>
          </w:tcPr>
          <w:p w14:paraId="0E40C7E9" w14:textId="77777777" w:rsidR="00435742" w:rsidRDefault="00435742" w:rsidP="00260269">
            <w:pPr>
              <w:keepNext/>
              <w:rPr>
                <w:rFonts w:ascii="Arial" w:hAnsi="Arial" w:cs="Arial"/>
                <w:sz w:val="22"/>
                <w:szCs w:val="22"/>
              </w:rPr>
            </w:pPr>
          </w:p>
        </w:tc>
        <w:tc>
          <w:tcPr>
            <w:tcW w:w="1980" w:type="dxa"/>
            <w:tcBorders>
              <w:top w:val="single" w:sz="4" w:space="0" w:color="auto"/>
              <w:left w:val="nil"/>
              <w:bottom w:val="single" w:sz="4" w:space="0" w:color="auto"/>
              <w:right w:val="nil"/>
            </w:tcBorders>
            <w:tcMar>
              <w:top w:w="72" w:type="dxa"/>
              <w:left w:w="115" w:type="dxa"/>
              <w:bottom w:w="72" w:type="dxa"/>
              <w:right w:w="115" w:type="dxa"/>
            </w:tcMar>
          </w:tcPr>
          <w:p w14:paraId="6641E7B2" w14:textId="4DABCCEB" w:rsidR="00435742" w:rsidRDefault="00E11635" w:rsidP="00260269">
            <w:pPr>
              <w:keepNext/>
              <w:jc w:val="right"/>
              <w:rPr>
                <w:rFonts w:ascii="Arial" w:hAnsi="Arial" w:cs="Arial"/>
                <w:sz w:val="22"/>
                <w:szCs w:val="22"/>
              </w:rPr>
            </w:pPr>
            <w:r>
              <w:rPr>
                <w:rFonts w:ascii="Arial" w:hAnsi="Arial" w:cs="Arial"/>
                <w:sz w:val="22"/>
                <w:szCs w:val="22"/>
              </w:rPr>
              <w:t>$45.2 million</w:t>
            </w:r>
          </w:p>
        </w:tc>
        <w:tc>
          <w:tcPr>
            <w:tcW w:w="270" w:type="dxa"/>
            <w:tcBorders>
              <w:top w:val="single" w:sz="4" w:space="0" w:color="auto"/>
              <w:left w:val="nil"/>
              <w:bottom w:val="single" w:sz="4" w:space="0" w:color="auto"/>
              <w:right w:val="nil"/>
            </w:tcBorders>
          </w:tcPr>
          <w:p w14:paraId="09627E65" w14:textId="77777777" w:rsidR="00435742" w:rsidRPr="008D0300" w:rsidRDefault="00435742" w:rsidP="00260269">
            <w:pPr>
              <w:keepNext/>
              <w:jc w:val="right"/>
              <w:rPr>
                <w:rFonts w:ascii="Arial" w:hAnsi="Arial" w:cs="Arial"/>
                <w:sz w:val="22"/>
                <w:szCs w:val="22"/>
              </w:rPr>
            </w:pPr>
          </w:p>
        </w:tc>
        <w:tc>
          <w:tcPr>
            <w:tcW w:w="4680" w:type="dxa"/>
            <w:tcBorders>
              <w:top w:val="single" w:sz="4" w:space="0" w:color="auto"/>
              <w:left w:val="nil"/>
              <w:bottom w:val="single" w:sz="4" w:space="0" w:color="auto"/>
              <w:right w:val="single" w:sz="2" w:space="0" w:color="FFFFFF" w:themeColor="background1"/>
            </w:tcBorders>
            <w:tcMar>
              <w:top w:w="72" w:type="dxa"/>
              <w:left w:w="115" w:type="dxa"/>
              <w:bottom w:w="72" w:type="dxa"/>
              <w:right w:w="115" w:type="dxa"/>
            </w:tcMar>
          </w:tcPr>
          <w:p w14:paraId="376BB436" w14:textId="2DF8EE46" w:rsidR="00E11635" w:rsidRPr="00E11635" w:rsidRDefault="00E11635" w:rsidP="00260269">
            <w:pPr>
              <w:keepNext/>
              <w:rPr>
                <w:rFonts w:ascii="Arial" w:hAnsi="Arial" w:cs="Arial"/>
                <w:sz w:val="22"/>
                <w:szCs w:val="22"/>
              </w:rPr>
            </w:pPr>
            <w:r w:rsidRPr="00E11635">
              <w:rPr>
                <w:rFonts w:ascii="Arial" w:hAnsi="Arial" w:cs="Arial"/>
                <w:sz w:val="22"/>
                <w:szCs w:val="22"/>
              </w:rPr>
              <w:t>HCD ER7: Funded by Coronavirus Response and Relief Supplemental Appropriations Act (CRRSAA) that was provided directly to the county after app</w:t>
            </w:r>
            <w:r w:rsidR="00475D48">
              <w:rPr>
                <w:rFonts w:ascii="Arial" w:hAnsi="Arial" w:cs="Arial"/>
                <w:sz w:val="22"/>
                <w:szCs w:val="22"/>
              </w:rPr>
              <w:t>lying for funding.</w:t>
            </w:r>
          </w:p>
          <w:p w14:paraId="39ED4F76" w14:textId="77777777" w:rsidR="00E11635" w:rsidRPr="00E11635" w:rsidRDefault="00E11635" w:rsidP="00260269">
            <w:pPr>
              <w:keepNext/>
              <w:rPr>
                <w:rFonts w:ascii="Arial" w:hAnsi="Arial" w:cs="Arial"/>
                <w:sz w:val="22"/>
                <w:szCs w:val="22"/>
              </w:rPr>
            </w:pPr>
          </w:p>
          <w:p w14:paraId="5ABEAC15" w14:textId="77777777" w:rsidR="00435742" w:rsidRDefault="00E11635" w:rsidP="00260269">
            <w:pPr>
              <w:keepNext/>
              <w:rPr>
                <w:rFonts w:ascii="Arial" w:hAnsi="Arial" w:cs="Arial"/>
                <w:sz w:val="22"/>
                <w:szCs w:val="22"/>
              </w:rPr>
            </w:pPr>
            <w:r w:rsidRPr="00E11635">
              <w:rPr>
                <w:rFonts w:ascii="Arial" w:hAnsi="Arial" w:cs="Arial"/>
                <w:sz w:val="22"/>
                <w:szCs w:val="22"/>
              </w:rPr>
              <w:t>Added new requirements to existing EPRAP to require that the appropriation be used for 3 sub-programs: (1) grants to landlords with 5 or more units; (2) grants to individual tenants and landlords with fewer than 5 units; and (3) and grants to community-based organizations using a hub and spoke allocation model. The ER required that 50% be used for the hub-and-spoke model.</w:t>
            </w:r>
          </w:p>
          <w:p w14:paraId="22979D4B" w14:textId="41D9C746" w:rsidR="00475D48" w:rsidRDefault="00475D48" w:rsidP="00260269">
            <w:pPr>
              <w:keepNext/>
              <w:rPr>
                <w:rFonts w:ascii="Arial" w:hAnsi="Arial" w:cs="Arial"/>
                <w:sz w:val="22"/>
                <w:szCs w:val="22"/>
              </w:rPr>
            </w:pPr>
          </w:p>
        </w:tc>
      </w:tr>
      <w:tr w:rsidR="00435742" w:rsidRPr="008D0300" w14:paraId="57FC63C7" w14:textId="77777777" w:rsidTr="009638DA">
        <w:trPr>
          <w:cantSplit/>
          <w:jc w:val="center"/>
        </w:trPr>
        <w:tc>
          <w:tcPr>
            <w:tcW w:w="2160" w:type="dxa"/>
            <w:tcBorders>
              <w:top w:val="single" w:sz="4" w:space="0" w:color="auto"/>
              <w:left w:val="nil"/>
              <w:bottom w:val="single" w:sz="4" w:space="0" w:color="auto"/>
              <w:right w:val="nil"/>
            </w:tcBorders>
          </w:tcPr>
          <w:p w14:paraId="0D2E16EA" w14:textId="77777777" w:rsidR="00435742" w:rsidRDefault="00475D48" w:rsidP="00260269">
            <w:pPr>
              <w:keepNext/>
              <w:jc w:val="center"/>
              <w:rPr>
                <w:rFonts w:ascii="Arial" w:hAnsi="Arial" w:cs="Arial"/>
                <w:sz w:val="22"/>
                <w:szCs w:val="22"/>
              </w:rPr>
            </w:pPr>
            <w:r>
              <w:rPr>
                <w:rFonts w:ascii="Arial" w:hAnsi="Arial" w:cs="Arial"/>
                <w:sz w:val="22"/>
                <w:szCs w:val="22"/>
              </w:rPr>
              <w:t>COVID 7</w:t>
            </w:r>
          </w:p>
          <w:p w14:paraId="3E5F1DFF" w14:textId="5626AE2B" w:rsidR="00475D48" w:rsidRDefault="00475D48" w:rsidP="00260269">
            <w:pPr>
              <w:keepNext/>
              <w:jc w:val="center"/>
              <w:rPr>
                <w:rFonts w:ascii="Arial" w:hAnsi="Arial" w:cs="Arial"/>
                <w:sz w:val="22"/>
                <w:szCs w:val="22"/>
              </w:rPr>
            </w:pPr>
            <w:r>
              <w:rPr>
                <w:rFonts w:ascii="Arial" w:hAnsi="Arial" w:cs="Arial"/>
                <w:sz w:val="22"/>
                <w:szCs w:val="22"/>
              </w:rPr>
              <w:t>(Ordinance 19289)</w:t>
            </w:r>
          </w:p>
        </w:tc>
        <w:tc>
          <w:tcPr>
            <w:tcW w:w="270" w:type="dxa"/>
            <w:tcBorders>
              <w:top w:val="single" w:sz="4" w:space="0" w:color="auto"/>
              <w:left w:val="nil"/>
              <w:bottom w:val="single" w:sz="4" w:space="0" w:color="auto"/>
              <w:right w:val="nil"/>
            </w:tcBorders>
          </w:tcPr>
          <w:p w14:paraId="620E937B" w14:textId="77777777" w:rsidR="00435742" w:rsidRDefault="00435742" w:rsidP="00260269">
            <w:pPr>
              <w:keepNext/>
              <w:rPr>
                <w:rFonts w:ascii="Arial" w:hAnsi="Arial" w:cs="Arial"/>
                <w:sz w:val="22"/>
                <w:szCs w:val="22"/>
              </w:rPr>
            </w:pPr>
          </w:p>
        </w:tc>
        <w:tc>
          <w:tcPr>
            <w:tcW w:w="1980" w:type="dxa"/>
            <w:tcBorders>
              <w:top w:val="single" w:sz="4" w:space="0" w:color="auto"/>
              <w:left w:val="nil"/>
              <w:bottom w:val="single" w:sz="4" w:space="0" w:color="auto"/>
              <w:right w:val="nil"/>
            </w:tcBorders>
            <w:tcMar>
              <w:top w:w="72" w:type="dxa"/>
              <w:left w:w="115" w:type="dxa"/>
              <w:bottom w:w="72" w:type="dxa"/>
              <w:right w:w="115" w:type="dxa"/>
            </w:tcMar>
          </w:tcPr>
          <w:p w14:paraId="643CB956" w14:textId="323F67D2" w:rsidR="00435742" w:rsidRDefault="00475D48" w:rsidP="00260269">
            <w:pPr>
              <w:keepNext/>
              <w:jc w:val="right"/>
              <w:rPr>
                <w:rFonts w:ascii="Arial" w:hAnsi="Arial" w:cs="Arial"/>
                <w:sz w:val="22"/>
                <w:szCs w:val="22"/>
              </w:rPr>
            </w:pPr>
            <w:r>
              <w:rPr>
                <w:rFonts w:ascii="Arial" w:hAnsi="Arial" w:cs="Arial"/>
                <w:sz w:val="22"/>
                <w:szCs w:val="22"/>
              </w:rPr>
              <w:t>$100.0 million</w:t>
            </w:r>
          </w:p>
        </w:tc>
        <w:tc>
          <w:tcPr>
            <w:tcW w:w="270" w:type="dxa"/>
            <w:tcBorders>
              <w:top w:val="single" w:sz="4" w:space="0" w:color="auto"/>
              <w:left w:val="nil"/>
              <w:bottom w:val="single" w:sz="4" w:space="0" w:color="auto"/>
              <w:right w:val="nil"/>
            </w:tcBorders>
          </w:tcPr>
          <w:p w14:paraId="089F086A" w14:textId="77777777" w:rsidR="00435742" w:rsidRPr="008D0300" w:rsidRDefault="00435742" w:rsidP="00260269">
            <w:pPr>
              <w:keepNext/>
              <w:jc w:val="right"/>
              <w:rPr>
                <w:rFonts w:ascii="Arial" w:hAnsi="Arial" w:cs="Arial"/>
                <w:sz w:val="22"/>
                <w:szCs w:val="22"/>
              </w:rPr>
            </w:pPr>
          </w:p>
        </w:tc>
        <w:tc>
          <w:tcPr>
            <w:tcW w:w="4680" w:type="dxa"/>
            <w:tcBorders>
              <w:top w:val="single" w:sz="4" w:space="0" w:color="auto"/>
              <w:left w:val="nil"/>
              <w:bottom w:val="single" w:sz="4" w:space="0" w:color="auto"/>
              <w:right w:val="single" w:sz="2" w:space="0" w:color="FFFFFF" w:themeColor="background1"/>
            </w:tcBorders>
            <w:tcMar>
              <w:top w:w="72" w:type="dxa"/>
              <w:left w:w="115" w:type="dxa"/>
              <w:bottom w:w="72" w:type="dxa"/>
              <w:right w:w="115" w:type="dxa"/>
            </w:tcMar>
          </w:tcPr>
          <w:p w14:paraId="58127AC3" w14:textId="310E3BDE" w:rsidR="00435742" w:rsidRPr="008D0300" w:rsidRDefault="00475D48" w:rsidP="00260269">
            <w:pPr>
              <w:keepNext/>
              <w:rPr>
                <w:rFonts w:ascii="Arial" w:hAnsi="Arial" w:cs="Arial"/>
                <w:sz w:val="22"/>
                <w:szCs w:val="22"/>
              </w:rPr>
            </w:pPr>
            <w:r w:rsidRPr="00475D48">
              <w:rPr>
                <w:rFonts w:ascii="Arial" w:hAnsi="Arial" w:cs="Arial"/>
                <w:sz w:val="22"/>
                <w:szCs w:val="22"/>
              </w:rPr>
              <w:t>HCD</w:t>
            </w:r>
            <w:r w:rsidR="006C15FF">
              <w:rPr>
                <w:rFonts w:ascii="Arial" w:hAnsi="Arial" w:cs="Arial"/>
                <w:sz w:val="22"/>
                <w:szCs w:val="22"/>
              </w:rPr>
              <w:t xml:space="preserve">: </w:t>
            </w:r>
            <w:r w:rsidRPr="00475D48">
              <w:rPr>
                <w:rFonts w:ascii="Arial" w:hAnsi="Arial" w:cs="Arial"/>
                <w:sz w:val="22"/>
                <w:szCs w:val="22"/>
              </w:rPr>
              <w:t xml:space="preserve">Funded by the State Dept. of Commerce </w:t>
            </w:r>
            <w:r w:rsidR="00144ECD">
              <w:rPr>
                <w:rFonts w:ascii="Arial" w:hAnsi="Arial" w:cs="Arial"/>
                <w:sz w:val="22"/>
                <w:szCs w:val="22"/>
              </w:rPr>
              <w:t>Treasury Rent Assistance Program (</w:t>
            </w:r>
            <w:r w:rsidRPr="00475D48">
              <w:rPr>
                <w:rFonts w:ascii="Arial" w:hAnsi="Arial" w:cs="Arial"/>
                <w:sz w:val="22"/>
                <w:szCs w:val="22"/>
              </w:rPr>
              <w:t>T-RAP</w:t>
            </w:r>
            <w:r w:rsidR="00144ECD">
              <w:rPr>
                <w:rFonts w:ascii="Arial" w:hAnsi="Arial" w:cs="Arial"/>
                <w:sz w:val="22"/>
                <w:szCs w:val="22"/>
              </w:rPr>
              <w:t>)</w:t>
            </w:r>
            <w:r w:rsidRPr="00475D48">
              <w:rPr>
                <w:rFonts w:ascii="Arial" w:hAnsi="Arial" w:cs="Arial"/>
                <w:sz w:val="22"/>
                <w:szCs w:val="22"/>
              </w:rPr>
              <w:t xml:space="preserve"> grant which is a passthrough from CRRSAA. Same requirement as above without any allocation requirement for each sub-program.</w:t>
            </w:r>
          </w:p>
        </w:tc>
      </w:tr>
      <w:tr w:rsidR="00435742" w:rsidRPr="008D0300" w14:paraId="06B33B8A" w14:textId="77777777" w:rsidTr="009638DA">
        <w:trPr>
          <w:cantSplit/>
          <w:jc w:val="center"/>
        </w:trPr>
        <w:tc>
          <w:tcPr>
            <w:tcW w:w="2160" w:type="dxa"/>
            <w:tcBorders>
              <w:top w:val="single" w:sz="4" w:space="0" w:color="auto"/>
              <w:left w:val="nil"/>
              <w:bottom w:val="single" w:sz="4" w:space="0" w:color="auto"/>
              <w:right w:val="nil"/>
            </w:tcBorders>
          </w:tcPr>
          <w:p w14:paraId="3496E588" w14:textId="77777777" w:rsidR="00435742" w:rsidRDefault="00475D48" w:rsidP="00260269">
            <w:pPr>
              <w:keepNext/>
              <w:jc w:val="center"/>
              <w:rPr>
                <w:rFonts w:ascii="Arial" w:hAnsi="Arial" w:cs="Arial"/>
                <w:sz w:val="22"/>
                <w:szCs w:val="22"/>
              </w:rPr>
            </w:pPr>
            <w:r>
              <w:rPr>
                <w:rFonts w:ascii="Arial" w:hAnsi="Arial" w:cs="Arial"/>
                <w:sz w:val="22"/>
                <w:szCs w:val="22"/>
              </w:rPr>
              <w:t>COVID 8</w:t>
            </w:r>
          </w:p>
          <w:p w14:paraId="088CBA70" w14:textId="091C843D" w:rsidR="00475D48" w:rsidRDefault="00475D48" w:rsidP="00260269">
            <w:pPr>
              <w:keepNext/>
              <w:jc w:val="center"/>
              <w:rPr>
                <w:rFonts w:ascii="Arial" w:hAnsi="Arial" w:cs="Arial"/>
                <w:sz w:val="22"/>
                <w:szCs w:val="22"/>
              </w:rPr>
            </w:pPr>
            <w:r>
              <w:rPr>
                <w:rFonts w:ascii="Arial" w:hAnsi="Arial" w:cs="Arial"/>
                <w:sz w:val="22"/>
                <w:szCs w:val="22"/>
              </w:rPr>
              <w:t>(PO 2021-0238)</w:t>
            </w:r>
          </w:p>
        </w:tc>
        <w:tc>
          <w:tcPr>
            <w:tcW w:w="270" w:type="dxa"/>
            <w:tcBorders>
              <w:top w:val="single" w:sz="4" w:space="0" w:color="auto"/>
              <w:left w:val="nil"/>
              <w:bottom w:val="single" w:sz="4" w:space="0" w:color="auto"/>
              <w:right w:val="nil"/>
            </w:tcBorders>
          </w:tcPr>
          <w:p w14:paraId="19D918CE" w14:textId="77777777" w:rsidR="00435742" w:rsidRDefault="00435742" w:rsidP="00260269">
            <w:pPr>
              <w:keepNext/>
              <w:rPr>
                <w:rFonts w:ascii="Arial" w:hAnsi="Arial" w:cs="Arial"/>
                <w:sz w:val="22"/>
                <w:szCs w:val="22"/>
              </w:rPr>
            </w:pPr>
          </w:p>
        </w:tc>
        <w:tc>
          <w:tcPr>
            <w:tcW w:w="1980" w:type="dxa"/>
            <w:tcBorders>
              <w:top w:val="single" w:sz="4" w:space="0" w:color="auto"/>
              <w:left w:val="nil"/>
              <w:bottom w:val="single" w:sz="4" w:space="0" w:color="auto"/>
              <w:right w:val="nil"/>
            </w:tcBorders>
            <w:tcMar>
              <w:top w:w="72" w:type="dxa"/>
              <w:left w:w="115" w:type="dxa"/>
              <w:bottom w:w="72" w:type="dxa"/>
              <w:right w:w="115" w:type="dxa"/>
            </w:tcMar>
          </w:tcPr>
          <w:p w14:paraId="0D4A8596" w14:textId="77777777" w:rsidR="00435742" w:rsidRDefault="00475D48" w:rsidP="00260269">
            <w:pPr>
              <w:keepNext/>
              <w:jc w:val="center"/>
              <w:rPr>
                <w:rFonts w:ascii="Arial" w:hAnsi="Arial" w:cs="Arial"/>
                <w:sz w:val="22"/>
                <w:szCs w:val="22"/>
              </w:rPr>
            </w:pPr>
            <w:r>
              <w:rPr>
                <w:rFonts w:ascii="Arial" w:hAnsi="Arial" w:cs="Arial"/>
                <w:sz w:val="22"/>
                <w:szCs w:val="22"/>
              </w:rPr>
              <w:t>$62.8 million</w:t>
            </w:r>
          </w:p>
          <w:p w14:paraId="52FD8A55" w14:textId="77777777" w:rsidR="009638DA" w:rsidRDefault="009638DA" w:rsidP="00260269">
            <w:pPr>
              <w:keepNext/>
              <w:jc w:val="center"/>
              <w:rPr>
                <w:rFonts w:ascii="Arial" w:hAnsi="Arial" w:cs="Arial"/>
                <w:sz w:val="22"/>
                <w:szCs w:val="22"/>
              </w:rPr>
            </w:pPr>
            <w:r>
              <w:rPr>
                <w:rFonts w:ascii="Arial" w:hAnsi="Arial" w:cs="Arial"/>
                <w:sz w:val="22"/>
                <w:szCs w:val="22"/>
              </w:rPr>
              <w:t>(Exec Proposed)</w:t>
            </w:r>
          </w:p>
          <w:p w14:paraId="0F7727D4" w14:textId="77777777" w:rsidR="009638DA" w:rsidRDefault="009638DA" w:rsidP="00260269">
            <w:pPr>
              <w:keepNext/>
              <w:jc w:val="center"/>
              <w:rPr>
                <w:rFonts w:ascii="Arial" w:hAnsi="Arial" w:cs="Arial"/>
                <w:sz w:val="22"/>
                <w:szCs w:val="22"/>
              </w:rPr>
            </w:pPr>
          </w:p>
          <w:p w14:paraId="27F312A9" w14:textId="2E14E58E" w:rsidR="009638DA" w:rsidRPr="009638DA" w:rsidRDefault="009638DA" w:rsidP="00260269">
            <w:pPr>
              <w:keepNext/>
              <w:jc w:val="center"/>
              <w:rPr>
                <w:rFonts w:ascii="Arial" w:hAnsi="Arial" w:cs="Arial"/>
                <w:color w:val="C0504D" w:themeColor="accent2"/>
                <w:sz w:val="22"/>
                <w:szCs w:val="22"/>
              </w:rPr>
            </w:pPr>
            <w:r w:rsidRPr="009638DA">
              <w:rPr>
                <w:rFonts w:ascii="Arial" w:hAnsi="Arial" w:cs="Arial"/>
                <w:color w:val="C0504D" w:themeColor="accent2"/>
                <w:sz w:val="22"/>
                <w:szCs w:val="22"/>
              </w:rPr>
              <w:t>$177</w:t>
            </w:r>
            <w:r w:rsidR="00F60711">
              <w:rPr>
                <w:rFonts w:ascii="Arial" w:hAnsi="Arial" w:cs="Arial"/>
                <w:color w:val="C0504D" w:themeColor="accent2"/>
                <w:sz w:val="22"/>
                <w:szCs w:val="22"/>
              </w:rPr>
              <w:t>.0</w:t>
            </w:r>
            <w:r w:rsidRPr="009638DA">
              <w:rPr>
                <w:rFonts w:ascii="Arial" w:hAnsi="Arial" w:cs="Arial"/>
                <w:color w:val="C0504D" w:themeColor="accent2"/>
                <w:sz w:val="22"/>
                <w:szCs w:val="22"/>
              </w:rPr>
              <w:t xml:space="preserve"> million</w:t>
            </w:r>
          </w:p>
          <w:p w14:paraId="38996091" w14:textId="17B42B32" w:rsidR="009638DA" w:rsidRDefault="009638DA" w:rsidP="00260269">
            <w:pPr>
              <w:keepNext/>
              <w:jc w:val="center"/>
              <w:rPr>
                <w:rFonts w:ascii="Arial" w:hAnsi="Arial" w:cs="Arial"/>
                <w:sz w:val="22"/>
                <w:szCs w:val="22"/>
              </w:rPr>
            </w:pPr>
            <w:r w:rsidRPr="009638DA">
              <w:rPr>
                <w:rFonts w:ascii="Arial" w:hAnsi="Arial" w:cs="Arial"/>
                <w:color w:val="C0504D" w:themeColor="accent2"/>
                <w:sz w:val="22"/>
                <w:szCs w:val="22"/>
              </w:rPr>
              <w:t>(Council Striker)</w:t>
            </w:r>
          </w:p>
        </w:tc>
        <w:tc>
          <w:tcPr>
            <w:tcW w:w="270" w:type="dxa"/>
            <w:tcBorders>
              <w:top w:val="single" w:sz="4" w:space="0" w:color="auto"/>
              <w:left w:val="nil"/>
              <w:bottom w:val="single" w:sz="4" w:space="0" w:color="auto"/>
              <w:right w:val="nil"/>
            </w:tcBorders>
          </w:tcPr>
          <w:p w14:paraId="6F1A6A52" w14:textId="77777777" w:rsidR="00435742" w:rsidRPr="008D0300" w:rsidRDefault="00435742" w:rsidP="00260269">
            <w:pPr>
              <w:keepNext/>
              <w:jc w:val="right"/>
              <w:rPr>
                <w:rFonts w:ascii="Arial" w:hAnsi="Arial" w:cs="Arial"/>
                <w:sz w:val="22"/>
                <w:szCs w:val="22"/>
              </w:rPr>
            </w:pPr>
          </w:p>
        </w:tc>
        <w:tc>
          <w:tcPr>
            <w:tcW w:w="4680" w:type="dxa"/>
            <w:tcBorders>
              <w:top w:val="single" w:sz="4" w:space="0" w:color="auto"/>
              <w:left w:val="nil"/>
              <w:bottom w:val="single" w:sz="4" w:space="0" w:color="auto"/>
              <w:right w:val="single" w:sz="2" w:space="0" w:color="FFFFFF" w:themeColor="background1"/>
            </w:tcBorders>
            <w:tcMar>
              <w:top w:w="72" w:type="dxa"/>
              <w:left w:w="115" w:type="dxa"/>
              <w:bottom w:w="72" w:type="dxa"/>
              <w:right w:w="115" w:type="dxa"/>
            </w:tcMar>
          </w:tcPr>
          <w:p w14:paraId="16BF43D5" w14:textId="77777777" w:rsidR="00435742" w:rsidRDefault="00EC63E6" w:rsidP="00260269">
            <w:pPr>
              <w:keepNext/>
              <w:rPr>
                <w:rFonts w:ascii="Arial" w:hAnsi="Arial" w:cs="Arial"/>
                <w:sz w:val="22"/>
                <w:szCs w:val="22"/>
              </w:rPr>
            </w:pPr>
            <w:r>
              <w:rPr>
                <w:rFonts w:ascii="Arial" w:hAnsi="Arial" w:cs="Arial"/>
                <w:sz w:val="22"/>
                <w:szCs w:val="22"/>
              </w:rPr>
              <w:t>Funding Sources:</w:t>
            </w:r>
          </w:p>
          <w:p w14:paraId="5E86E063" w14:textId="200CDF92" w:rsidR="00EC63E6" w:rsidRDefault="00EC63E6" w:rsidP="00260269">
            <w:pPr>
              <w:pStyle w:val="ListParagraph0"/>
              <w:keepNext/>
              <w:numPr>
                <w:ilvl w:val="0"/>
                <w:numId w:val="45"/>
              </w:numPr>
              <w:rPr>
                <w:rFonts w:ascii="Arial" w:hAnsi="Arial" w:cs="Arial"/>
                <w:sz w:val="22"/>
                <w:szCs w:val="22"/>
              </w:rPr>
            </w:pPr>
            <w:r>
              <w:rPr>
                <w:rFonts w:ascii="Arial" w:hAnsi="Arial" w:cs="Arial"/>
                <w:sz w:val="22"/>
                <w:szCs w:val="22"/>
              </w:rPr>
              <w:t>$13.2 million</w:t>
            </w:r>
            <w:r w:rsidR="003659D7">
              <w:rPr>
                <w:rFonts w:ascii="Arial" w:hAnsi="Arial" w:cs="Arial"/>
                <w:sz w:val="22"/>
                <w:szCs w:val="22"/>
              </w:rPr>
              <w:t xml:space="preserve"> </w:t>
            </w:r>
            <w:r w:rsidR="00B4500E">
              <w:rPr>
                <w:rFonts w:ascii="Arial" w:hAnsi="Arial" w:cs="Arial"/>
                <w:sz w:val="22"/>
                <w:szCs w:val="22"/>
              </w:rPr>
              <w:t>–</w:t>
            </w:r>
            <w:r w:rsidR="003659D7">
              <w:rPr>
                <w:rFonts w:ascii="Arial" w:hAnsi="Arial" w:cs="Arial"/>
                <w:sz w:val="22"/>
                <w:szCs w:val="22"/>
              </w:rPr>
              <w:t xml:space="preserve"> </w:t>
            </w:r>
            <w:r w:rsidR="001F3BE4" w:rsidRPr="001F3BE4">
              <w:rPr>
                <w:rFonts w:ascii="Arial" w:hAnsi="Arial" w:cs="Arial"/>
                <w:sz w:val="22"/>
                <w:szCs w:val="22"/>
              </w:rPr>
              <w:t>State Disaster Response Account</w:t>
            </w:r>
            <w:r w:rsidR="00B4500E">
              <w:rPr>
                <w:rFonts w:ascii="Arial" w:hAnsi="Arial" w:cs="Arial"/>
                <w:sz w:val="22"/>
                <w:szCs w:val="22"/>
              </w:rPr>
              <w:t>.</w:t>
            </w:r>
          </w:p>
          <w:p w14:paraId="5BA5C1E3" w14:textId="77777777" w:rsidR="00B4500E" w:rsidRDefault="00B4500E" w:rsidP="00260269">
            <w:pPr>
              <w:pStyle w:val="ListParagraph0"/>
              <w:keepNext/>
              <w:numPr>
                <w:ilvl w:val="0"/>
                <w:numId w:val="45"/>
              </w:numPr>
              <w:rPr>
                <w:rFonts w:ascii="Arial" w:hAnsi="Arial" w:cs="Arial"/>
                <w:sz w:val="22"/>
                <w:szCs w:val="22"/>
              </w:rPr>
            </w:pPr>
            <w:r>
              <w:rPr>
                <w:rFonts w:ascii="Arial" w:hAnsi="Arial" w:cs="Arial"/>
                <w:sz w:val="22"/>
                <w:szCs w:val="22"/>
              </w:rPr>
              <w:t>$49.6 million – ARPA grants</w:t>
            </w:r>
          </w:p>
          <w:p w14:paraId="636DCF36" w14:textId="7D40F882" w:rsidR="00144ECD" w:rsidRPr="00EC63E6" w:rsidRDefault="00144ECD" w:rsidP="00260269">
            <w:pPr>
              <w:pStyle w:val="ListParagraph0"/>
              <w:keepNext/>
              <w:numPr>
                <w:ilvl w:val="0"/>
                <w:numId w:val="45"/>
              </w:numPr>
              <w:rPr>
                <w:rFonts w:ascii="Arial" w:hAnsi="Arial" w:cs="Arial"/>
                <w:sz w:val="22"/>
                <w:szCs w:val="22"/>
              </w:rPr>
            </w:pPr>
            <w:r w:rsidRPr="009638DA">
              <w:rPr>
                <w:rFonts w:ascii="Arial" w:hAnsi="Arial" w:cs="Arial"/>
                <w:color w:val="C0504D" w:themeColor="accent2"/>
                <w:sz w:val="22"/>
                <w:szCs w:val="22"/>
              </w:rPr>
              <w:t>$177</w:t>
            </w:r>
            <w:r w:rsidR="00F60711">
              <w:rPr>
                <w:rFonts w:ascii="Arial" w:hAnsi="Arial" w:cs="Arial"/>
                <w:color w:val="C0504D" w:themeColor="accent2"/>
                <w:sz w:val="22"/>
                <w:szCs w:val="22"/>
              </w:rPr>
              <w:t>.0</w:t>
            </w:r>
            <w:r w:rsidRPr="009638DA">
              <w:rPr>
                <w:rFonts w:ascii="Arial" w:hAnsi="Arial" w:cs="Arial"/>
                <w:color w:val="C0504D" w:themeColor="accent2"/>
                <w:sz w:val="22"/>
                <w:szCs w:val="22"/>
              </w:rPr>
              <w:t xml:space="preserve"> million – State Dept. of Commerce T-RAP 2.0</w:t>
            </w:r>
            <w:r w:rsidR="009638DA" w:rsidRPr="009638DA">
              <w:rPr>
                <w:rFonts w:ascii="Arial" w:hAnsi="Arial" w:cs="Arial"/>
                <w:color w:val="C0504D" w:themeColor="accent2"/>
                <w:sz w:val="22"/>
                <w:szCs w:val="22"/>
              </w:rPr>
              <w:t>.</w:t>
            </w:r>
          </w:p>
        </w:tc>
      </w:tr>
      <w:tr w:rsidR="00435742" w:rsidRPr="008D0300" w14:paraId="3FEB5AA5" w14:textId="77777777" w:rsidTr="009638DA">
        <w:trPr>
          <w:cantSplit/>
          <w:jc w:val="center"/>
        </w:trPr>
        <w:tc>
          <w:tcPr>
            <w:tcW w:w="2160" w:type="dxa"/>
            <w:tcBorders>
              <w:top w:val="single" w:sz="4" w:space="0" w:color="auto"/>
              <w:left w:val="nil"/>
              <w:bottom w:val="single" w:sz="12" w:space="0" w:color="auto"/>
              <w:right w:val="nil"/>
            </w:tcBorders>
          </w:tcPr>
          <w:p w14:paraId="1A815A55" w14:textId="23335C2B" w:rsidR="00435742" w:rsidRPr="008D0300" w:rsidRDefault="000A0A4A" w:rsidP="00260269">
            <w:pPr>
              <w:keepNext/>
              <w:jc w:val="right"/>
              <w:rPr>
                <w:rFonts w:ascii="Arial" w:hAnsi="Arial" w:cs="Arial"/>
                <w:b/>
                <w:sz w:val="22"/>
                <w:szCs w:val="22"/>
              </w:rPr>
            </w:pPr>
            <w:r>
              <w:rPr>
                <w:rFonts w:ascii="Arial" w:hAnsi="Arial" w:cs="Arial"/>
                <w:b/>
                <w:sz w:val="22"/>
                <w:szCs w:val="22"/>
              </w:rPr>
              <w:t>Total</w:t>
            </w:r>
          </w:p>
        </w:tc>
        <w:tc>
          <w:tcPr>
            <w:tcW w:w="270" w:type="dxa"/>
            <w:tcBorders>
              <w:top w:val="single" w:sz="4" w:space="0" w:color="auto"/>
              <w:left w:val="nil"/>
              <w:bottom w:val="single" w:sz="12" w:space="0" w:color="auto"/>
              <w:right w:val="nil"/>
            </w:tcBorders>
          </w:tcPr>
          <w:p w14:paraId="6F73335C" w14:textId="77777777" w:rsidR="00435742" w:rsidRPr="008D0300" w:rsidRDefault="00435742" w:rsidP="00260269">
            <w:pPr>
              <w:keepNext/>
              <w:rPr>
                <w:rFonts w:ascii="Arial" w:hAnsi="Arial" w:cs="Arial"/>
                <w:b/>
                <w:sz w:val="22"/>
                <w:szCs w:val="22"/>
              </w:rPr>
            </w:pPr>
          </w:p>
        </w:tc>
        <w:tc>
          <w:tcPr>
            <w:tcW w:w="1980" w:type="dxa"/>
            <w:tcBorders>
              <w:top w:val="single" w:sz="4" w:space="0" w:color="auto"/>
              <w:left w:val="nil"/>
              <w:bottom w:val="single" w:sz="12" w:space="0" w:color="auto"/>
              <w:right w:val="nil"/>
            </w:tcBorders>
            <w:tcMar>
              <w:top w:w="72" w:type="dxa"/>
              <w:left w:w="115" w:type="dxa"/>
              <w:bottom w:w="72" w:type="dxa"/>
              <w:right w:w="115" w:type="dxa"/>
            </w:tcMar>
          </w:tcPr>
          <w:p w14:paraId="31865160" w14:textId="327B17C2" w:rsidR="00435742" w:rsidRPr="008D0300" w:rsidRDefault="00811F4A" w:rsidP="00260269">
            <w:pPr>
              <w:keepNext/>
              <w:jc w:val="right"/>
              <w:rPr>
                <w:rFonts w:ascii="Arial" w:hAnsi="Arial" w:cs="Arial"/>
                <w:b/>
                <w:sz w:val="22"/>
                <w:szCs w:val="22"/>
              </w:rPr>
            </w:pPr>
            <w:r w:rsidRPr="00F60711">
              <w:rPr>
                <w:rFonts w:ascii="Arial" w:hAnsi="Arial" w:cs="Arial"/>
                <w:b/>
                <w:color w:val="C0504D" w:themeColor="accent2"/>
                <w:sz w:val="22"/>
                <w:szCs w:val="22"/>
              </w:rPr>
              <w:t>$</w:t>
            </w:r>
            <w:r w:rsidR="00F60711" w:rsidRPr="00F60711">
              <w:rPr>
                <w:rFonts w:ascii="Arial" w:hAnsi="Arial" w:cs="Arial"/>
                <w:b/>
                <w:color w:val="C0504D" w:themeColor="accent2"/>
                <w:sz w:val="22"/>
                <w:szCs w:val="22"/>
              </w:rPr>
              <w:t>431</w:t>
            </w:r>
            <w:r w:rsidR="00902737" w:rsidRPr="00F60711">
              <w:rPr>
                <w:rFonts w:ascii="Arial" w:hAnsi="Arial" w:cs="Arial"/>
                <w:b/>
                <w:color w:val="C0504D" w:themeColor="accent2"/>
                <w:sz w:val="22"/>
                <w:szCs w:val="22"/>
              </w:rPr>
              <w:t>.0</w:t>
            </w:r>
            <w:r w:rsidRPr="00F60711">
              <w:rPr>
                <w:rFonts w:ascii="Arial" w:hAnsi="Arial" w:cs="Arial"/>
                <w:b/>
                <w:color w:val="C0504D" w:themeColor="accent2"/>
                <w:sz w:val="22"/>
                <w:szCs w:val="22"/>
              </w:rPr>
              <w:t xml:space="preserve"> </w:t>
            </w:r>
            <w:r w:rsidR="007307B1">
              <w:rPr>
                <w:rFonts w:ascii="Arial" w:hAnsi="Arial" w:cs="Arial"/>
                <w:b/>
                <w:sz w:val="22"/>
                <w:szCs w:val="22"/>
              </w:rPr>
              <w:t>million</w:t>
            </w:r>
          </w:p>
        </w:tc>
        <w:tc>
          <w:tcPr>
            <w:tcW w:w="270" w:type="dxa"/>
            <w:tcBorders>
              <w:top w:val="single" w:sz="4" w:space="0" w:color="auto"/>
              <w:left w:val="single" w:sz="2" w:space="0" w:color="FFFFFF" w:themeColor="background1"/>
              <w:bottom w:val="single" w:sz="12" w:space="0" w:color="auto"/>
              <w:right w:val="single" w:sz="2" w:space="0" w:color="FFFFFF" w:themeColor="background1"/>
            </w:tcBorders>
          </w:tcPr>
          <w:p w14:paraId="08EC9A95" w14:textId="77777777" w:rsidR="00435742" w:rsidRPr="00B33952" w:rsidRDefault="00435742" w:rsidP="00260269">
            <w:pPr>
              <w:keepNext/>
              <w:jc w:val="right"/>
              <w:rPr>
                <w:rFonts w:ascii="Arial" w:hAnsi="Arial" w:cs="Arial"/>
                <w:b/>
                <w:sz w:val="22"/>
                <w:szCs w:val="22"/>
              </w:rPr>
            </w:pPr>
          </w:p>
        </w:tc>
        <w:tc>
          <w:tcPr>
            <w:tcW w:w="4680"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77F2FD46" w14:textId="49B103F6" w:rsidR="00435742" w:rsidRPr="00B33952" w:rsidRDefault="00435742" w:rsidP="00260269">
            <w:pPr>
              <w:keepNext/>
              <w:jc w:val="right"/>
              <w:rPr>
                <w:rFonts w:ascii="Arial" w:hAnsi="Arial" w:cs="Arial"/>
                <w:b/>
                <w:sz w:val="22"/>
                <w:szCs w:val="22"/>
              </w:rPr>
            </w:pPr>
          </w:p>
        </w:tc>
      </w:tr>
    </w:tbl>
    <w:p w14:paraId="45EB9043" w14:textId="0C0F1637" w:rsidR="00443DC5" w:rsidRDefault="00443DC5" w:rsidP="00443DC5"/>
    <w:p w14:paraId="6986D6F1" w14:textId="77777777" w:rsidR="00F36561" w:rsidRDefault="00F36561" w:rsidP="00B45876">
      <w:pPr>
        <w:spacing w:line="264" w:lineRule="auto"/>
      </w:pPr>
    </w:p>
    <w:p w14:paraId="5235F12D" w14:textId="14ECEFF9" w:rsidR="004649A8" w:rsidRPr="004649A8" w:rsidRDefault="004649A8" w:rsidP="00B45876">
      <w:pPr>
        <w:spacing w:line="264" w:lineRule="auto"/>
        <w:rPr>
          <w:rFonts w:ascii="Arial" w:hAnsi="Arial" w:cs="Arial"/>
          <w:b/>
          <w:u w:val="single"/>
        </w:rPr>
      </w:pPr>
      <w:r w:rsidRPr="004649A8">
        <w:rPr>
          <w:rFonts w:ascii="Arial" w:hAnsi="Arial" w:cs="Arial"/>
          <w:b/>
          <w:u w:val="single"/>
        </w:rPr>
        <w:lastRenderedPageBreak/>
        <w:t>TIMING</w:t>
      </w:r>
    </w:p>
    <w:p w14:paraId="3064FF8B" w14:textId="77777777" w:rsidR="002C2F28" w:rsidRDefault="002C2F28" w:rsidP="00B45876">
      <w:pPr>
        <w:spacing w:line="264" w:lineRule="auto"/>
        <w:jc w:val="both"/>
        <w:rPr>
          <w:rFonts w:ascii="Arial" w:hAnsi="Arial" w:cs="Arial"/>
        </w:rPr>
      </w:pPr>
    </w:p>
    <w:p w14:paraId="473E0F87" w14:textId="6FF9B944" w:rsidR="00EE5344" w:rsidRPr="002701ED" w:rsidRDefault="004649A8" w:rsidP="00B45876">
      <w:pPr>
        <w:spacing w:line="264" w:lineRule="auto"/>
        <w:jc w:val="both"/>
        <w:rPr>
          <w:rFonts w:ascii="Arial" w:hAnsi="Arial" w:cs="Arial"/>
          <w:color w:val="C0504D" w:themeColor="accent2"/>
        </w:rPr>
      </w:pPr>
      <w:r w:rsidRPr="004649A8">
        <w:rPr>
          <w:rFonts w:ascii="Arial" w:hAnsi="Arial" w:cs="Arial"/>
        </w:rPr>
        <w:t>Ta</w:t>
      </w:r>
      <w:r w:rsidR="00CC4605">
        <w:rPr>
          <w:rFonts w:ascii="Arial" w:hAnsi="Arial" w:cs="Arial"/>
        </w:rPr>
        <w:t xml:space="preserve">ble </w:t>
      </w:r>
      <w:r w:rsidR="00196B75">
        <w:rPr>
          <w:rFonts w:ascii="Arial" w:hAnsi="Arial" w:cs="Arial"/>
        </w:rPr>
        <w:t>7</w:t>
      </w:r>
      <w:r w:rsidR="0006578F">
        <w:rPr>
          <w:rFonts w:ascii="Arial" w:hAnsi="Arial" w:cs="Arial"/>
        </w:rPr>
        <w:t xml:space="preserve"> </w:t>
      </w:r>
      <w:r w:rsidRPr="004649A8">
        <w:rPr>
          <w:rFonts w:ascii="Arial" w:hAnsi="Arial" w:cs="Arial"/>
        </w:rPr>
        <w:t xml:space="preserve">below provides a </w:t>
      </w:r>
      <w:r w:rsidR="00EE5344" w:rsidRPr="002701ED">
        <w:rPr>
          <w:rFonts w:ascii="Arial" w:hAnsi="Arial" w:cs="Arial"/>
          <w:color w:val="C0504D" w:themeColor="accent2"/>
        </w:rPr>
        <w:t xml:space="preserve">revised </w:t>
      </w:r>
      <w:r w:rsidRPr="004649A8">
        <w:rPr>
          <w:rFonts w:ascii="Arial" w:hAnsi="Arial" w:cs="Arial"/>
        </w:rPr>
        <w:t xml:space="preserve">timeline of activities </w:t>
      </w:r>
      <w:r w:rsidR="00464E2E">
        <w:rPr>
          <w:rFonts w:ascii="Arial" w:hAnsi="Arial" w:cs="Arial"/>
        </w:rPr>
        <w:t>proposed</w:t>
      </w:r>
      <w:r w:rsidR="00F152C2">
        <w:rPr>
          <w:rFonts w:ascii="Arial" w:hAnsi="Arial" w:cs="Arial"/>
        </w:rPr>
        <w:t xml:space="preserve"> by </w:t>
      </w:r>
      <w:r w:rsidR="00214507">
        <w:rPr>
          <w:rFonts w:ascii="Arial" w:hAnsi="Arial" w:cs="Arial"/>
        </w:rPr>
        <w:t xml:space="preserve">the </w:t>
      </w:r>
      <w:r w:rsidR="00D215F0">
        <w:rPr>
          <w:rFonts w:ascii="Arial" w:hAnsi="Arial" w:cs="Arial"/>
        </w:rPr>
        <w:t>Budget and Fiscal Management Committee</w:t>
      </w:r>
      <w:r w:rsidR="007B3F6A">
        <w:rPr>
          <w:rFonts w:ascii="Arial" w:hAnsi="Arial" w:cs="Arial"/>
        </w:rPr>
        <w:t xml:space="preserve"> Chair for</w:t>
      </w:r>
      <w:r w:rsidRPr="004649A8">
        <w:rPr>
          <w:rFonts w:ascii="Arial" w:hAnsi="Arial" w:cs="Arial"/>
        </w:rPr>
        <w:t xml:space="preserve"> possible action of the proposed or</w:t>
      </w:r>
      <w:r w:rsidR="00CC4605">
        <w:rPr>
          <w:rFonts w:ascii="Arial" w:hAnsi="Arial" w:cs="Arial"/>
        </w:rPr>
        <w:t>dinance</w:t>
      </w:r>
      <w:r w:rsidR="00705810">
        <w:rPr>
          <w:rFonts w:ascii="Arial" w:hAnsi="Arial" w:cs="Arial"/>
        </w:rPr>
        <w:t xml:space="preserve">. The </w:t>
      </w:r>
      <w:r w:rsidR="00F97872">
        <w:rPr>
          <w:rFonts w:ascii="Arial" w:hAnsi="Arial" w:cs="Arial"/>
        </w:rPr>
        <w:t xml:space="preserve"> </w:t>
      </w:r>
      <w:r w:rsidR="00F97872" w:rsidRPr="002701ED">
        <w:rPr>
          <w:rFonts w:ascii="Arial" w:hAnsi="Arial" w:cs="Arial"/>
          <w:color w:val="C0504D" w:themeColor="accent2"/>
        </w:rPr>
        <w:t xml:space="preserve">original </w:t>
      </w:r>
      <w:r w:rsidR="00705810">
        <w:rPr>
          <w:rFonts w:ascii="Arial" w:hAnsi="Arial" w:cs="Arial"/>
        </w:rPr>
        <w:t xml:space="preserve">timeline </w:t>
      </w:r>
      <w:r w:rsidR="00464E2E">
        <w:rPr>
          <w:rFonts w:ascii="Arial" w:hAnsi="Arial" w:cs="Arial"/>
        </w:rPr>
        <w:t>complie</w:t>
      </w:r>
      <w:r w:rsidR="00F97872">
        <w:rPr>
          <w:rFonts w:ascii="Arial" w:hAnsi="Arial" w:cs="Arial"/>
        </w:rPr>
        <w:t>d</w:t>
      </w:r>
      <w:r w:rsidR="00464E2E">
        <w:rPr>
          <w:rFonts w:ascii="Arial" w:hAnsi="Arial" w:cs="Arial"/>
        </w:rPr>
        <w:t xml:space="preserve"> </w:t>
      </w:r>
      <w:r w:rsidR="00BA7D41">
        <w:rPr>
          <w:rFonts w:ascii="Arial" w:hAnsi="Arial" w:cs="Arial"/>
        </w:rPr>
        <w:t xml:space="preserve">with </w:t>
      </w:r>
      <w:r w:rsidR="00F5456B">
        <w:rPr>
          <w:rFonts w:ascii="Arial" w:hAnsi="Arial" w:cs="Arial"/>
        </w:rPr>
        <w:t xml:space="preserve">King County Code Section </w:t>
      </w:r>
      <w:r w:rsidR="00F5456B" w:rsidRPr="00F5456B">
        <w:rPr>
          <w:rFonts w:ascii="Arial" w:hAnsi="Arial" w:cs="Arial"/>
        </w:rPr>
        <w:t>1.24.155</w:t>
      </w:r>
      <w:r w:rsidR="00F5456B">
        <w:rPr>
          <w:rFonts w:ascii="Arial" w:hAnsi="Arial" w:cs="Arial"/>
        </w:rPr>
        <w:t xml:space="preserve"> </w:t>
      </w:r>
      <w:r w:rsidR="00433273" w:rsidRPr="00433273">
        <w:rPr>
          <w:rFonts w:ascii="Arial" w:hAnsi="Arial" w:cs="Arial"/>
        </w:rPr>
        <w:t>Rule 16.C.</w:t>
      </w:r>
      <w:r w:rsidR="00C068E0">
        <w:rPr>
          <w:rFonts w:ascii="Arial" w:hAnsi="Arial" w:cs="Arial"/>
        </w:rPr>
        <w:t>1.</w:t>
      </w:r>
      <w:r w:rsidR="00E052F2">
        <w:rPr>
          <w:rFonts w:ascii="Arial" w:hAnsi="Arial" w:cs="Arial"/>
        </w:rPr>
        <w:t>d</w:t>
      </w:r>
      <w:r w:rsidR="00855281">
        <w:rPr>
          <w:rStyle w:val="FootnoteReference"/>
          <w:rFonts w:ascii="Arial" w:hAnsi="Arial" w:cs="Arial"/>
        </w:rPr>
        <w:footnoteReference w:id="24"/>
      </w:r>
      <w:r w:rsidR="00C068E0">
        <w:rPr>
          <w:rFonts w:ascii="Arial" w:hAnsi="Arial" w:cs="Arial"/>
        </w:rPr>
        <w:t xml:space="preserve"> </w:t>
      </w:r>
      <w:r w:rsidR="003E49A9">
        <w:rPr>
          <w:rFonts w:ascii="Arial" w:hAnsi="Arial" w:cs="Arial"/>
        </w:rPr>
        <w:t xml:space="preserve">that </w:t>
      </w:r>
      <w:r w:rsidR="00C068E0">
        <w:rPr>
          <w:rFonts w:ascii="Arial" w:hAnsi="Arial" w:cs="Arial"/>
        </w:rPr>
        <w:t>allows the chair of the standing committee to s</w:t>
      </w:r>
      <w:r w:rsidR="00C068E0" w:rsidRPr="00C068E0">
        <w:rPr>
          <w:rFonts w:ascii="Arial" w:hAnsi="Arial" w:cs="Arial"/>
        </w:rPr>
        <w:t>elect alternate deadlines for striking amendments and line amendments, provided that such alternate deadlines are distributed to all members of the council no later than the end of the day three business days after the date of introduction and referral of the legislation</w:t>
      </w:r>
      <w:r w:rsidR="00BF338C">
        <w:rPr>
          <w:rStyle w:val="FootnoteReference"/>
          <w:rFonts w:ascii="Arial" w:hAnsi="Arial" w:cs="Arial"/>
        </w:rPr>
        <w:footnoteReference w:id="25"/>
      </w:r>
      <w:r w:rsidR="00C068E0">
        <w:rPr>
          <w:rFonts w:ascii="Arial" w:hAnsi="Arial" w:cs="Arial"/>
        </w:rPr>
        <w:t>.</w:t>
      </w:r>
      <w:r w:rsidR="005A0260">
        <w:rPr>
          <w:rFonts w:ascii="Arial" w:hAnsi="Arial" w:cs="Arial"/>
        </w:rPr>
        <w:t xml:space="preserve"> </w:t>
      </w:r>
      <w:r w:rsidR="00F97872" w:rsidRPr="002701ED">
        <w:rPr>
          <w:rFonts w:ascii="Arial" w:hAnsi="Arial" w:cs="Arial"/>
          <w:color w:val="C0504D" w:themeColor="accent2"/>
        </w:rPr>
        <w:t>However, at</w:t>
      </w:r>
      <w:r w:rsidR="00EE5344" w:rsidRPr="002701ED">
        <w:rPr>
          <w:rFonts w:ascii="Arial" w:hAnsi="Arial" w:cs="Arial"/>
          <w:color w:val="C0504D" w:themeColor="accent2"/>
        </w:rPr>
        <w:t xml:space="preserve"> the July </w:t>
      </w:r>
      <w:r w:rsidR="005A0260" w:rsidRPr="002701ED">
        <w:rPr>
          <w:rFonts w:ascii="Arial" w:hAnsi="Arial" w:cs="Arial"/>
          <w:color w:val="C0504D" w:themeColor="accent2"/>
        </w:rPr>
        <w:t xml:space="preserve">13, 2021 Council meeting, the council suspended council rules to allow for </w:t>
      </w:r>
      <w:r w:rsidR="00130856" w:rsidRPr="002701ED">
        <w:rPr>
          <w:rFonts w:ascii="Arial" w:hAnsi="Arial" w:cs="Arial"/>
          <w:color w:val="C0504D" w:themeColor="accent2"/>
        </w:rPr>
        <w:t>the revised timeline.</w:t>
      </w:r>
    </w:p>
    <w:p w14:paraId="1CC264CD" w14:textId="77777777" w:rsidR="000504D1" w:rsidRPr="004649A8" w:rsidRDefault="000504D1" w:rsidP="000504D1">
      <w:pPr>
        <w:keepNext/>
        <w:spacing w:line="264" w:lineRule="auto"/>
        <w:jc w:val="both"/>
        <w:rPr>
          <w:rFonts w:ascii="Arial" w:hAnsi="Arial" w:cs="Arial"/>
        </w:rPr>
      </w:pPr>
    </w:p>
    <w:p w14:paraId="7BA938A9" w14:textId="05A5E1CB" w:rsidR="00417279" w:rsidRDefault="004649A8" w:rsidP="00645719">
      <w:pPr>
        <w:keepNext/>
        <w:spacing w:line="259" w:lineRule="auto"/>
        <w:jc w:val="center"/>
        <w:rPr>
          <w:rFonts w:ascii="Arial" w:hAnsi="Arial" w:cs="Arial"/>
          <w:b/>
        </w:rPr>
      </w:pPr>
      <w:r w:rsidRPr="004649A8">
        <w:rPr>
          <w:rFonts w:ascii="Arial" w:hAnsi="Arial" w:cs="Arial"/>
          <w:b/>
        </w:rPr>
        <w:t>Ta</w:t>
      </w:r>
      <w:r w:rsidR="0006578F">
        <w:rPr>
          <w:rFonts w:ascii="Arial" w:hAnsi="Arial" w:cs="Arial"/>
          <w:b/>
        </w:rPr>
        <w:t xml:space="preserve">ble </w:t>
      </w:r>
      <w:r w:rsidR="00196B75">
        <w:rPr>
          <w:rFonts w:ascii="Arial" w:hAnsi="Arial" w:cs="Arial"/>
          <w:b/>
        </w:rPr>
        <w:t>7</w:t>
      </w:r>
    </w:p>
    <w:p w14:paraId="574C67D6" w14:textId="73E22379" w:rsidR="00645719" w:rsidRDefault="00F20F52" w:rsidP="00645719">
      <w:pPr>
        <w:keepNext/>
        <w:spacing w:line="259" w:lineRule="auto"/>
        <w:jc w:val="center"/>
        <w:rPr>
          <w:rFonts w:ascii="Arial" w:hAnsi="Arial" w:cs="Arial"/>
          <w:b/>
        </w:rPr>
      </w:pPr>
      <w:r w:rsidRPr="00B65B2B">
        <w:rPr>
          <w:rFonts w:ascii="Arial" w:hAnsi="Arial" w:cs="Arial"/>
          <w:b/>
          <w:color w:val="C0504D" w:themeColor="accent2"/>
        </w:rPr>
        <w:t xml:space="preserve">Revised </w:t>
      </w:r>
      <w:r w:rsidR="00CC4605">
        <w:rPr>
          <w:rFonts w:ascii="Arial" w:hAnsi="Arial" w:cs="Arial"/>
          <w:b/>
        </w:rPr>
        <w:t>Timeline for</w:t>
      </w:r>
      <w:r w:rsidR="00645719">
        <w:rPr>
          <w:rFonts w:ascii="Arial" w:hAnsi="Arial" w:cs="Arial"/>
          <w:b/>
        </w:rPr>
        <w:t xml:space="preserve"> </w:t>
      </w:r>
      <w:r w:rsidR="007A101A">
        <w:rPr>
          <w:rFonts w:ascii="Arial" w:hAnsi="Arial" w:cs="Arial"/>
          <w:b/>
        </w:rPr>
        <w:t xml:space="preserve">COVID </w:t>
      </w:r>
      <w:r w:rsidR="002C2F28">
        <w:rPr>
          <w:rFonts w:ascii="Arial" w:hAnsi="Arial" w:cs="Arial"/>
          <w:b/>
        </w:rPr>
        <w:t xml:space="preserve">8 </w:t>
      </w:r>
      <w:r w:rsidR="007A101A">
        <w:rPr>
          <w:rFonts w:ascii="Arial" w:hAnsi="Arial" w:cs="Arial"/>
          <w:b/>
        </w:rPr>
        <w:t xml:space="preserve">Emergency </w:t>
      </w:r>
      <w:r w:rsidR="00767B04">
        <w:rPr>
          <w:rFonts w:ascii="Arial" w:hAnsi="Arial" w:cs="Arial"/>
          <w:b/>
        </w:rPr>
        <w:t>Supplemental</w:t>
      </w:r>
      <w:r w:rsidR="007A101A">
        <w:rPr>
          <w:rFonts w:ascii="Arial" w:hAnsi="Arial" w:cs="Arial"/>
          <w:b/>
        </w:rPr>
        <w:t xml:space="preserve"> (PO </w:t>
      </w:r>
      <w:r w:rsidR="00767B04">
        <w:rPr>
          <w:rFonts w:ascii="Arial" w:hAnsi="Arial" w:cs="Arial"/>
          <w:b/>
        </w:rPr>
        <w:t>2021-0</w:t>
      </w:r>
      <w:r w:rsidR="00645719">
        <w:rPr>
          <w:rFonts w:ascii="Arial" w:hAnsi="Arial" w:cs="Arial"/>
          <w:b/>
        </w:rPr>
        <w:t>238</w:t>
      </w:r>
      <w:r w:rsidR="007A101A">
        <w:rPr>
          <w:rFonts w:ascii="Arial" w:hAnsi="Arial" w:cs="Arial"/>
          <w:b/>
        </w:rPr>
        <w:t>)</w:t>
      </w:r>
      <w:r w:rsidR="00417279">
        <w:rPr>
          <w:rFonts w:ascii="Arial" w:hAnsi="Arial" w:cs="Arial"/>
          <w:b/>
        </w:rPr>
        <w:t>.</w:t>
      </w:r>
    </w:p>
    <w:p w14:paraId="4577D50A" w14:textId="77777777" w:rsidR="00F20F52" w:rsidRPr="007F5FE8" w:rsidRDefault="00F20F52" w:rsidP="00645719">
      <w:pPr>
        <w:keepNext/>
        <w:spacing w:line="259" w:lineRule="auto"/>
        <w:jc w:val="center"/>
        <w:rPr>
          <w:rFonts w:ascii="Arial" w:hAnsi="Arial" w:cs="Arial"/>
          <w:b/>
        </w:rPr>
      </w:pPr>
    </w:p>
    <w:tbl>
      <w:tblPr>
        <w:tblW w:w="9360" w:type="dxa"/>
        <w:tblCellMar>
          <w:left w:w="0" w:type="dxa"/>
          <w:right w:w="0" w:type="dxa"/>
        </w:tblCellMar>
        <w:tblLook w:val="04A0" w:firstRow="1" w:lastRow="0" w:firstColumn="1" w:lastColumn="0" w:noHBand="0" w:noVBand="1"/>
      </w:tblPr>
      <w:tblGrid>
        <w:gridCol w:w="2698"/>
        <w:gridCol w:w="278"/>
        <w:gridCol w:w="6384"/>
      </w:tblGrid>
      <w:tr w:rsidR="007F5FE8" w:rsidRPr="007F5FE8" w14:paraId="6E50CCF1" w14:textId="77777777" w:rsidTr="00A329A2">
        <w:trPr>
          <w:cantSplit/>
          <w:trHeight w:val="465"/>
          <w:tblHeader/>
        </w:trPr>
        <w:tc>
          <w:tcPr>
            <w:tcW w:w="2700" w:type="dxa"/>
            <w:tcBorders>
              <w:top w:val="single" w:sz="12" w:space="0" w:color="auto"/>
              <w:left w:val="nil"/>
              <w:bottom w:val="single" w:sz="8" w:space="0" w:color="auto"/>
              <w:right w:val="nil"/>
            </w:tcBorders>
            <w:tcMar>
              <w:top w:w="0" w:type="dxa"/>
              <w:left w:w="108" w:type="dxa"/>
              <w:bottom w:w="0" w:type="dxa"/>
              <w:right w:w="108" w:type="dxa"/>
            </w:tcMar>
            <w:vAlign w:val="center"/>
            <w:hideMark/>
          </w:tcPr>
          <w:p w14:paraId="0F950173" w14:textId="77777777" w:rsidR="00F20F52" w:rsidRPr="007F5FE8" w:rsidRDefault="00F20F52" w:rsidP="00A329A2">
            <w:pPr>
              <w:pStyle w:val="xmsonormal0"/>
              <w:keepNext/>
              <w:spacing w:line="252" w:lineRule="auto"/>
            </w:pPr>
            <w:r w:rsidRPr="007F5FE8">
              <w:rPr>
                <w:rFonts w:ascii="Arial" w:hAnsi="Arial" w:cs="Arial"/>
                <w:b/>
                <w:bCs/>
              </w:rPr>
              <w:t>Date</w:t>
            </w:r>
          </w:p>
        </w:tc>
        <w:tc>
          <w:tcPr>
            <w:tcW w:w="270" w:type="dxa"/>
            <w:tcBorders>
              <w:top w:val="single" w:sz="12" w:space="0" w:color="auto"/>
              <w:left w:val="nil"/>
              <w:bottom w:val="nil"/>
              <w:right w:val="nil"/>
            </w:tcBorders>
            <w:tcMar>
              <w:top w:w="0" w:type="dxa"/>
              <w:left w:w="108" w:type="dxa"/>
              <w:bottom w:w="0" w:type="dxa"/>
              <w:right w:w="108" w:type="dxa"/>
            </w:tcMar>
            <w:vAlign w:val="center"/>
            <w:hideMark/>
          </w:tcPr>
          <w:p w14:paraId="62655731" w14:textId="77777777" w:rsidR="00F20F52" w:rsidRPr="007F5FE8" w:rsidRDefault="00F20F52" w:rsidP="00A329A2">
            <w:pPr>
              <w:pStyle w:val="xmsonormal0"/>
              <w:keepNext/>
              <w:spacing w:line="252" w:lineRule="auto"/>
            </w:pPr>
            <w:r w:rsidRPr="007F5FE8">
              <w:rPr>
                <w:rFonts w:ascii="Arial" w:hAnsi="Arial" w:cs="Arial"/>
                <w:b/>
                <w:bCs/>
              </w:rPr>
              <w:t> </w:t>
            </w:r>
          </w:p>
        </w:tc>
        <w:tc>
          <w:tcPr>
            <w:tcW w:w="6390" w:type="dxa"/>
            <w:tcBorders>
              <w:top w:val="single" w:sz="12" w:space="0" w:color="auto"/>
              <w:left w:val="nil"/>
              <w:bottom w:val="single" w:sz="8" w:space="0" w:color="auto"/>
              <w:right w:val="nil"/>
            </w:tcBorders>
            <w:tcMar>
              <w:top w:w="0" w:type="dxa"/>
              <w:left w:w="108" w:type="dxa"/>
              <w:bottom w:w="0" w:type="dxa"/>
              <w:right w:w="108" w:type="dxa"/>
            </w:tcMar>
            <w:vAlign w:val="center"/>
            <w:hideMark/>
          </w:tcPr>
          <w:p w14:paraId="64CED867" w14:textId="77777777" w:rsidR="00F20F52" w:rsidRPr="007F5FE8" w:rsidRDefault="00F20F52" w:rsidP="00A329A2">
            <w:pPr>
              <w:pStyle w:val="xmsonormal0"/>
              <w:keepNext/>
              <w:spacing w:line="252" w:lineRule="auto"/>
            </w:pPr>
            <w:r w:rsidRPr="007F5FE8">
              <w:rPr>
                <w:rFonts w:ascii="Arial" w:hAnsi="Arial" w:cs="Arial"/>
                <w:b/>
                <w:bCs/>
              </w:rPr>
              <w:t>Activity</w:t>
            </w:r>
          </w:p>
        </w:tc>
      </w:tr>
      <w:tr w:rsidR="00F20F52" w:rsidRPr="00F20F52" w14:paraId="0DD3B4EE" w14:textId="77777777" w:rsidTr="00A329A2">
        <w:trPr>
          <w:cantSplit/>
          <w:trHeight w:val="23"/>
        </w:trPr>
        <w:tc>
          <w:tcPr>
            <w:tcW w:w="2700" w:type="dxa"/>
            <w:tcMar>
              <w:top w:w="72" w:type="dxa"/>
              <w:left w:w="115" w:type="dxa"/>
              <w:bottom w:w="72" w:type="dxa"/>
              <w:right w:w="115" w:type="dxa"/>
            </w:tcMar>
            <w:hideMark/>
          </w:tcPr>
          <w:p w14:paraId="2CD33E7A" w14:textId="77777777" w:rsidR="00F20F52" w:rsidRPr="00B65B2B" w:rsidRDefault="00F20F52" w:rsidP="00A329A2">
            <w:pPr>
              <w:pStyle w:val="xmsonormal0"/>
              <w:keepNext/>
              <w:spacing w:line="252" w:lineRule="auto"/>
              <w:rPr>
                <w:color w:val="E5B8B7" w:themeColor="accent2" w:themeTint="66"/>
              </w:rPr>
            </w:pPr>
            <w:r w:rsidRPr="00B65B2B">
              <w:rPr>
                <w:rFonts w:ascii="Arial" w:hAnsi="Arial" w:cs="Arial"/>
                <w:color w:val="E5B8B7" w:themeColor="accent2" w:themeTint="66"/>
              </w:rPr>
              <w:t>June 17</w:t>
            </w:r>
            <w:r w:rsidRPr="00B65B2B">
              <w:rPr>
                <w:rFonts w:ascii="Arial" w:hAnsi="Arial" w:cs="Arial"/>
                <w:color w:val="E5B8B7" w:themeColor="accent2" w:themeTint="66"/>
                <w:vertAlign w:val="superscript"/>
              </w:rPr>
              <w:t>th</w:t>
            </w:r>
            <w:r w:rsidRPr="00B65B2B">
              <w:rPr>
                <w:rFonts w:ascii="Arial" w:hAnsi="Arial" w:cs="Arial"/>
                <w:color w:val="E5B8B7" w:themeColor="accent2" w:themeTint="66"/>
              </w:rPr>
              <w:t xml:space="preserve"> (Thu)</w:t>
            </w:r>
          </w:p>
        </w:tc>
        <w:tc>
          <w:tcPr>
            <w:tcW w:w="270" w:type="dxa"/>
            <w:tcMar>
              <w:top w:w="72" w:type="dxa"/>
              <w:left w:w="108" w:type="dxa"/>
              <w:bottom w:w="72" w:type="dxa"/>
              <w:right w:w="108" w:type="dxa"/>
            </w:tcMar>
            <w:hideMark/>
          </w:tcPr>
          <w:p w14:paraId="3F108ACA" w14:textId="77777777" w:rsidR="00F20F52" w:rsidRPr="00B65B2B" w:rsidRDefault="00F20F52" w:rsidP="00A329A2">
            <w:pPr>
              <w:pStyle w:val="xmsonormal0"/>
              <w:keepNext/>
              <w:spacing w:line="252" w:lineRule="auto"/>
              <w:rPr>
                <w:color w:val="E5B8B7" w:themeColor="accent2" w:themeTint="66"/>
              </w:rPr>
            </w:pPr>
            <w:r w:rsidRPr="00B65B2B">
              <w:rPr>
                <w:rFonts w:ascii="Arial" w:hAnsi="Arial" w:cs="Arial"/>
                <w:color w:val="E5B8B7" w:themeColor="accent2" w:themeTint="66"/>
              </w:rPr>
              <w:t> </w:t>
            </w:r>
          </w:p>
        </w:tc>
        <w:tc>
          <w:tcPr>
            <w:tcW w:w="6390" w:type="dxa"/>
            <w:tcMar>
              <w:top w:w="72" w:type="dxa"/>
              <w:left w:w="115" w:type="dxa"/>
              <w:bottom w:w="72" w:type="dxa"/>
              <w:right w:w="115" w:type="dxa"/>
            </w:tcMar>
            <w:hideMark/>
          </w:tcPr>
          <w:p w14:paraId="78A93142" w14:textId="77777777" w:rsidR="00F20F52" w:rsidRPr="00B65B2B" w:rsidRDefault="00F20F52" w:rsidP="00A329A2">
            <w:pPr>
              <w:pStyle w:val="xmsonormal0"/>
              <w:keepNext/>
              <w:spacing w:line="252" w:lineRule="auto"/>
              <w:rPr>
                <w:color w:val="E5B8B7" w:themeColor="accent2" w:themeTint="66"/>
              </w:rPr>
            </w:pPr>
            <w:r w:rsidRPr="00B65B2B">
              <w:rPr>
                <w:rFonts w:ascii="Arial" w:hAnsi="Arial" w:cs="Arial"/>
                <w:color w:val="E5B8B7" w:themeColor="accent2" w:themeTint="66"/>
              </w:rPr>
              <w:t>Executive transmits and referred to BFM</w:t>
            </w:r>
          </w:p>
        </w:tc>
      </w:tr>
      <w:tr w:rsidR="00F20F52" w:rsidRPr="00F20F52" w14:paraId="71E7D7E7" w14:textId="77777777" w:rsidTr="00A329A2">
        <w:trPr>
          <w:cantSplit/>
          <w:trHeight w:val="23"/>
        </w:trPr>
        <w:tc>
          <w:tcPr>
            <w:tcW w:w="2700" w:type="dxa"/>
            <w:tcMar>
              <w:top w:w="72" w:type="dxa"/>
              <w:left w:w="115" w:type="dxa"/>
              <w:bottom w:w="72" w:type="dxa"/>
              <w:right w:w="115" w:type="dxa"/>
            </w:tcMar>
            <w:hideMark/>
          </w:tcPr>
          <w:p w14:paraId="0DD0BCFF" w14:textId="77777777" w:rsidR="00F20F52" w:rsidRPr="00B65B2B" w:rsidRDefault="00F20F52" w:rsidP="00A329A2">
            <w:pPr>
              <w:pStyle w:val="xmsonormal0"/>
              <w:keepNext/>
              <w:spacing w:line="252" w:lineRule="auto"/>
              <w:rPr>
                <w:color w:val="E5B8B7" w:themeColor="accent2" w:themeTint="66"/>
              </w:rPr>
            </w:pPr>
            <w:r w:rsidRPr="00B65B2B">
              <w:rPr>
                <w:rFonts w:ascii="Arial" w:hAnsi="Arial" w:cs="Arial"/>
                <w:color w:val="E5B8B7" w:themeColor="accent2" w:themeTint="66"/>
              </w:rPr>
              <w:t>July 6</w:t>
            </w:r>
            <w:r w:rsidRPr="00B65B2B">
              <w:rPr>
                <w:rFonts w:ascii="Arial" w:hAnsi="Arial" w:cs="Arial"/>
                <w:color w:val="E5B8B7" w:themeColor="accent2" w:themeTint="66"/>
                <w:vertAlign w:val="superscript"/>
              </w:rPr>
              <w:t>th</w:t>
            </w:r>
            <w:r w:rsidRPr="00B65B2B">
              <w:rPr>
                <w:rFonts w:ascii="Arial" w:hAnsi="Arial" w:cs="Arial"/>
                <w:color w:val="E5B8B7" w:themeColor="accent2" w:themeTint="66"/>
              </w:rPr>
              <w:t xml:space="preserve"> (Tue) 3:00 pm</w:t>
            </w:r>
          </w:p>
        </w:tc>
        <w:tc>
          <w:tcPr>
            <w:tcW w:w="270" w:type="dxa"/>
            <w:tcMar>
              <w:top w:w="72" w:type="dxa"/>
              <w:left w:w="108" w:type="dxa"/>
              <w:bottom w:w="72" w:type="dxa"/>
              <w:right w:w="108" w:type="dxa"/>
            </w:tcMar>
            <w:hideMark/>
          </w:tcPr>
          <w:p w14:paraId="1BEF2E66" w14:textId="77777777" w:rsidR="00F20F52" w:rsidRPr="00B65B2B" w:rsidRDefault="00F20F52" w:rsidP="00A329A2">
            <w:pPr>
              <w:pStyle w:val="xmsonormal0"/>
              <w:keepNext/>
              <w:spacing w:line="252" w:lineRule="auto"/>
              <w:rPr>
                <w:color w:val="E5B8B7" w:themeColor="accent2" w:themeTint="66"/>
              </w:rPr>
            </w:pPr>
            <w:r w:rsidRPr="00B65B2B">
              <w:rPr>
                <w:rFonts w:ascii="Arial" w:hAnsi="Arial" w:cs="Arial"/>
                <w:color w:val="E5B8B7" w:themeColor="accent2" w:themeTint="66"/>
              </w:rPr>
              <w:t> </w:t>
            </w:r>
          </w:p>
        </w:tc>
        <w:tc>
          <w:tcPr>
            <w:tcW w:w="6390" w:type="dxa"/>
            <w:tcMar>
              <w:top w:w="72" w:type="dxa"/>
              <w:left w:w="115" w:type="dxa"/>
              <w:bottom w:w="72" w:type="dxa"/>
              <w:right w:w="115" w:type="dxa"/>
            </w:tcMar>
            <w:hideMark/>
          </w:tcPr>
          <w:p w14:paraId="41D3B587" w14:textId="77777777" w:rsidR="00F20F52" w:rsidRPr="00B65B2B" w:rsidRDefault="00F20F52" w:rsidP="00A329A2">
            <w:pPr>
              <w:pStyle w:val="xmsonormal0"/>
              <w:keepNext/>
              <w:spacing w:line="252" w:lineRule="auto"/>
              <w:rPr>
                <w:color w:val="E5B8B7" w:themeColor="accent2" w:themeTint="66"/>
              </w:rPr>
            </w:pPr>
            <w:r w:rsidRPr="00B65B2B">
              <w:rPr>
                <w:rFonts w:ascii="Arial" w:hAnsi="Arial" w:cs="Arial"/>
                <w:color w:val="E5B8B7" w:themeColor="accent2" w:themeTint="66"/>
              </w:rPr>
              <w:t>Special BFM – No action on amendments</w:t>
            </w:r>
          </w:p>
        </w:tc>
      </w:tr>
      <w:tr w:rsidR="00F20F52" w:rsidRPr="00F20F52" w14:paraId="6424FB0F" w14:textId="77777777" w:rsidTr="00A329A2">
        <w:trPr>
          <w:cantSplit/>
          <w:trHeight w:val="23"/>
        </w:trPr>
        <w:tc>
          <w:tcPr>
            <w:tcW w:w="2700" w:type="dxa"/>
            <w:tcMar>
              <w:top w:w="72" w:type="dxa"/>
              <w:left w:w="115" w:type="dxa"/>
              <w:bottom w:w="72" w:type="dxa"/>
              <w:right w:w="115" w:type="dxa"/>
            </w:tcMar>
            <w:hideMark/>
          </w:tcPr>
          <w:p w14:paraId="6652AD48" w14:textId="77777777" w:rsidR="00F20F52" w:rsidRPr="00B65B2B" w:rsidRDefault="00F20F52" w:rsidP="00A329A2">
            <w:pPr>
              <w:pStyle w:val="xmsonormal0"/>
              <w:keepNext/>
              <w:spacing w:line="252" w:lineRule="auto"/>
              <w:rPr>
                <w:color w:val="E5B8B7" w:themeColor="accent2" w:themeTint="66"/>
              </w:rPr>
            </w:pPr>
            <w:r w:rsidRPr="00B65B2B">
              <w:rPr>
                <w:rFonts w:ascii="Arial" w:hAnsi="Arial" w:cs="Arial"/>
                <w:color w:val="E5B8B7" w:themeColor="accent2" w:themeTint="66"/>
              </w:rPr>
              <w:t>July 9</w:t>
            </w:r>
            <w:r w:rsidRPr="00B65B2B">
              <w:rPr>
                <w:rFonts w:ascii="Arial" w:hAnsi="Arial" w:cs="Arial"/>
                <w:color w:val="E5B8B7" w:themeColor="accent2" w:themeTint="66"/>
                <w:vertAlign w:val="superscript"/>
              </w:rPr>
              <w:t>th</w:t>
            </w:r>
            <w:r w:rsidRPr="00B65B2B">
              <w:rPr>
                <w:rFonts w:ascii="Arial" w:hAnsi="Arial" w:cs="Arial"/>
                <w:color w:val="E5B8B7" w:themeColor="accent2" w:themeTint="66"/>
              </w:rPr>
              <w:t xml:space="preserve"> (Fri) noon</w:t>
            </w:r>
          </w:p>
        </w:tc>
        <w:tc>
          <w:tcPr>
            <w:tcW w:w="270" w:type="dxa"/>
            <w:tcMar>
              <w:top w:w="72" w:type="dxa"/>
              <w:left w:w="108" w:type="dxa"/>
              <w:bottom w:w="72" w:type="dxa"/>
              <w:right w:w="108" w:type="dxa"/>
            </w:tcMar>
            <w:hideMark/>
          </w:tcPr>
          <w:p w14:paraId="0CCE8072" w14:textId="77777777" w:rsidR="00F20F52" w:rsidRPr="00B65B2B" w:rsidRDefault="00F20F52" w:rsidP="00A329A2">
            <w:pPr>
              <w:pStyle w:val="xmsonormal0"/>
              <w:keepNext/>
              <w:spacing w:line="252" w:lineRule="auto"/>
              <w:rPr>
                <w:color w:val="E5B8B7" w:themeColor="accent2" w:themeTint="66"/>
              </w:rPr>
            </w:pPr>
            <w:r w:rsidRPr="00B65B2B">
              <w:rPr>
                <w:rFonts w:ascii="Arial" w:hAnsi="Arial" w:cs="Arial"/>
                <w:color w:val="E5B8B7" w:themeColor="accent2" w:themeTint="66"/>
              </w:rPr>
              <w:t> </w:t>
            </w:r>
          </w:p>
        </w:tc>
        <w:tc>
          <w:tcPr>
            <w:tcW w:w="6390" w:type="dxa"/>
            <w:tcMar>
              <w:top w:w="72" w:type="dxa"/>
              <w:left w:w="115" w:type="dxa"/>
              <w:bottom w:w="72" w:type="dxa"/>
              <w:right w:w="115" w:type="dxa"/>
            </w:tcMar>
            <w:hideMark/>
          </w:tcPr>
          <w:p w14:paraId="69224E5B" w14:textId="77777777" w:rsidR="00F20F52" w:rsidRPr="00B65B2B" w:rsidRDefault="00F20F52" w:rsidP="00A329A2">
            <w:pPr>
              <w:pStyle w:val="xmsonormal0"/>
              <w:keepNext/>
              <w:spacing w:line="252" w:lineRule="auto"/>
              <w:rPr>
                <w:color w:val="E5B8B7" w:themeColor="accent2" w:themeTint="66"/>
              </w:rPr>
            </w:pPr>
            <w:r w:rsidRPr="00B65B2B">
              <w:rPr>
                <w:rFonts w:ascii="Arial" w:hAnsi="Arial" w:cs="Arial"/>
                <w:color w:val="E5B8B7" w:themeColor="accent2" w:themeTint="66"/>
              </w:rPr>
              <w:t>Striking amendment requests due to BFM Chair</w:t>
            </w:r>
          </w:p>
        </w:tc>
      </w:tr>
      <w:tr w:rsidR="00F20F52" w:rsidRPr="00F20F52" w14:paraId="73C4D41F" w14:textId="77777777" w:rsidTr="00A329A2">
        <w:trPr>
          <w:cantSplit/>
          <w:trHeight w:val="23"/>
        </w:trPr>
        <w:tc>
          <w:tcPr>
            <w:tcW w:w="2700" w:type="dxa"/>
            <w:tcMar>
              <w:top w:w="72" w:type="dxa"/>
              <w:left w:w="115" w:type="dxa"/>
              <w:bottom w:w="72" w:type="dxa"/>
              <w:right w:w="115" w:type="dxa"/>
            </w:tcMar>
            <w:hideMark/>
          </w:tcPr>
          <w:p w14:paraId="79C04DE8" w14:textId="77777777" w:rsidR="00F20F52" w:rsidRPr="00B65B2B" w:rsidRDefault="00F20F52" w:rsidP="00A329A2">
            <w:pPr>
              <w:pStyle w:val="xmsonormal0"/>
              <w:keepNext/>
              <w:spacing w:line="252" w:lineRule="auto"/>
              <w:rPr>
                <w:color w:val="E5B8B7" w:themeColor="accent2" w:themeTint="66"/>
              </w:rPr>
            </w:pPr>
            <w:r w:rsidRPr="00B65B2B">
              <w:rPr>
                <w:rFonts w:ascii="Arial" w:hAnsi="Arial" w:cs="Arial"/>
                <w:color w:val="E5B8B7" w:themeColor="accent2" w:themeTint="66"/>
              </w:rPr>
              <w:t>July 13</w:t>
            </w:r>
            <w:r w:rsidRPr="00B65B2B">
              <w:rPr>
                <w:rFonts w:ascii="Arial" w:hAnsi="Arial" w:cs="Arial"/>
                <w:color w:val="E5B8B7" w:themeColor="accent2" w:themeTint="66"/>
                <w:vertAlign w:val="superscript"/>
              </w:rPr>
              <w:t>th</w:t>
            </w:r>
            <w:r w:rsidRPr="00B65B2B">
              <w:rPr>
                <w:rFonts w:ascii="Arial" w:hAnsi="Arial" w:cs="Arial"/>
                <w:color w:val="E5B8B7" w:themeColor="accent2" w:themeTint="66"/>
              </w:rPr>
              <w:t xml:space="preserve"> (Tues) noon</w:t>
            </w:r>
          </w:p>
        </w:tc>
        <w:tc>
          <w:tcPr>
            <w:tcW w:w="270" w:type="dxa"/>
            <w:tcMar>
              <w:top w:w="72" w:type="dxa"/>
              <w:left w:w="108" w:type="dxa"/>
              <w:bottom w:w="72" w:type="dxa"/>
              <w:right w:w="108" w:type="dxa"/>
            </w:tcMar>
            <w:hideMark/>
          </w:tcPr>
          <w:p w14:paraId="6179A6DA" w14:textId="77777777" w:rsidR="00F20F52" w:rsidRPr="00B65B2B" w:rsidRDefault="00F20F52" w:rsidP="00A329A2">
            <w:pPr>
              <w:pStyle w:val="xmsonormal0"/>
              <w:keepNext/>
              <w:spacing w:line="252" w:lineRule="auto"/>
              <w:rPr>
                <w:color w:val="E5B8B7" w:themeColor="accent2" w:themeTint="66"/>
              </w:rPr>
            </w:pPr>
            <w:r w:rsidRPr="00B65B2B">
              <w:rPr>
                <w:rFonts w:ascii="Arial" w:hAnsi="Arial" w:cs="Arial"/>
                <w:color w:val="E5B8B7" w:themeColor="accent2" w:themeTint="66"/>
              </w:rPr>
              <w:t> </w:t>
            </w:r>
          </w:p>
        </w:tc>
        <w:tc>
          <w:tcPr>
            <w:tcW w:w="6390" w:type="dxa"/>
            <w:tcMar>
              <w:top w:w="72" w:type="dxa"/>
              <w:left w:w="115" w:type="dxa"/>
              <w:bottom w:w="72" w:type="dxa"/>
              <w:right w:w="115" w:type="dxa"/>
            </w:tcMar>
            <w:hideMark/>
          </w:tcPr>
          <w:p w14:paraId="1302F6DA" w14:textId="77777777" w:rsidR="00F20F52" w:rsidRPr="00B65B2B" w:rsidRDefault="00F20F52" w:rsidP="00A329A2">
            <w:pPr>
              <w:pStyle w:val="xmsonormal0"/>
              <w:keepNext/>
              <w:spacing w:line="252" w:lineRule="auto"/>
              <w:rPr>
                <w:color w:val="E5B8B7" w:themeColor="accent2" w:themeTint="66"/>
              </w:rPr>
            </w:pPr>
            <w:r w:rsidRPr="00B65B2B">
              <w:rPr>
                <w:rFonts w:ascii="Arial" w:hAnsi="Arial" w:cs="Arial"/>
                <w:color w:val="E5B8B7" w:themeColor="accent2" w:themeTint="66"/>
              </w:rPr>
              <w:t>BFM Chair’s striking amendment direction due to staff</w:t>
            </w:r>
          </w:p>
        </w:tc>
      </w:tr>
      <w:tr w:rsidR="00F20F52" w:rsidRPr="00F20F52" w14:paraId="604947A7" w14:textId="77777777" w:rsidTr="00A329A2">
        <w:trPr>
          <w:cantSplit/>
          <w:trHeight w:val="23"/>
        </w:trPr>
        <w:tc>
          <w:tcPr>
            <w:tcW w:w="2700" w:type="dxa"/>
            <w:tcMar>
              <w:top w:w="72" w:type="dxa"/>
              <w:left w:w="115" w:type="dxa"/>
              <w:bottom w:w="72" w:type="dxa"/>
              <w:right w:w="115" w:type="dxa"/>
            </w:tcMar>
            <w:hideMark/>
          </w:tcPr>
          <w:p w14:paraId="610A9BAD" w14:textId="77777777" w:rsidR="00F20F52" w:rsidRPr="00B65B2B" w:rsidRDefault="00F20F52" w:rsidP="00A329A2">
            <w:pPr>
              <w:pStyle w:val="xmsonormal0"/>
              <w:keepNext/>
              <w:spacing w:line="252" w:lineRule="auto"/>
              <w:rPr>
                <w:color w:val="C0504D" w:themeColor="accent2"/>
              </w:rPr>
            </w:pPr>
            <w:r w:rsidRPr="00B65B2B">
              <w:rPr>
                <w:rFonts w:ascii="Arial" w:hAnsi="Arial" w:cs="Arial"/>
                <w:color w:val="C0504D" w:themeColor="accent2"/>
              </w:rPr>
              <w:t>July 19</w:t>
            </w:r>
            <w:r w:rsidRPr="00B65B2B">
              <w:rPr>
                <w:rFonts w:ascii="Arial" w:hAnsi="Arial" w:cs="Arial"/>
                <w:color w:val="C0504D" w:themeColor="accent2"/>
                <w:vertAlign w:val="superscript"/>
              </w:rPr>
              <w:t>th</w:t>
            </w:r>
            <w:r w:rsidRPr="00B65B2B">
              <w:rPr>
                <w:rFonts w:ascii="Arial" w:hAnsi="Arial" w:cs="Arial"/>
                <w:color w:val="C0504D" w:themeColor="accent2"/>
              </w:rPr>
              <w:t xml:space="preserve"> (Mon) noon</w:t>
            </w:r>
          </w:p>
        </w:tc>
        <w:tc>
          <w:tcPr>
            <w:tcW w:w="270" w:type="dxa"/>
            <w:tcMar>
              <w:top w:w="72" w:type="dxa"/>
              <w:left w:w="108" w:type="dxa"/>
              <w:bottom w:w="72" w:type="dxa"/>
              <w:right w:w="108" w:type="dxa"/>
            </w:tcMar>
            <w:hideMark/>
          </w:tcPr>
          <w:p w14:paraId="6F0323C5" w14:textId="77777777" w:rsidR="00F20F52" w:rsidRPr="00B65B2B" w:rsidRDefault="00F20F52" w:rsidP="00A329A2">
            <w:pPr>
              <w:pStyle w:val="xmsonormal0"/>
              <w:keepNext/>
              <w:spacing w:line="252" w:lineRule="auto"/>
              <w:rPr>
                <w:color w:val="C0504D" w:themeColor="accent2"/>
              </w:rPr>
            </w:pPr>
            <w:r w:rsidRPr="00B65B2B">
              <w:rPr>
                <w:rFonts w:ascii="Arial" w:hAnsi="Arial" w:cs="Arial"/>
                <w:color w:val="C0504D" w:themeColor="accent2"/>
              </w:rPr>
              <w:t> </w:t>
            </w:r>
          </w:p>
        </w:tc>
        <w:tc>
          <w:tcPr>
            <w:tcW w:w="6390" w:type="dxa"/>
            <w:tcMar>
              <w:top w:w="72" w:type="dxa"/>
              <w:left w:w="115" w:type="dxa"/>
              <w:bottom w:w="72" w:type="dxa"/>
              <w:right w:w="115" w:type="dxa"/>
            </w:tcMar>
            <w:hideMark/>
          </w:tcPr>
          <w:p w14:paraId="66803A4B" w14:textId="77777777" w:rsidR="00F20F52" w:rsidRPr="00B65B2B" w:rsidRDefault="00F20F52" w:rsidP="00A329A2">
            <w:pPr>
              <w:pStyle w:val="xmsonormal0"/>
              <w:keepNext/>
              <w:spacing w:line="252" w:lineRule="auto"/>
              <w:rPr>
                <w:color w:val="C0504D" w:themeColor="accent2"/>
              </w:rPr>
            </w:pPr>
            <w:r w:rsidRPr="00B65B2B">
              <w:rPr>
                <w:rFonts w:ascii="Arial" w:hAnsi="Arial" w:cs="Arial"/>
                <w:color w:val="C0504D" w:themeColor="accent2"/>
              </w:rPr>
              <w:t>Striking amendment finalized and distributed</w:t>
            </w:r>
          </w:p>
        </w:tc>
      </w:tr>
      <w:tr w:rsidR="00F20F52" w:rsidRPr="00F20F52" w14:paraId="79B0D214" w14:textId="77777777" w:rsidTr="00A329A2">
        <w:trPr>
          <w:cantSplit/>
          <w:trHeight w:val="243"/>
        </w:trPr>
        <w:tc>
          <w:tcPr>
            <w:tcW w:w="2700" w:type="dxa"/>
            <w:tcMar>
              <w:top w:w="72" w:type="dxa"/>
              <w:left w:w="115" w:type="dxa"/>
              <w:bottom w:w="72" w:type="dxa"/>
              <w:right w:w="115" w:type="dxa"/>
            </w:tcMar>
            <w:hideMark/>
          </w:tcPr>
          <w:p w14:paraId="764ECDE5" w14:textId="77777777" w:rsidR="00F20F52" w:rsidRPr="00B65B2B" w:rsidRDefault="00F20F52" w:rsidP="00A329A2">
            <w:pPr>
              <w:pStyle w:val="xmsonormal0"/>
              <w:keepNext/>
              <w:spacing w:line="252" w:lineRule="auto"/>
              <w:rPr>
                <w:rFonts w:ascii="Arial" w:hAnsi="Arial" w:cs="Arial"/>
                <w:color w:val="C0504D" w:themeColor="accent2"/>
              </w:rPr>
            </w:pPr>
            <w:r w:rsidRPr="00B65B2B">
              <w:rPr>
                <w:rFonts w:ascii="Arial" w:hAnsi="Arial" w:cs="Arial"/>
                <w:color w:val="C0504D" w:themeColor="accent2"/>
              </w:rPr>
              <w:t>July 20</w:t>
            </w:r>
            <w:r w:rsidRPr="00B65B2B">
              <w:rPr>
                <w:rFonts w:ascii="Arial" w:hAnsi="Arial" w:cs="Arial"/>
                <w:color w:val="C0504D" w:themeColor="accent2"/>
                <w:vertAlign w:val="superscript"/>
              </w:rPr>
              <w:t>th</w:t>
            </w:r>
            <w:r w:rsidRPr="00B65B2B">
              <w:rPr>
                <w:rFonts w:ascii="Arial" w:hAnsi="Arial" w:cs="Arial"/>
                <w:color w:val="C0504D" w:themeColor="accent2"/>
              </w:rPr>
              <w:t xml:space="preserve"> (Tues) 9:30am</w:t>
            </w:r>
          </w:p>
        </w:tc>
        <w:tc>
          <w:tcPr>
            <w:tcW w:w="270" w:type="dxa"/>
            <w:tcMar>
              <w:top w:w="72" w:type="dxa"/>
              <w:left w:w="108" w:type="dxa"/>
              <w:bottom w:w="72" w:type="dxa"/>
              <w:right w:w="108" w:type="dxa"/>
            </w:tcMar>
          </w:tcPr>
          <w:p w14:paraId="483DD08A" w14:textId="77777777" w:rsidR="00F20F52" w:rsidRPr="00B65B2B" w:rsidRDefault="00F20F52" w:rsidP="00A329A2">
            <w:pPr>
              <w:pStyle w:val="xmsonormal0"/>
              <w:keepNext/>
              <w:spacing w:line="252" w:lineRule="auto"/>
              <w:rPr>
                <w:rFonts w:ascii="Arial" w:hAnsi="Arial" w:cs="Arial"/>
                <w:color w:val="C0504D" w:themeColor="accent2"/>
              </w:rPr>
            </w:pPr>
          </w:p>
        </w:tc>
        <w:tc>
          <w:tcPr>
            <w:tcW w:w="6390" w:type="dxa"/>
            <w:tcMar>
              <w:top w:w="72" w:type="dxa"/>
              <w:left w:w="115" w:type="dxa"/>
              <w:bottom w:w="72" w:type="dxa"/>
              <w:right w:w="115" w:type="dxa"/>
            </w:tcMar>
            <w:hideMark/>
          </w:tcPr>
          <w:p w14:paraId="06760BD6" w14:textId="77777777" w:rsidR="00F20F52" w:rsidRPr="00B65B2B" w:rsidRDefault="00F20F52" w:rsidP="00A329A2">
            <w:pPr>
              <w:pStyle w:val="xmsonormal0"/>
              <w:keepNext/>
              <w:spacing w:line="252" w:lineRule="auto"/>
              <w:rPr>
                <w:rFonts w:ascii="Arial" w:hAnsi="Arial" w:cs="Arial"/>
                <w:color w:val="C0504D" w:themeColor="accent2"/>
              </w:rPr>
            </w:pPr>
            <w:r w:rsidRPr="00B65B2B">
              <w:rPr>
                <w:rFonts w:ascii="Arial" w:hAnsi="Arial" w:cs="Arial"/>
                <w:color w:val="C0504D" w:themeColor="accent2"/>
              </w:rPr>
              <w:t>BFM – 2</w:t>
            </w:r>
            <w:r w:rsidRPr="00B65B2B">
              <w:rPr>
                <w:rFonts w:ascii="Arial" w:hAnsi="Arial" w:cs="Arial"/>
                <w:color w:val="C0504D" w:themeColor="accent2"/>
                <w:vertAlign w:val="superscript"/>
              </w:rPr>
              <w:t>nd</w:t>
            </w:r>
            <w:r w:rsidRPr="00B65B2B">
              <w:rPr>
                <w:rFonts w:ascii="Arial" w:hAnsi="Arial" w:cs="Arial"/>
                <w:color w:val="C0504D" w:themeColor="accent2"/>
              </w:rPr>
              <w:t xml:space="preserve"> Briefing. No action on amendments</w:t>
            </w:r>
          </w:p>
        </w:tc>
      </w:tr>
      <w:tr w:rsidR="00F20F52" w:rsidRPr="00F20F52" w14:paraId="34191593" w14:textId="77777777" w:rsidTr="00A329A2">
        <w:trPr>
          <w:cantSplit/>
          <w:trHeight w:val="243"/>
        </w:trPr>
        <w:tc>
          <w:tcPr>
            <w:tcW w:w="2700" w:type="dxa"/>
            <w:tcMar>
              <w:top w:w="72" w:type="dxa"/>
              <w:left w:w="115" w:type="dxa"/>
              <w:bottom w:w="72" w:type="dxa"/>
              <w:right w:w="115" w:type="dxa"/>
            </w:tcMar>
            <w:hideMark/>
          </w:tcPr>
          <w:p w14:paraId="0F783218" w14:textId="77777777" w:rsidR="00F20F52" w:rsidRPr="00B65B2B" w:rsidRDefault="00F20F52" w:rsidP="00A329A2">
            <w:pPr>
              <w:pStyle w:val="xmsonormal0"/>
              <w:keepNext/>
              <w:spacing w:line="252" w:lineRule="auto"/>
              <w:rPr>
                <w:color w:val="C0504D" w:themeColor="accent2"/>
              </w:rPr>
            </w:pPr>
            <w:r w:rsidRPr="00B65B2B">
              <w:rPr>
                <w:rFonts w:ascii="Arial" w:hAnsi="Arial" w:cs="Arial"/>
                <w:color w:val="C0504D" w:themeColor="accent2"/>
              </w:rPr>
              <w:t>July 23</w:t>
            </w:r>
            <w:r w:rsidRPr="00B65B2B">
              <w:rPr>
                <w:rFonts w:ascii="Arial" w:hAnsi="Arial" w:cs="Arial"/>
                <w:color w:val="C0504D" w:themeColor="accent2"/>
                <w:vertAlign w:val="superscript"/>
              </w:rPr>
              <w:t>rd</w:t>
            </w:r>
            <w:r w:rsidRPr="00B65B2B">
              <w:rPr>
                <w:rFonts w:ascii="Arial" w:hAnsi="Arial" w:cs="Arial"/>
                <w:color w:val="C0504D" w:themeColor="accent2"/>
              </w:rPr>
              <w:t xml:space="preserve"> (Fri) noon</w:t>
            </w:r>
          </w:p>
        </w:tc>
        <w:tc>
          <w:tcPr>
            <w:tcW w:w="270" w:type="dxa"/>
            <w:tcMar>
              <w:top w:w="72" w:type="dxa"/>
              <w:left w:w="108" w:type="dxa"/>
              <w:bottom w:w="72" w:type="dxa"/>
              <w:right w:w="108" w:type="dxa"/>
            </w:tcMar>
            <w:hideMark/>
          </w:tcPr>
          <w:p w14:paraId="11267AB2" w14:textId="77777777" w:rsidR="00F20F52" w:rsidRPr="00B65B2B" w:rsidRDefault="00F20F52" w:rsidP="00A329A2">
            <w:pPr>
              <w:pStyle w:val="xmsonormal0"/>
              <w:keepNext/>
              <w:spacing w:line="252" w:lineRule="auto"/>
              <w:rPr>
                <w:color w:val="C0504D" w:themeColor="accent2"/>
              </w:rPr>
            </w:pPr>
            <w:r w:rsidRPr="00B65B2B">
              <w:rPr>
                <w:rFonts w:ascii="Arial" w:hAnsi="Arial" w:cs="Arial"/>
                <w:color w:val="C0504D" w:themeColor="accent2"/>
              </w:rPr>
              <w:t> </w:t>
            </w:r>
          </w:p>
        </w:tc>
        <w:tc>
          <w:tcPr>
            <w:tcW w:w="6390" w:type="dxa"/>
            <w:tcMar>
              <w:top w:w="72" w:type="dxa"/>
              <w:left w:w="115" w:type="dxa"/>
              <w:bottom w:w="72" w:type="dxa"/>
              <w:right w:w="115" w:type="dxa"/>
            </w:tcMar>
            <w:hideMark/>
          </w:tcPr>
          <w:p w14:paraId="0C3DA614" w14:textId="77777777" w:rsidR="00F20F52" w:rsidRPr="00B65B2B" w:rsidRDefault="00F20F52" w:rsidP="00A329A2">
            <w:pPr>
              <w:pStyle w:val="xmsonormal0"/>
              <w:keepNext/>
              <w:spacing w:line="252" w:lineRule="auto"/>
              <w:rPr>
                <w:color w:val="C0504D" w:themeColor="accent2"/>
              </w:rPr>
            </w:pPr>
            <w:r w:rsidRPr="00B65B2B">
              <w:rPr>
                <w:rFonts w:ascii="Arial" w:hAnsi="Arial" w:cs="Arial"/>
                <w:color w:val="C0504D" w:themeColor="accent2"/>
              </w:rPr>
              <w:t>Line amendment direction due to staff</w:t>
            </w:r>
          </w:p>
        </w:tc>
      </w:tr>
      <w:tr w:rsidR="00F20F52" w:rsidRPr="00F20F52" w14:paraId="31743C66" w14:textId="77777777" w:rsidTr="00A329A2">
        <w:trPr>
          <w:cantSplit/>
          <w:trHeight w:val="23"/>
        </w:trPr>
        <w:tc>
          <w:tcPr>
            <w:tcW w:w="2700" w:type="dxa"/>
            <w:tcBorders>
              <w:top w:val="nil"/>
              <w:left w:val="nil"/>
              <w:bottom w:val="single" w:sz="12" w:space="0" w:color="auto"/>
              <w:right w:val="nil"/>
            </w:tcBorders>
            <w:tcMar>
              <w:top w:w="72" w:type="dxa"/>
              <w:left w:w="115" w:type="dxa"/>
              <w:bottom w:w="72" w:type="dxa"/>
              <w:right w:w="115" w:type="dxa"/>
            </w:tcMar>
            <w:hideMark/>
          </w:tcPr>
          <w:p w14:paraId="415D66BE" w14:textId="77777777" w:rsidR="00F20F52" w:rsidRPr="00B65B2B" w:rsidRDefault="00F20F52" w:rsidP="00A329A2">
            <w:pPr>
              <w:pStyle w:val="xmsonormal0"/>
              <w:keepNext/>
              <w:spacing w:line="252" w:lineRule="auto"/>
              <w:rPr>
                <w:color w:val="C0504D" w:themeColor="accent2"/>
              </w:rPr>
            </w:pPr>
            <w:r w:rsidRPr="00B65B2B">
              <w:rPr>
                <w:rFonts w:ascii="Arial" w:hAnsi="Arial" w:cs="Arial"/>
                <w:color w:val="C0504D" w:themeColor="accent2"/>
              </w:rPr>
              <w:t>July 27</w:t>
            </w:r>
            <w:r w:rsidRPr="00B65B2B">
              <w:rPr>
                <w:rFonts w:ascii="Arial" w:hAnsi="Arial" w:cs="Arial"/>
                <w:color w:val="C0504D" w:themeColor="accent2"/>
                <w:vertAlign w:val="superscript"/>
              </w:rPr>
              <w:t>th</w:t>
            </w:r>
            <w:r w:rsidRPr="00B65B2B">
              <w:rPr>
                <w:rFonts w:ascii="Arial" w:hAnsi="Arial" w:cs="Arial"/>
                <w:color w:val="C0504D" w:themeColor="accent2"/>
              </w:rPr>
              <w:t xml:space="preserve"> (Tue) 1:00 pm</w:t>
            </w:r>
          </w:p>
        </w:tc>
        <w:tc>
          <w:tcPr>
            <w:tcW w:w="270" w:type="dxa"/>
            <w:tcBorders>
              <w:top w:val="nil"/>
              <w:left w:val="nil"/>
              <w:bottom w:val="single" w:sz="12" w:space="0" w:color="auto"/>
              <w:right w:val="nil"/>
            </w:tcBorders>
            <w:tcMar>
              <w:top w:w="72" w:type="dxa"/>
              <w:left w:w="108" w:type="dxa"/>
              <w:bottom w:w="72" w:type="dxa"/>
              <w:right w:w="108" w:type="dxa"/>
            </w:tcMar>
            <w:hideMark/>
          </w:tcPr>
          <w:p w14:paraId="373B65A9" w14:textId="77777777" w:rsidR="00F20F52" w:rsidRPr="00B65B2B" w:rsidRDefault="00F20F52" w:rsidP="00A329A2">
            <w:pPr>
              <w:pStyle w:val="xmsonormal0"/>
              <w:keepNext/>
              <w:spacing w:line="252" w:lineRule="auto"/>
              <w:rPr>
                <w:color w:val="C0504D" w:themeColor="accent2"/>
              </w:rPr>
            </w:pPr>
            <w:r w:rsidRPr="00B65B2B">
              <w:rPr>
                <w:rFonts w:ascii="Arial" w:hAnsi="Arial" w:cs="Arial"/>
                <w:color w:val="C0504D" w:themeColor="accent2"/>
              </w:rPr>
              <w:t> </w:t>
            </w:r>
          </w:p>
        </w:tc>
        <w:tc>
          <w:tcPr>
            <w:tcW w:w="6390" w:type="dxa"/>
            <w:tcBorders>
              <w:top w:val="nil"/>
              <w:left w:val="nil"/>
              <w:bottom w:val="single" w:sz="12" w:space="0" w:color="auto"/>
              <w:right w:val="nil"/>
            </w:tcBorders>
            <w:tcMar>
              <w:top w:w="72" w:type="dxa"/>
              <w:left w:w="115" w:type="dxa"/>
              <w:bottom w:w="72" w:type="dxa"/>
              <w:right w:w="115" w:type="dxa"/>
            </w:tcMar>
            <w:hideMark/>
          </w:tcPr>
          <w:p w14:paraId="7CB7C7AD" w14:textId="77777777" w:rsidR="00F20F52" w:rsidRPr="00B65B2B" w:rsidRDefault="00F20F52" w:rsidP="00A329A2">
            <w:pPr>
              <w:pStyle w:val="xmsonormal0"/>
              <w:keepNext/>
              <w:spacing w:line="252" w:lineRule="auto"/>
              <w:rPr>
                <w:color w:val="C0504D" w:themeColor="accent2"/>
              </w:rPr>
            </w:pPr>
            <w:r w:rsidRPr="00B65B2B">
              <w:rPr>
                <w:rFonts w:ascii="Arial" w:hAnsi="Arial" w:cs="Arial"/>
                <w:color w:val="C0504D" w:themeColor="accent2"/>
              </w:rPr>
              <w:t>Full Council – Action on all amendments</w:t>
            </w:r>
          </w:p>
        </w:tc>
      </w:tr>
    </w:tbl>
    <w:p w14:paraId="533DD4F8" w14:textId="77777777" w:rsidR="00F20F52" w:rsidRDefault="00F20F52" w:rsidP="00F20F52"/>
    <w:p w14:paraId="4C901EDF" w14:textId="77777777" w:rsidR="00645719" w:rsidRDefault="00645719" w:rsidP="00034322">
      <w:pPr>
        <w:keepNext/>
        <w:spacing w:line="264" w:lineRule="auto"/>
        <w:jc w:val="both"/>
        <w:rPr>
          <w:rFonts w:ascii="Arial" w:hAnsi="Arial" w:cs="Arial"/>
          <w:b/>
          <w:szCs w:val="24"/>
          <w:u w:val="single"/>
        </w:rPr>
      </w:pPr>
    </w:p>
    <w:p w14:paraId="316DD39E" w14:textId="09E2602C" w:rsidR="00034322" w:rsidRPr="001C4B19" w:rsidRDefault="00034322" w:rsidP="00034322">
      <w:pPr>
        <w:keepNext/>
        <w:spacing w:line="264" w:lineRule="auto"/>
        <w:jc w:val="both"/>
        <w:rPr>
          <w:rFonts w:ascii="Arial" w:hAnsi="Arial" w:cs="Arial"/>
          <w:b/>
          <w:szCs w:val="24"/>
          <w:u w:val="single"/>
        </w:rPr>
      </w:pPr>
      <w:r w:rsidRPr="001C4B19">
        <w:rPr>
          <w:rFonts w:ascii="Arial" w:hAnsi="Arial" w:cs="Arial"/>
          <w:b/>
          <w:szCs w:val="24"/>
          <w:u w:val="single"/>
        </w:rPr>
        <w:t>INVITED</w:t>
      </w:r>
    </w:p>
    <w:p w14:paraId="5D5C1E34" w14:textId="77777777" w:rsidR="00034322" w:rsidRPr="001C4B19" w:rsidRDefault="00034322" w:rsidP="00034322">
      <w:pPr>
        <w:keepNext/>
        <w:spacing w:line="264" w:lineRule="auto"/>
        <w:jc w:val="both"/>
        <w:rPr>
          <w:rFonts w:ascii="Arial" w:hAnsi="Arial" w:cs="Arial"/>
          <w:szCs w:val="24"/>
        </w:rPr>
      </w:pPr>
    </w:p>
    <w:p w14:paraId="31FF8782" w14:textId="77777777" w:rsidR="00034322" w:rsidRDefault="00034322" w:rsidP="00034322">
      <w:pPr>
        <w:pStyle w:val="ListParagraph0"/>
        <w:keepNext/>
        <w:numPr>
          <w:ilvl w:val="0"/>
          <w:numId w:val="15"/>
        </w:numPr>
        <w:spacing w:line="264" w:lineRule="auto"/>
        <w:jc w:val="both"/>
        <w:rPr>
          <w:rFonts w:ascii="Arial" w:hAnsi="Arial" w:cs="Arial"/>
        </w:rPr>
      </w:pPr>
      <w:r>
        <w:rPr>
          <w:rFonts w:ascii="Arial" w:hAnsi="Arial" w:cs="Arial"/>
        </w:rPr>
        <w:t>Dwight Dively, Director, Office of Performance, Strategy and Budget</w:t>
      </w:r>
    </w:p>
    <w:p w14:paraId="6395BF66" w14:textId="77777777" w:rsidR="00034322" w:rsidRDefault="00034322" w:rsidP="00034322">
      <w:pPr>
        <w:pStyle w:val="BodyText"/>
        <w:spacing w:line="264" w:lineRule="auto"/>
        <w:jc w:val="both"/>
        <w:rPr>
          <w:rFonts w:ascii="Arial" w:hAnsi="Arial" w:cs="Arial"/>
          <w:b/>
          <w:i w:val="0"/>
          <w:szCs w:val="24"/>
          <w:u w:val="single"/>
        </w:rPr>
      </w:pPr>
    </w:p>
    <w:p w14:paraId="02DC908A" w14:textId="77777777" w:rsidR="00034322" w:rsidRDefault="00034322" w:rsidP="00034322">
      <w:pPr>
        <w:pStyle w:val="BodyText"/>
        <w:spacing w:line="264" w:lineRule="auto"/>
        <w:jc w:val="both"/>
        <w:rPr>
          <w:rFonts w:ascii="Arial" w:hAnsi="Arial" w:cs="Arial"/>
          <w:i w:val="0"/>
          <w:szCs w:val="24"/>
        </w:rPr>
      </w:pPr>
      <w:r>
        <w:rPr>
          <w:rFonts w:ascii="Arial" w:hAnsi="Arial" w:cs="Arial"/>
          <w:b/>
          <w:i w:val="0"/>
          <w:szCs w:val="24"/>
          <w:u w:val="single"/>
        </w:rPr>
        <w:t>A</w:t>
      </w:r>
      <w:r w:rsidRPr="001C4B19">
        <w:rPr>
          <w:rFonts w:ascii="Arial" w:hAnsi="Arial" w:cs="Arial"/>
          <w:b/>
          <w:i w:val="0"/>
          <w:szCs w:val="24"/>
          <w:u w:val="single"/>
        </w:rPr>
        <w:t>TTACHMENTS</w:t>
      </w:r>
    </w:p>
    <w:p w14:paraId="62A1A17F" w14:textId="77777777" w:rsidR="00034322" w:rsidRPr="001C4B19" w:rsidRDefault="00034322" w:rsidP="00034322">
      <w:pPr>
        <w:pStyle w:val="BodyText"/>
        <w:spacing w:line="264" w:lineRule="auto"/>
        <w:jc w:val="both"/>
        <w:rPr>
          <w:rFonts w:ascii="Arial" w:hAnsi="Arial" w:cs="Arial"/>
          <w:i w:val="0"/>
          <w:szCs w:val="24"/>
        </w:rPr>
      </w:pPr>
    </w:p>
    <w:p w14:paraId="6DBD7B26" w14:textId="18BB5129" w:rsidR="00034322" w:rsidRDefault="00034322" w:rsidP="00034322">
      <w:pPr>
        <w:pStyle w:val="BodyText"/>
        <w:numPr>
          <w:ilvl w:val="0"/>
          <w:numId w:val="1"/>
        </w:numPr>
        <w:spacing w:line="264" w:lineRule="auto"/>
        <w:jc w:val="both"/>
        <w:rPr>
          <w:rFonts w:ascii="Arial" w:hAnsi="Arial" w:cs="Arial"/>
          <w:i w:val="0"/>
          <w:szCs w:val="24"/>
        </w:rPr>
      </w:pPr>
      <w:r>
        <w:rPr>
          <w:rFonts w:ascii="Arial" w:hAnsi="Arial" w:cs="Arial"/>
          <w:i w:val="0"/>
          <w:szCs w:val="24"/>
        </w:rPr>
        <w:t>Proposed Ordinance 2021-0</w:t>
      </w:r>
      <w:r w:rsidR="00C0601D">
        <w:rPr>
          <w:rFonts w:ascii="Arial" w:hAnsi="Arial" w:cs="Arial"/>
          <w:i w:val="0"/>
          <w:szCs w:val="24"/>
        </w:rPr>
        <w:t>238</w:t>
      </w:r>
      <w:r>
        <w:rPr>
          <w:rFonts w:ascii="Arial" w:hAnsi="Arial" w:cs="Arial"/>
          <w:i w:val="0"/>
          <w:szCs w:val="24"/>
        </w:rPr>
        <w:t xml:space="preserve"> (and its attachment)</w:t>
      </w:r>
    </w:p>
    <w:p w14:paraId="701BBC61" w14:textId="77777777" w:rsidR="00034322" w:rsidRDefault="00034322" w:rsidP="00034322">
      <w:pPr>
        <w:pStyle w:val="BodyText"/>
        <w:numPr>
          <w:ilvl w:val="0"/>
          <w:numId w:val="1"/>
        </w:numPr>
        <w:spacing w:line="264" w:lineRule="auto"/>
        <w:jc w:val="both"/>
        <w:rPr>
          <w:rFonts w:ascii="Arial" w:hAnsi="Arial" w:cs="Arial"/>
          <w:i w:val="0"/>
          <w:szCs w:val="24"/>
        </w:rPr>
      </w:pPr>
      <w:r w:rsidRPr="001C4B19">
        <w:rPr>
          <w:rFonts w:ascii="Arial" w:hAnsi="Arial" w:cs="Arial"/>
          <w:i w:val="0"/>
          <w:szCs w:val="24"/>
        </w:rPr>
        <w:t>Transmittal Letter</w:t>
      </w:r>
    </w:p>
    <w:p w14:paraId="27F0F993" w14:textId="5DDC2CCD" w:rsidR="00CD4C19" w:rsidRPr="00CD4C19" w:rsidRDefault="00034322" w:rsidP="00CD4C19">
      <w:pPr>
        <w:pStyle w:val="BodyText"/>
        <w:numPr>
          <w:ilvl w:val="0"/>
          <w:numId w:val="1"/>
        </w:numPr>
        <w:spacing w:line="264" w:lineRule="auto"/>
        <w:jc w:val="both"/>
        <w:rPr>
          <w:rFonts w:ascii="Arial" w:hAnsi="Arial" w:cs="Arial"/>
          <w:i w:val="0"/>
          <w:szCs w:val="24"/>
        </w:rPr>
      </w:pPr>
      <w:r>
        <w:rPr>
          <w:rFonts w:ascii="Arial" w:hAnsi="Arial" w:cs="Arial"/>
          <w:i w:val="0"/>
          <w:szCs w:val="24"/>
        </w:rPr>
        <w:t>Fiscal Notes</w:t>
      </w:r>
    </w:p>
    <w:p w14:paraId="4C83132E" w14:textId="7572AF93" w:rsidR="00034322" w:rsidRDefault="00CD4C19" w:rsidP="00034322">
      <w:pPr>
        <w:pStyle w:val="BodyText"/>
        <w:numPr>
          <w:ilvl w:val="0"/>
          <w:numId w:val="1"/>
        </w:numPr>
        <w:spacing w:line="264" w:lineRule="auto"/>
        <w:jc w:val="both"/>
        <w:rPr>
          <w:rFonts w:ascii="Arial" w:hAnsi="Arial" w:cs="Arial"/>
          <w:i w:val="0"/>
          <w:szCs w:val="24"/>
        </w:rPr>
      </w:pPr>
      <w:r>
        <w:rPr>
          <w:rFonts w:ascii="Arial" w:hAnsi="Arial" w:cs="Arial"/>
          <w:i w:val="0"/>
          <w:szCs w:val="24"/>
        </w:rPr>
        <w:t>8</w:t>
      </w:r>
      <w:r w:rsidR="00034322" w:rsidRPr="00872FB8">
        <w:rPr>
          <w:rFonts w:ascii="Arial" w:hAnsi="Arial" w:cs="Arial"/>
          <w:i w:val="0"/>
          <w:szCs w:val="24"/>
          <w:vertAlign w:val="superscript"/>
        </w:rPr>
        <w:t>th</w:t>
      </w:r>
      <w:r w:rsidR="00034322">
        <w:rPr>
          <w:rFonts w:ascii="Arial" w:hAnsi="Arial" w:cs="Arial"/>
          <w:i w:val="0"/>
          <w:szCs w:val="24"/>
        </w:rPr>
        <w:t xml:space="preserve"> COVID-19 Emergency Supplemental Crosswalk</w:t>
      </w:r>
    </w:p>
    <w:p w14:paraId="2A0DE37A" w14:textId="35506C36" w:rsidR="00264EBE" w:rsidRDefault="00264EBE" w:rsidP="00034322">
      <w:pPr>
        <w:pStyle w:val="BodyText"/>
        <w:numPr>
          <w:ilvl w:val="0"/>
          <w:numId w:val="1"/>
        </w:numPr>
        <w:spacing w:line="264" w:lineRule="auto"/>
        <w:jc w:val="both"/>
        <w:rPr>
          <w:rFonts w:ascii="Arial" w:hAnsi="Arial" w:cs="Arial"/>
          <w:i w:val="0"/>
          <w:szCs w:val="24"/>
        </w:rPr>
      </w:pPr>
      <w:r>
        <w:rPr>
          <w:rFonts w:ascii="Arial" w:hAnsi="Arial" w:cs="Arial"/>
          <w:i w:val="0"/>
          <w:szCs w:val="24"/>
        </w:rPr>
        <w:t xml:space="preserve">General Fund Financial Plan, dated </w:t>
      </w:r>
      <w:r w:rsidR="00FA6D4F">
        <w:rPr>
          <w:rFonts w:ascii="Arial" w:hAnsi="Arial" w:cs="Arial"/>
          <w:i w:val="0"/>
          <w:szCs w:val="24"/>
        </w:rPr>
        <w:t>June 30, 2021</w:t>
      </w:r>
    </w:p>
    <w:p w14:paraId="5BE8241E" w14:textId="29E1D0FA" w:rsidR="000103B2" w:rsidRDefault="00480E1C" w:rsidP="000103B2">
      <w:pPr>
        <w:pStyle w:val="BodyText"/>
        <w:numPr>
          <w:ilvl w:val="0"/>
          <w:numId w:val="1"/>
        </w:numPr>
        <w:spacing w:line="264" w:lineRule="auto"/>
        <w:jc w:val="both"/>
        <w:rPr>
          <w:rFonts w:ascii="Arial" w:hAnsi="Arial" w:cs="Arial"/>
          <w:i w:val="0"/>
          <w:szCs w:val="24"/>
        </w:rPr>
      </w:pPr>
      <w:r>
        <w:rPr>
          <w:rFonts w:ascii="Arial" w:hAnsi="Arial" w:cs="Arial"/>
          <w:i w:val="0"/>
          <w:szCs w:val="24"/>
        </w:rPr>
        <w:t>Superior Court COVID 8 Request to PSB</w:t>
      </w:r>
    </w:p>
    <w:p w14:paraId="5B9C79F1" w14:textId="3BBFECA5" w:rsidR="00F22EFD" w:rsidRPr="007B7818" w:rsidRDefault="00480E1C" w:rsidP="007B7818">
      <w:pPr>
        <w:pStyle w:val="BodyText"/>
        <w:numPr>
          <w:ilvl w:val="0"/>
          <w:numId w:val="1"/>
        </w:numPr>
        <w:spacing w:line="264" w:lineRule="auto"/>
        <w:jc w:val="both"/>
        <w:rPr>
          <w:rFonts w:ascii="Arial" w:hAnsi="Arial" w:cs="Arial"/>
          <w:i w:val="0"/>
          <w:szCs w:val="24"/>
        </w:rPr>
      </w:pPr>
      <w:r>
        <w:rPr>
          <w:rFonts w:ascii="Arial" w:hAnsi="Arial" w:cs="Arial"/>
          <w:i w:val="0"/>
          <w:szCs w:val="24"/>
        </w:rPr>
        <w:t>Prosecuting Attorney Office COVID 8 Request to PSB</w:t>
      </w:r>
      <w:r>
        <w:rPr>
          <w:rFonts w:ascii="Arial" w:hAnsi="Arial" w:cs="Arial"/>
          <w:i w:val="0"/>
          <w:szCs w:val="24"/>
        </w:rPr>
        <w:tab/>
      </w:r>
    </w:p>
    <w:sectPr w:rsidR="00F22EFD" w:rsidRPr="007B7818" w:rsidSect="00C75025">
      <w:headerReference w:type="first" r:id="rId12"/>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B8F6D" w14:textId="77777777" w:rsidR="00A329A2" w:rsidRDefault="00A329A2">
      <w:r>
        <w:separator/>
      </w:r>
    </w:p>
  </w:endnote>
  <w:endnote w:type="continuationSeparator" w:id="0">
    <w:p w14:paraId="753F0E47" w14:textId="77777777" w:rsidR="00A329A2" w:rsidRDefault="00A3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C8296" w14:textId="77777777" w:rsidR="00A329A2" w:rsidRDefault="00A329A2">
      <w:r>
        <w:separator/>
      </w:r>
    </w:p>
  </w:footnote>
  <w:footnote w:type="continuationSeparator" w:id="0">
    <w:p w14:paraId="7D6FDF01" w14:textId="77777777" w:rsidR="00A329A2" w:rsidRDefault="00A329A2">
      <w:r>
        <w:continuationSeparator/>
      </w:r>
    </w:p>
  </w:footnote>
  <w:footnote w:id="1">
    <w:p w14:paraId="2D13C16A" w14:textId="3E1F0B7D" w:rsidR="00A329A2" w:rsidRDefault="00A329A2">
      <w:pPr>
        <w:pStyle w:val="FootnoteText"/>
      </w:pPr>
      <w:r>
        <w:rPr>
          <w:rStyle w:val="FootnoteReference"/>
        </w:rPr>
        <w:footnoteRef/>
      </w:r>
      <w:r>
        <w:t xml:space="preserve"> Ordinance 19289, enacted June 11, 2021.</w:t>
      </w:r>
    </w:p>
  </w:footnote>
  <w:footnote w:id="2">
    <w:p w14:paraId="47CE4FB8" w14:textId="2F37515E" w:rsidR="00A329A2" w:rsidRDefault="00A329A2">
      <w:pPr>
        <w:pStyle w:val="FootnoteText"/>
      </w:pPr>
      <w:r>
        <w:rPr>
          <w:rStyle w:val="FootnoteReference"/>
        </w:rPr>
        <w:footnoteRef/>
      </w:r>
      <w:r>
        <w:t xml:space="preserve"> H.R. 748 – 116</w:t>
      </w:r>
      <w:r w:rsidRPr="00EA6B1E">
        <w:rPr>
          <w:vertAlign w:val="superscript"/>
        </w:rPr>
        <w:t>th</w:t>
      </w:r>
      <w:r>
        <w:t xml:space="preserve"> Congress. URL: </w:t>
      </w:r>
      <w:hyperlink r:id="rId1" w:history="1">
        <w:r w:rsidRPr="00886F09">
          <w:rPr>
            <w:rStyle w:val="Hyperlink"/>
          </w:rPr>
          <w:t>https://www.congress.gov/bill/116th-congress/house-bill/748</w:t>
        </w:r>
      </w:hyperlink>
      <w:r>
        <w:t xml:space="preserve">. </w:t>
      </w:r>
    </w:p>
  </w:footnote>
  <w:footnote w:id="3">
    <w:p w14:paraId="4D6EC6D9" w14:textId="1FC3D094" w:rsidR="00A329A2" w:rsidRDefault="00A329A2" w:rsidP="006078C5">
      <w:pPr>
        <w:pStyle w:val="FootnoteText"/>
      </w:pPr>
      <w:r>
        <w:rPr>
          <w:rStyle w:val="FootnoteReference"/>
        </w:rPr>
        <w:footnoteRef/>
      </w:r>
      <w:r>
        <w:t xml:space="preserve"> H.R. 133 – 116</w:t>
      </w:r>
      <w:r w:rsidRPr="00A62C8B">
        <w:rPr>
          <w:vertAlign w:val="superscript"/>
        </w:rPr>
        <w:t>th</w:t>
      </w:r>
      <w:r>
        <w:t xml:space="preserve"> Congress. URL: </w:t>
      </w:r>
      <w:hyperlink r:id="rId2" w:history="1">
        <w:r w:rsidRPr="00E0206D">
          <w:rPr>
            <w:rStyle w:val="Hyperlink"/>
          </w:rPr>
          <w:t>https://www.congress.gov/bill/116th-congress/house-bill/133</w:t>
        </w:r>
      </w:hyperlink>
      <w:r>
        <w:t>.</w:t>
      </w:r>
    </w:p>
  </w:footnote>
  <w:footnote w:id="4">
    <w:p w14:paraId="0D51D186" w14:textId="5AB7C8A5" w:rsidR="00A329A2" w:rsidRDefault="00A329A2">
      <w:pPr>
        <w:pStyle w:val="FootnoteText"/>
      </w:pPr>
      <w:r w:rsidRPr="001D1A7E">
        <w:rPr>
          <w:rStyle w:val="FootnoteReference"/>
          <w:color w:val="C0504D" w:themeColor="accent2"/>
        </w:rPr>
        <w:footnoteRef/>
      </w:r>
      <w:r w:rsidRPr="001D1A7E">
        <w:rPr>
          <w:color w:val="C0504D" w:themeColor="accent2"/>
        </w:rPr>
        <w:t xml:space="preserve"> Executive staff will be conducting federal eligibility reviews and competitive procurement procedures for programs that would be supported by ARPA CLFRF moneys based on federal requirements.</w:t>
      </w:r>
    </w:p>
  </w:footnote>
  <w:footnote w:id="5">
    <w:p w14:paraId="56A4BC28" w14:textId="77777777" w:rsidR="00A329A2" w:rsidRDefault="00A329A2" w:rsidP="008809CF">
      <w:pPr>
        <w:pStyle w:val="FootnoteText"/>
      </w:pPr>
      <w:r>
        <w:rPr>
          <w:rStyle w:val="FootnoteReference"/>
        </w:rPr>
        <w:footnoteRef/>
      </w:r>
      <w:r>
        <w:t xml:space="preserve"> H.R. 1319 – 117</w:t>
      </w:r>
      <w:r w:rsidRPr="00644D45">
        <w:rPr>
          <w:vertAlign w:val="superscript"/>
        </w:rPr>
        <w:t>th</w:t>
      </w:r>
      <w:r>
        <w:t xml:space="preserve"> Congress. URL: </w:t>
      </w:r>
      <w:hyperlink r:id="rId3" w:history="1">
        <w:r w:rsidRPr="00886F09">
          <w:rPr>
            <w:rStyle w:val="Hyperlink"/>
          </w:rPr>
          <w:t>https://www.congress.gov/bill/117th-congress/house-bill/1319</w:t>
        </w:r>
      </w:hyperlink>
      <w:r>
        <w:t>.</w:t>
      </w:r>
    </w:p>
  </w:footnote>
  <w:footnote w:id="6">
    <w:p w14:paraId="13E47F70" w14:textId="77777777" w:rsidR="00A329A2" w:rsidRDefault="00A329A2" w:rsidP="00284EE3">
      <w:pPr>
        <w:pStyle w:val="FootnoteText"/>
      </w:pPr>
      <w:r>
        <w:rPr>
          <w:rStyle w:val="FootnoteReference"/>
        </w:rPr>
        <w:footnoteRef/>
      </w:r>
      <w:r>
        <w:t xml:space="preserve"> Motion </w:t>
      </w:r>
      <w:r w:rsidRPr="00E613F4">
        <w:t>15250</w:t>
      </w:r>
      <w:r>
        <w:t>, adopted November 13, 2018.</w:t>
      </w:r>
    </w:p>
  </w:footnote>
  <w:footnote w:id="7">
    <w:p w14:paraId="5A9352EA" w14:textId="78F4C487" w:rsidR="00A329A2" w:rsidRDefault="00A329A2">
      <w:pPr>
        <w:pStyle w:val="FootnoteText"/>
      </w:pPr>
      <w:r>
        <w:rPr>
          <w:rStyle w:val="FootnoteReference"/>
        </w:rPr>
        <w:footnoteRef/>
      </w:r>
      <w:r>
        <w:t xml:space="preserve"> Ordinance 19289, enacted June 11, 2021.</w:t>
      </w:r>
    </w:p>
  </w:footnote>
  <w:footnote w:id="8">
    <w:p w14:paraId="373FC24C" w14:textId="7D023468" w:rsidR="00A329A2" w:rsidRDefault="00A329A2">
      <w:pPr>
        <w:pStyle w:val="FootnoteText"/>
      </w:pPr>
      <w:r>
        <w:rPr>
          <w:rStyle w:val="FootnoteReference"/>
        </w:rPr>
        <w:footnoteRef/>
      </w:r>
      <w:r>
        <w:t xml:space="preserve"> Proposed Ordinance 2021-0249.</w:t>
      </w:r>
    </w:p>
  </w:footnote>
  <w:footnote w:id="9">
    <w:p w14:paraId="61D399B3" w14:textId="2CF13E95" w:rsidR="00A329A2" w:rsidRDefault="00A329A2">
      <w:pPr>
        <w:pStyle w:val="FootnoteText"/>
      </w:pPr>
      <w:r>
        <w:rPr>
          <w:rStyle w:val="FootnoteReference"/>
        </w:rPr>
        <w:footnoteRef/>
      </w:r>
      <w:r>
        <w:t xml:space="preserve"> </w:t>
      </w:r>
      <w:r w:rsidRPr="00EC50F8">
        <w:t>On February 25, 2021, the Washington State Supreme Court in State v. Blake declared unconstitutional Washington’s strict liability drug possession statute, which criminalized unintentional, unknowing possession of controlled substances without a prescription.</w:t>
      </w:r>
      <w:r>
        <w:t xml:space="preserve">  More details: </w:t>
      </w:r>
      <w:hyperlink r:id="rId4" w:history="1">
        <w:r w:rsidRPr="008B3F34">
          <w:rPr>
            <w:rStyle w:val="Hyperlink"/>
          </w:rPr>
          <w:t>http://mrsc.org/Home/Stay-Informed/MRSC-Insight/March-2021/The-Status-of-Drug-Possession-in-Washington-State.aspx</w:t>
        </w:r>
      </w:hyperlink>
      <w:r>
        <w:t>.</w:t>
      </w:r>
    </w:p>
  </w:footnote>
  <w:footnote w:id="10">
    <w:p w14:paraId="63F64899" w14:textId="7CF1FDA6" w:rsidR="00A329A2" w:rsidRDefault="00A329A2">
      <w:pPr>
        <w:pStyle w:val="FootnoteText"/>
      </w:pPr>
      <w:r>
        <w:rPr>
          <w:rStyle w:val="FootnoteReference"/>
        </w:rPr>
        <w:footnoteRef/>
      </w:r>
      <w:r>
        <w:t xml:space="preserve"> 31 CFR Part 35 (</w:t>
      </w:r>
      <w:r w:rsidRPr="00581F0D">
        <w:t>RIN 1505-AC77</w:t>
      </w:r>
      <w:r>
        <w:t xml:space="preserve">), URL: </w:t>
      </w:r>
      <w:hyperlink r:id="rId5" w:history="1">
        <w:r w:rsidRPr="00A57BC1">
          <w:rPr>
            <w:rStyle w:val="Hyperlink"/>
          </w:rPr>
          <w:t>https://home.treasury.gov/system/files/136/FRF-Interim-Final-Rule.pdf</w:t>
        </w:r>
      </w:hyperlink>
      <w:r>
        <w:t>.</w:t>
      </w:r>
    </w:p>
  </w:footnote>
  <w:footnote w:id="11">
    <w:p w14:paraId="4B43EDF6" w14:textId="0F338202" w:rsidR="00A329A2" w:rsidRDefault="00A329A2" w:rsidP="00E2690C">
      <w:pPr>
        <w:pStyle w:val="FootnoteText"/>
      </w:pPr>
      <w:r>
        <w:rPr>
          <w:rStyle w:val="FootnoteReference"/>
        </w:rPr>
        <w:footnoteRef/>
      </w:r>
      <w:r>
        <w:t xml:space="preserve"> These cases have all been filed by the PAO and are set for trial.</w:t>
      </w:r>
    </w:p>
  </w:footnote>
  <w:footnote w:id="12">
    <w:p w14:paraId="080CCAD1" w14:textId="2C5C2AFF" w:rsidR="00A329A2" w:rsidRPr="008A07FC" w:rsidRDefault="00A329A2" w:rsidP="00E2690C">
      <w:pPr>
        <w:pStyle w:val="FootnoteText"/>
      </w:pPr>
      <w:r w:rsidRPr="008A07FC">
        <w:rPr>
          <w:rStyle w:val="FootnoteReference"/>
        </w:rPr>
        <w:footnoteRef/>
      </w:r>
      <w:r w:rsidRPr="008A07FC">
        <w:t xml:space="preserve"> Data provided by PAO. “More serious offenses” include homicide, rape, domestic violence, robbery,</w:t>
      </w:r>
      <w:r>
        <w:t xml:space="preserve"> and</w:t>
      </w:r>
      <w:r w:rsidRPr="008A07FC">
        <w:t xml:space="preserve"> shootings</w:t>
      </w:r>
      <w:r>
        <w:t>.</w:t>
      </w:r>
    </w:p>
  </w:footnote>
  <w:footnote w:id="13">
    <w:p w14:paraId="6DCD733D" w14:textId="77777777" w:rsidR="00A329A2" w:rsidRPr="002E5B8C" w:rsidRDefault="00A329A2" w:rsidP="00E2690C">
      <w:pPr>
        <w:pStyle w:val="FootnoteText"/>
      </w:pPr>
      <w:r w:rsidRPr="002E5B8C">
        <w:rPr>
          <w:rStyle w:val="FootnoteReference"/>
        </w:rPr>
        <w:footnoteRef/>
      </w:r>
      <w:r w:rsidRPr="002E5B8C">
        <w:t xml:space="preserve"> State v. Blake, 197 Wash. 2d 170, 174, 481 P.3d 521, 524 (2021)</w:t>
      </w:r>
    </w:p>
  </w:footnote>
  <w:footnote w:id="14">
    <w:p w14:paraId="7DCAD7A7" w14:textId="77777777" w:rsidR="00A329A2" w:rsidRPr="000410F2" w:rsidRDefault="00A329A2" w:rsidP="00E2690C">
      <w:pPr>
        <w:jc w:val="both"/>
      </w:pPr>
      <w:r>
        <w:rPr>
          <w:rStyle w:val="FootnoteReference"/>
        </w:rPr>
        <w:footnoteRef/>
      </w:r>
      <w:r>
        <w:t xml:space="preserve"> </w:t>
      </w:r>
      <w:r w:rsidRPr="000410F2">
        <w:t xml:space="preserve">On June 30, 2021 the Superior Court announced that mask requirements and social distancing will remain in effect until further notice at all King County Superior Court public spaces, including courtrooms. </w:t>
      </w:r>
      <w:r>
        <w:t>This is being reviewed regularly.</w:t>
      </w:r>
    </w:p>
    <w:p w14:paraId="69C02278" w14:textId="77777777" w:rsidR="00A329A2" w:rsidRDefault="00A329A2" w:rsidP="00E2690C">
      <w:pPr>
        <w:pStyle w:val="FootnoteText"/>
      </w:pPr>
    </w:p>
  </w:footnote>
  <w:footnote w:id="15">
    <w:p w14:paraId="68DA0877" w14:textId="77777777" w:rsidR="00A329A2" w:rsidRPr="003B0780" w:rsidRDefault="00A329A2" w:rsidP="00E2690C">
      <w:pPr>
        <w:jc w:val="both"/>
        <w:rPr>
          <w:sz w:val="20"/>
        </w:rPr>
      </w:pPr>
      <w:r w:rsidRPr="003B0780">
        <w:rPr>
          <w:rStyle w:val="FootnoteReference"/>
        </w:rPr>
        <w:footnoteRef/>
      </w:r>
      <w:r w:rsidRPr="003B0780">
        <w:rPr>
          <w:sz w:val="20"/>
        </w:rPr>
        <w:t xml:space="preserve"> These cases primarily involve DUIs, Domestic Violence, and non-property crimes against persons as the State has limited its filings to those with the highest public and victim safety impacts. </w:t>
      </w:r>
    </w:p>
    <w:p w14:paraId="0F83B9EA" w14:textId="77777777" w:rsidR="00A329A2" w:rsidRDefault="00A329A2" w:rsidP="00E2690C">
      <w:pPr>
        <w:pStyle w:val="FootnoteText"/>
      </w:pPr>
    </w:p>
  </w:footnote>
  <w:footnote w:id="16">
    <w:p w14:paraId="54C5BC33" w14:textId="77777777" w:rsidR="00A329A2" w:rsidRDefault="00A329A2" w:rsidP="00B22090">
      <w:pPr>
        <w:pStyle w:val="FootnoteText"/>
      </w:pPr>
      <w:r>
        <w:rPr>
          <w:rStyle w:val="FootnoteReference"/>
        </w:rPr>
        <w:footnoteRef/>
      </w:r>
      <w:r>
        <w:t xml:space="preserve"> </w:t>
      </w:r>
      <w:hyperlink r:id="rId6" w:history="1">
        <w:r w:rsidRPr="00A57BC1">
          <w:rPr>
            <w:rStyle w:val="Hyperlink"/>
          </w:rPr>
          <w:t>https://kingcounty.gov/elected/executive/constantine/news/release/2021/June/22-renton-health-through-housing.aspx</w:t>
        </w:r>
      </w:hyperlink>
      <w:r>
        <w:t xml:space="preserve">. </w:t>
      </w:r>
    </w:p>
  </w:footnote>
  <w:footnote w:id="17">
    <w:p w14:paraId="206CDCCB" w14:textId="34759479" w:rsidR="00A329A2" w:rsidRDefault="00A329A2">
      <w:pPr>
        <w:pStyle w:val="FootnoteText"/>
      </w:pPr>
      <w:r>
        <w:rPr>
          <w:rStyle w:val="FootnoteReference"/>
        </w:rPr>
        <w:footnoteRef/>
      </w:r>
      <w:r>
        <w:t xml:space="preserve"> </w:t>
      </w:r>
      <w:hyperlink r:id="rId7" w:history="1">
        <w:r w:rsidRPr="00A57BC1">
          <w:rPr>
            <w:rStyle w:val="Hyperlink"/>
          </w:rPr>
          <w:t>https://www.immigrantreliefwa.org/</w:t>
        </w:r>
      </w:hyperlink>
      <w:r>
        <w:t xml:space="preserve">. </w:t>
      </w:r>
    </w:p>
  </w:footnote>
  <w:footnote w:id="18">
    <w:p w14:paraId="7A073DFC" w14:textId="78089041" w:rsidR="00A329A2" w:rsidRDefault="00A329A2">
      <w:pPr>
        <w:pStyle w:val="FootnoteText"/>
      </w:pPr>
      <w:r>
        <w:rPr>
          <w:rStyle w:val="FootnoteReference"/>
        </w:rPr>
        <w:footnoteRef/>
      </w:r>
      <w:r>
        <w:t xml:space="preserve"> </w:t>
      </w:r>
      <w:hyperlink r:id="rId8" w:anchor="25.howistheseattlecovid19disasterrelieffundforimmigrantsfunded" w:history="1">
        <w:r w:rsidRPr="00A57BC1">
          <w:rPr>
            <w:rStyle w:val="Hyperlink"/>
          </w:rPr>
          <w:t>https://www.seattle.gov/iandraffairs/programs-and-services/covid-19-disaster-relief-fund-for-immigrants#25.howistheseattlecovid19disasterrelieffundforimmigrantsfunded</w:t>
        </w:r>
      </w:hyperlink>
      <w:r>
        <w:t xml:space="preserve">. </w:t>
      </w:r>
    </w:p>
  </w:footnote>
  <w:footnote w:id="19">
    <w:p w14:paraId="1FFBA47A" w14:textId="5E69E2EE" w:rsidR="00A329A2" w:rsidRDefault="00A329A2">
      <w:pPr>
        <w:pStyle w:val="FootnoteText"/>
      </w:pPr>
      <w:r>
        <w:rPr>
          <w:rStyle w:val="FootnoteReference"/>
        </w:rPr>
        <w:footnoteRef/>
      </w:r>
      <w:r>
        <w:t xml:space="preserve"> Zabin, Carol. “</w:t>
      </w:r>
      <w:r w:rsidRPr="007B7043">
        <w:t>Putting California on the High Road: A Jobs and Climate Action Plan for 2030</w:t>
      </w:r>
      <w:r>
        <w:t xml:space="preserve">”. </w:t>
      </w:r>
      <w:r w:rsidRPr="00DC3A07">
        <w:rPr>
          <w:i/>
          <w:iCs/>
        </w:rPr>
        <w:t>UC Berkley Labor Center</w:t>
      </w:r>
      <w:r>
        <w:t xml:space="preserve">. URL: </w:t>
      </w:r>
      <w:hyperlink r:id="rId9" w:history="1">
        <w:r w:rsidRPr="00A57BC1">
          <w:rPr>
            <w:rStyle w:val="Hyperlink"/>
          </w:rPr>
          <w:t>https://laborcenter.berkeley.edu/putting-california-on-the-high-road-a-jobs-and-climate-action-plan-for-2030/</w:t>
        </w:r>
      </w:hyperlink>
      <w:r>
        <w:t xml:space="preserve">. </w:t>
      </w:r>
    </w:p>
  </w:footnote>
  <w:footnote w:id="20">
    <w:p w14:paraId="69BD4B6F" w14:textId="7B039871" w:rsidR="00A329A2" w:rsidRDefault="00A329A2">
      <w:pPr>
        <w:pStyle w:val="FootnoteText"/>
      </w:pPr>
      <w:r>
        <w:rPr>
          <w:rStyle w:val="FootnoteReference"/>
        </w:rPr>
        <w:footnoteRef/>
      </w:r>
      <w:r>
        <w:t xml:space="preserve"> </w:t>
      </w:r>
      <w:r w:rsidRPr="000C7BE9">
        <w:t>King County Housing, Hom</w:t>
      </w:r>
      <w:r>
        <w:t>e</w:t>
      </w:r>
      <w:r w:rsidRPr="000C7BE9">
        <w:t>lessness and Community Development Division (HHCDD) administers federal funds from the United States Department of Housing and Urban Development (HUD) on behalf of King County and most of the cities in King County</w:t>
      </w:r>
      <w:r>
        <w:t xml:space="preserve">: </w:t>
      </w:r>
      <w:hyperlink r:id="rId10" w:history="1">
        <w:r w:rsidRPr="00A57BC1">
          <w:rPr>
            <w:rStyle w:val="Hyperlink"/>
          </w:rPr>
          <w:t>https://kingcounty.gov/depts/community-human-services/housing/consortium.aspx</w:t>
        </w:r>
      </w:hyperlink>
      <w:r>
        <w:t xml:space="preserve">. </w:t>
      </w:r>
    </w:p>
  </w:footnote>
  <w:footnote w:id="21">
    <w:p w14:paraId="226F3B5F" w14:textId="77777777" w:rsidR="00A329A2" w:rsidRDefault="00A329A2" w:rsidP="003E4ADC">
      <w:pPr>
        <w:pStyle w:val="FootnoteText"/>
      </w:pPr>
      <w:r>
        <w:rPr>
          <w:rStyle w:val="FootnoteReference"/>
        </w:rPr>
        <w:footnoteRef/>
      </w:r>
      <w:r>
        <w:t xml:space="preserve"> </w:t>
      </w:r>
      <w:r w:rsidRPr="000C7BE9">
        <w:t>King County Housing, Hom</w:t>
      </w:r>
      <w:r>
        <w:t>e</w:t>
      </w:r>
      <w:r w:rsidRPr="000C7BE9">
        <w:t>lessness and Community Development Division (HHCDD) administers federal funds from the United States Department of Housing and Urban Development (HUD) on behalf of King County and most of the cities in King County</w:t>
      </w:r>
      <w:r>
        <w:t xml:space="preserve">: </w:t>
      </w:r>
      <w:hyperlink r:id="rId11" w:history="1">
        <w:r w:rsidRPr="00A57BC1">
          <w:rPr>
            <w:rStyle w:val="Hyperlink"/>
          </w:rPr>
          <w:t>https://kingcounty.gov/depts/community-human-services/housing/consortium.aspx</w:t>
        </w:r>
      </w:hyperlink>
      <w:r>
        <w:t xml:space="preserve">. </w:t>
      </w:r>
    </w:p>
  </w:footnote>
  <w:footnote w:id="22">
    <w:p w14:paraId="4EC9ADA6" w14:textId="026D838F" w:rsidR="00A329A2" w:rsidRDefault="00A329A2">
      <w:pPr>
        <w:pStyle w:val="FootnoteText"/>
      </w:pPr>
      <w:r>
        <w:rPr>
          <w:rStyle w:val="FootnoteReference"/>
        </w:rPr>
        <w:footnoteRef/>
      </w:r>
      <w:r>
        <w:t xml:space="preserve"> </w:t>
      </w:r>
      <w:r w:rsidRPr="00CF5C4E">
        <w:t>King County’s Principle for Equitable Vaccine Delivery</w:t>
      </w:r>
      <w:r>
        <w:t xml:space="preserve">. URL: </w:t>
      </w:r>
      <w:hyperlink r:id="rId12" w:history="1">
        <w:r w:rsidRPr="00FE5D16">
          <w:rPr>
            <w:rStyle w:val="Hyperlink"/>
          </w:rPr>
          <w:t>https://kingcounty.gov/depts/health/covid-19/~/media/depts/health/communicable-diseases/documents/C19/king-county-principles-vaccine-delivery.ashx</w:t>
        </w:r>
      </w:hyperlink>
      <w:r>
        <w:t xml:space="preserve">. </w:t>
      </w:r>
    </w:p>
  </w:footnote>
  <w:footnote w:id="23">
    <w:p w14:paraId="45DFEA7F" w14:textId="0BF961E0" w:rsidR="00A329A2" w:rsidRDefault="00A329A2">
      <w:pPr>
        <w:pStyle w:val="FootnoteText"/>
      </w:pPr>
      <w:r>
        <w:rPr>
          <w:rStyle w:val="FootnoteReference"/>
        </w:rPr>
        <w:footnoteRef/>
      </w:r>
      <w:r>
        <w:t xml:space="preserve"> T</w:t>
      </w:r>
      <w:r w:rsidRPr="00811F4A">
        <w:t>his was not included in COVID supplementals as the agency had enough appropriation authority to cover this</w:t>
      </w:r>
      <w:r>
        <w:t xml:space="preserve"> cost.</w:t>
      </w:r>
    </w:p>
  </w:footnote>
  <w:footnote w:id="24">
    <w:p w14:paraId="539C1F8C" w14:textId="46174A47" w:rsidR="00A329A2" w:rsidRDefault="00A329A2">
      <w:pPr>
        <w:pStyle w:val="FootnoteText"/>
      </w:pPr>
      <w:r>
        <w:rPr>
          <w:rStyle w:val="FootnoteReference"/>
        </w:rPr>
        <w:footnoteRef/>
      </w:r>
      <w:r>
        <w:t xml:space="preserve"> Ordinance </w:t>
      </w:r>
      <w:r w:rsidRPr="00855281">
        <w:t>19221</w:t>
      </w:r>
      <w:r>
        <w:t>, passed on January5, 2021.</w:t>
      </w:r>
    </w:p>
  </w:footnote>
  <w:footnote w:id="25">
    <w:p w14:paraId="54929E3F" w14:textId="343456C5" w:rsidR="00A329A2" w:rsidRDefault="00A329A2">
      <w:pPr>
        <w:pStyle w:val="FootnoteText"/>
      </w:pPr>
      <w:r>
        <w:rPr>
          <w:rStyle w:val="FootnoteReference"/>
        </w:rPr>
        <w:footnoteRef/>
      </w:r>
      <w:r>
        <w:t xml:space="preserve"> Proposed Ordinance 2021-0238 was introduced and referred at the June 22, 2021 Council meeting. However, the BFM Committee Chair distributed the alternate deadlines to all members of the council on June 14,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D1ED" w14:textId="3546A192" w:rsidR="00A329A2" w:rsidRDefault="00A329A2" w:rsidP="00C75025">
    <w:pPr>
      <w:jc w:val="center"/>
    </w:pPr>
    <w:r>
      <w:rPr>
        <w:noProof/>
        <w:lang w:eastAsia="ko-KR"/>
      </w:rPr>
      <w:drawing>
        <wp:inline distT="0" distB="0" distL="0" distR="0" wp14:anchorId="139565D6" wp14:editId="65706D7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164641C" w14:textId="77777777" w:rsidR="00A329A2" w:rsidRPr="003B03EF" w:rsidRDefault="00A329A2" w:rsidP="00C75025">
    <w:pPr>
      <w:jc w:val="center"/>
      <w:rPr>
        <w:rFonts w:ascii="Arial" w:hAnsi="Arial"/>
        <w:szCs w:val="22"/>
      </w:rPr>
    </w:pPr>
  </w:p>
  <w:p w14:paraId="63617F67" w14:textId="77777777" w:rsidR="00A329A2" w:rsidRDefault="00A329A2" w:rsidP="00C75025">
    <w:pPr>
      <w:jc w:val="center"/>
      <w:rPr>
        <w:rFonts w:ascii="Verdana" w:hAnsi="Verdana"/>
        <w:b/>
        <w:sz w:val="28"/>
        <w:szCs w:val="28"/>
      </w:rPr>
    </w:pPr>
    <w:r>
      <w:rPr>
        <w:rFonts w:ascii="Verdana" w:hAnsi="Verdana"/>
        <w:b/>
        <w:sz w:val="28"/>
        <w:szCs w:val="28"/>
      </w:rPr>
      <w:t>Metropolitan King County Council</w:t>
    </w:r>
  </w:p>
  <w:p w14:paraId="6CE3F4B1" w14:textId="10EEDB10" w:rsidR="00A329A2" w:rsidRDefault="00A329A2" w:rsidP="00900FDD">
    <w:pPr>
      <w:jc w:val="center"/>
      <w:rPr>
        <w:rFonts w:ascii="Verdana" w:hAnsi="Verdana"/>
        <w:b/>
        <w:sz w:val="28"/>
        <w:szCs w:val="28"/>
      </w:rPr>
    </w:pPr>
    <w:r>
      <w:rPr>
        <w:rFonts w:ascii="Verdana" w:hAnsi="Verdana"/>
        <w:b/>
        <w:sz w:val="28"/>
        <w:szCs w:val="28"/>
      </w:rPr>
      <w:t>Budget and Fiscal Management Committee</w:t>
    </w:r>
  </w:p>
  <w:p w14:paraId="3656A48B" w14:textId="77777777" w:rsidR="00A329A2" w:rsidRPr="004A1D48" w:rsidRDefault="00A329A2" w:rsidP="00900FDD">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6DD3"/>
    <w:multiLevelType w:val="hybridMultilevel"/>
    <w:tmpl w:val="1774440C"/>
    <w:lvl w:ilvl="0" w:tplc="386278D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3527"/>
    <w:multiLevelType w:val="hybridMultilevel"/>
    <w:tmpl w:val="97AC2BA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2148"/>
    <w:multiLevelType w:val="hybridMultilevel"/>
    <w:tmpl w:val="A1D4D610"/>
    <w:lvl w:ilvl="0" w:tplc="77E64B28">
      <w:start w:val="202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35097"/>
    <w:multiLevelType w:val="hybridMultilevel"/>
    <w:tmpl w:val="D62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14086"/>
    <w:multiLevelType w:val="hybridMultilevel"/>
    <w:tmpl w:val="9B8A9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14551"/>
    <w:multiLevelType w:val="hybridMultilevel"/>
    <w:tmpl w:val="EF925D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C415628"/>
    <w:multiLevelType w:val="hybridMultilevel"/>
    <w:tmpl w:val="2A463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B51FB"/>
    <w:multiLevelType w:val="hybridMultilevel"/>
    <w:tmpl w:val="AC5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E788F"/>
    <w:multiLevelType w:val="hybridMultilevel"/>
    <w:tmpl w:val="8D9AD8AA"/>
    <w:lvl w:ilvl="0" w:tplc="0409000F">
      <w:start w:val="1"/>
      <w:numFmt w:val="decimal"/>
      <w:lvlText w:val="%1."/>
      <w:lvlJc w:val="left"/>
      <w:pPr>
        <w:ind w:left="-1080" w:hanging="360"/>
      </w:p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10" w15:restartNumberingAfterBreak="0">
    <w:nsid w:val="11006E62"/>
    <w:multiLevelType w:val="hybridMultilevel"/>
    <w:tmpl w:val="0D48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767D0"/>
    <w:multiLevelType w:val="hybridMultilevel"/>
    <w:tmpl w:val="B148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47B0F"/>
    <w:multiLevelType w:val="hybridMultilevel"/>
    <w:tmpl w:val="721C38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846FF8"/>
    <w:multiLevelType w:val="hybridMultilevel"/>
    <w:tmpl w:val="7BC0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F49A9"/>
    <w:multiLevelType w:val="hybridMultilevel"/>
    <w:tmpl w:val="589C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93546"/>
    <w:multiLevelType w:val="hybridMultilevel"/>
    <w:tmpl w:val="DC36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94FA8"/>
    <w:multiLevelType w:val="hybridMultilevel"/>
    <w:tmpl w:val="35C4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56FF9"/>
    <w:multiLevelType w:val="hybridMultilevel"/>
    <w:tmpl w:val="CA5EF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A65AC"/>
    <w:multiLevelType w:val="hybridMultilevel"/>
    <w:tmpl w:val="787835C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5641B"/>
    <w:multiLevelType w:val="hybridMultilevel"/>
    <w:tmpl w:val="2F483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16B1436"/>
    <w:multiLevelType w:val="hybridMultilevel"/>
    <w:tmpl w:val="2A42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0189A"/>
    <w:multiLevelType w:val="hybridMultilevel"/>
    <w:tmpl w:val="12D2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4283F"/>
    <w:multiLevelType w:val="hybridMultilevel"/>
    <w:tmpl w:val="5572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C7691"/>
    <w:multiLevelType w:val="hybridMultilevel"/>
    <w:tmpl w:val="39FA7D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C3299"/>
    <w:multiLevelType w:val="hybridMultilevel"/>
    <w:tmpl w:val="8740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A7F2E"/>
    <w:multiLevelType w:val="hybridMultilevel"/>
    <w:tmpl w:val="9CFE4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E50993"/>
    <w:multiLevelType w:val="hybridMultilevel"/>
    <w:tmpl w:val="F0CC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0945"/>
    <w:multiLevelType w:val="hybridMultilevel"/>
    <w:tmpl w:val="80106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402414"/>
    <w:multiLevelType w:val="hybridMultilevel"/>
    <w:tmpl w:val="772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04155"/>
    <w:multiLevelType w:val="hybridMultilevel"/>
    <w:tmpl w:val="4CFA6B4E"/>
    <w:lvl w:ilvl="0" w:tplc="3B8E2896">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BB106EF"/>
    <w:multiLevelType w:val="hybridMultilevel"/>
    <w:tmpl w:val="840C5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BDF7A2F"/>
    <w:multiLevelType w:val="hybridMultilevel"/>
    <w:tmpl w:val="2542C3F2"/>
    <w:lvl w:ilvl="0" w:tplc="A0E623FE">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D42A65"/>
    <w:multiLevelType w:val="hybridMultilevel"/>
    <w:tmpl w:val="5C82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03DAB"/>
    <w:multiLevelType w:val="hybridMultilevel"/>
    <w:tmpl w:val="37A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544666"/>
    <w:multiLevelType w:val="hybridMultilevel"/>
    <w:tmpl w:val="0B14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00766"/>
    <w:multiLevelType w:val="hybridMultilevel"/>
    <w:tmpl w:val="32F0A29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CC7BE9"/>
    <w:multiLevelType w:val="hybridMultilevel"/>
    <w:tmpl w:val="2ED2A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074F52"/>
    <w:multiLevelType w:val="hybridMultilevel"/>
    <w:tmpl w:val="9C98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BF6196"/>
    <w:multiLevelType w:val="hybridMultilevel"/>
    <w:tmpl w:val="1CA68496"/>
    <w:lvl w:ilvl="0" w:tplc="48CE9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9718B5"/>
    <w:multiLevelType w:val="hybridMultilevel"/>
    <w:tmpl w:val="D7767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296FFA"/>
    <w:multiLevelType w:val="hybridMultilevel"/>
    <w:tmpl w:val="37B8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4351EE"/>
    <w:multiLevelType w:val="hybridMultilevel"/>
    <w:tmpl w:val="45B46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A743D1"/>
    <w:multiLevelType w:val="hybridMultilevel"/>
    <w:tmpl w:val="5E1A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A7EEF"/>
    <w:multiLevelType w:val="hybridMultilevel"/>
    <w:tmpl w:val="D172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14A02"/>
    <w:multiLevelType w:val="hybridMultilevel"/>
    <w:tmpl w:val="CE82F0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210003"/>
    <w:multiLevelType w:val="multilevel"/>
    <w:tmpl w:val="81CA9DB4"/>
    <w:lvl w:ilvl="0">
      <w:start w:val="2021"/>
      <w:numFmt w:val="decimal"/>
      <w:lvlText w:val="%1"/>
      <w:lvlJc w:val="left"/>
      <w:pPr>
        <w:ind w:left="1155" w:hanging="1155"/>
      </w:pPr>
      <w:rPr>
        <w:rFonts w:hint="default"/>
      </w:rPr>
    </w:lvl>
    <w:lvl w:ilvl="1">
      <w:start w:val="2022"/>
      <w:numFmt w:val="decimal"/>
      <w:lvlText w:val="%1-%2"/>
      <w:lvlJc w:val="left"/>
      <w:pPr>
        <w:ind w:left="1155" w:hanging="1155"/>
      </w:pPr>
      <w:rPr>
        <w:rFonts w:hint="default"/>
        <w:b/>
      </w:rPr>
    </w:lvl>
    <w:lvl w:ilvl="2">
      <w:start w:val="1"/>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4"/>
  </w:num>
  <w:num w:numId="3">
    <w:abstractNumId w:val="17"/>
  </w:num>
  <w:num w:numId="4">
    <w:abstractNumId w:val="6"/>
  </w:num>
  <w:num w:numId="5">
    <w:abstractNumId w:val="46"/>
  </w:num>
  <w:num w:numId="6">
    <w:abstractNumId w:val="16"/>
  </w:num>
  <w:num w:numId="7">
    <w:abstractNumId w:val="21"/>
  </w:num>
  <w:num w:numId="8">
    <w:abstractNumId w:val="11"/>
  </w:num>
  <w:num w:numId="9">
    <w:abstractNumId w:val="7"/>
  </w:num>
  <w:num w:numId="10">
    <w:abstractNumId w:val="27"/>
  </w:num>
  <w:num w:numId="11">
    <w:abstractNumId w:val="33"/>
  </w:num>
  <w:num w:numId="12">
    <w:abstractNumId w:val="12"/>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25"/>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9"/>
  </w:num>
  <w:num w:numId="19">
    <w:abstractNumId w:val="34"/>
  </w:num>
  <w:num w:numId="20">
    <w:abstractNumId w:val="45"/>
  </w:num>
  <w:num w:numId="21">
    <w:abstractNumId w:val="29"/>
  </w:num>
  <w:num w:numId="22">
    <w:abstractNumId w:val="44"/>
  </w:num>
  <w:num w:numId="23">
    <w:abstractNumId w:val="3"/>
  </w:num>
  <w:num w:numId="24">
    <w:abstractNumId w:val="23"/>
  </w:num>
  <w:num w:numId="25">
    <w:abstractNumId w:val="28"/>
  </w:num>
  <w:num w:numId="26">
    <w:abstractNumId w:val="26"/>
  </w:num>
  <w:num w:numId="27">
    <w:abstractNumId w:val="41"/>
  </w:num>
  <w:num w:numId="28">
    <w:abstractNumId w:val="43"/>
  </w:num>
  <w:num w:numId="29">
    <w:abstractNumId w:val="2"/>
  </w:num>
  <w:num w:numId="30">
    <w:abstractNumId w:val="36"/>
  </w:num>
  <w:num w:numId="31">
    <w:abstractNumId w:val="10"/>
  </w:num>
  <w:num w:numId="32">
    <w:abstractNumId w:val="35"/>
  </w:num>
  <w:num w:numId="33">
    <w:abstractNumId w:val="20"/>
  </w:num>
  <w:num w:numId="34">
    <w:abstractNumId w:val="18"/>
  </w:num>
  <w:num w:numId="35">
    <w:abstractNumId w:val="4"/>
  </w:num>
  <w:num w:numId="36">
    <w:abstractNumId w:val="24"/>
  </w:num>
  <w:num w:numId="37">
    <w:abstractNumId w:val="37"/>
  </w:num>
  <w:num w:numId="38">
    <w:abstractNumId w:val="15"/>
  </w:num>
  <w:num w:numId="39">
    <w:abstractNumId w:val="0"/>
  </w:num>
  <w:num w:numId="40">
    <w:abstractNumId w:val="1"/>
  </w:num>
  <w:num w:numId="41">
    <w:abstractNumId w:val="13"/>
  </w:num>
  <w:num w:numId="42">
    <w:abstractNumId w:val="3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40"/>
  </w:num>
  <w:num w:numId="46">
    <w:abstractNumId w:val="32"/>
  </w:num>
  <w:num w:numId="4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A8"/>
    <w:rsid w:val="00000421"/>
    <w:rsid w:val="0000058B"/>
    <w:rsid w:val="00000C8A"/>
    <w:rsid w:val="00000F0A"/>
    <w:rsid w:val="000015DA"/>
    <w:rsid w:val="0000166A"/>
    <w:rsid w:val="00001F7C"/>
    <w:rsid w:val="00002407"/>
    <w:rsid w:val="00002565"/>
    <w:rsid w:val="00002EFF"/>
    <w:rsid w:val="000038DD"/>
    <w:rsid w:val="000048A8"/>
    <w:rsid w:val="00004E4C"/>
    <w:rsid w:val="00005440"/>
    <w:rsid w:val="000054BC"/>
    <w:rsid w:val="00006345"/>
    <w:rsid w:val="0000661A"/>
    <w:rsid w:val="00006AAA"/>
    <w:rsid w:val="00007170"/>
    <w:rsid w:val="000079A1"/>
    <w:rsid w:val="00007BD6"/>
    <w:rsid w:val="00007CC1"/>
    <w:rsid w:val="000102E4"/>
    <w:rsid w:val="000103B2"/>
    <w:rsid w:val="00010DC4"/>
    <w:rsid w:val="00011320"/>
    <w:rsid w:val="00011550"/>
    <w:rsid w:val="00011563"/>
    <w:rsid w:val="00011AA6"/>
    <w:rsid w:val="00012770"/>
    <w:rsid w:val="00012A99"/>
    <w:rsid w:val="0001301C"/>
    <w:rsid w:val="000138DB"/>
    <w:rsid w:val="00014584"/>
    <w:rsid w:val="00016751"/>
    <w:rsid w:val="00016BF8"/>
    <w:rsid w:val="00016EC7"/>
    <w:rsid w:val="000170FA"/>
    <w:rsid w:val="000172AB"/>
    <w:rsid w:val="000172B4"/>
    <w:rsid w:val="0001760A"/>
    <w:rsid w:val="000179BF"/>
    <w:rsid w:val="00020041"/>
    <w:rsid w:val="0002045D"/>
    <w:rsid w:val="00020A63"/>
    <w:rsid w:val="00020BE1"/>
    <w:rsid w:val="00020C96"/>
    <w:rsid w:val="00020FEE"/>
    <w:rsid w:val="000213A4"/>
    <w:rsid w:val="000219D7"/>
    <w:rsid w:val="00021D5B"/>
    <w:rsid w:val="00021FB0"/>
    <w:rsid w:val="00022EBC"/>
    <w:rsid w:val="00022EE3"/>
    <w:rsid w:val="0002302F"/>
    <w:rsid w:val="000231B1"/>
    <w:rsid w:val="000231C7"/>
    <w:rsid w:val="0002387D"/>
    <w:rsid w:val="000238D0"/>
    <w:rsid w:val="00023DAC"/>
    <w:rsid w:val="00024138"/>
    <w:rsid w:val="00024B12"/>
    <w:rsid w:val="0002551E"/>
    <w:rsid w:val="0002555E"/>
    <w:rsid w:val="000256F2"/>
    <w:rsid w:val="0002610E"/>
    <w:rsid w:val="000266F6"/>
    <w:rsid w:val="00026C75"/>
    <w:rsid w:val="00027224"/>
    <w:rsid w:val="000279FC"/>
    <w:rsid w:val="00027A55"/>
    <w:rsid w:val="00030123"/>
    <w:rsid w:val="000308DD"/>
    <w:rsid w:val="00030A63"/>
    <w:rsid w:val="00030AAB"/>
    <w:rsid w:val="000311D8"/>
    <w:rsid w:val="000315B2"/>
    <w:rsid w:val="000318A3"/>
    <w:rsid w:val="00031CB1"/>
    <w:rsid w:val="00031D70"/>
    <w:rsid w:val="00031E7D"/>
    <w:rsid w:val="0003207F"/>
    <w:rsid w:val="000321D8"/>
    <w:rsid w:val="0003226A"/>
    <w:rsid w:val="000322FD"/>
    <w:rsid w:val="00032FCD"/>
    <w:rsid w:val="000333D7"/>
    <w:rsid w:val="000333DA"/>
    <w:rsid w:val="0003349C"/>
    <w:rsid w:val="00033BF8"/>
    <w:rsid w:val="00034322"/>
    <w:rsid w:val="000351B5"/>
    <w:rsid w:val="00035BD7"/>
    <w:rsid w:val="0003652E"/>
    <w:rsid w:val="00037817"/>
    <w:rsid w:val="0004015D"/>
    <w:rsid w:val="00040B72"/>
    <w:rsid w:val="00040EEF"/>
    <w:rsid w:val="00041337"/>
    <w:rsid w:val="0004148E"/>
    <w:rsid w:val="00041781"/>
    <w:rsid w:val="000421CC"/>
    <w:rsid w:val="0004254F"/>
    <w:rsid w:val="00043291"/>
    <w:rsid w:val="000440AA"/>
    <w:rsid w:val="000449CE"/>
    <w:rsid w:val="00044C41"/>
    <w:rsid w:val="00044FED"/>
    <w:rsid w:val="0004549A"/>
    <w:rsid w:val="00045F1E"/>
    <w:rsid w:val="000460E7"/>
    <w:rsid w:val="00046400"/>
    <w:rsid w:val="00046824"/>
    <w:rsid w:val="00046F8A"/>
    <w:rsid w:val="000470FF"/>
    <w:rsid w:val="000504D1"/>
    <w:rsid w:val="00050AE3"/>
    <w:rsid w:val="00051AF0"/>
    <w:rsid w:val="00051B0A"/>
    <w:rsid w:val="0005201B"/>
    <w:rsid w:val="0005280C"/>
    <w:rsid w:val="00052F99"/>
    <w:rsid w:val="000533AF"/>
    <w:rsid w:val="000550F3"/>
    <w:rsid w:val="0005523C"/>
    <w:rsid w:val="000553F5"/>
    <w:rsid w:val="00055B9A"/>
    <w:rsid w:val="00055C9D"/>
    <w:rsid w:val="000561A6"/>
    <w:rsid w:val="00056C81"/>
    <w:rsid w:val="000577A3"/>
    <w:rsid w:val="00060235"/>
    <w:rsid w:val="00060D99"/>
    <w:rsid w:val="0006124B"/>
    <w:rsid w:val="00061676"/>
    <w:rsid w:val="0006193E"/>
    <w:rsid w:val="00061FA7"/>
    <w:rsid w:val="00062056"/>
    <w:rsid w:val="00063E46"/>
    <w:rsid w:val="0006578F"/>
    <w:rsid w:val="000657A4"/>
    <w:rsid w:val="000666A0"/>
    <w:rsid w:val="00066CEA"/>
    <w:rsid w:val="000674FF"/>
    <w:rsid w:val="0006753F"/>
    <w:rsid w:val="00067678"/>
    <w:rsid w:val="0007017E"/>
    <w:rsid w:val="00070182"/>
    <w:rsid w:val="00070A7F"/>
    <w:rsid w:val="000718BC"/>
    <w:rsid w:val="000722EA"/>
    <w:rsid w:val="000730B3"/>
    <w:rsid w:val="000736F6"/>
    <w:rsid w:val="000741C0"/>
    <w:rsid w:val="000742C4"/>
    <w:rsid w:val="000742FC"/>
    <w:rsid w:val="00074A56"/>
    <w:rsid w:val="00075212"/>
    <w:rsid w:val="00075244"/>
    <w:rsid w:val="00076357"/>
    <w:rsid w:val="000766A2"/>
    <w:rsid w:val="00076F58"/>
    <w:rsid w:val="000775E9"/>
    <w:rsid w:val="00077D18"/>
    <w:rsid w:val="00080295"/>
    <w:rsid w:val="00080E46"/>
    <w:rsid w:val="00081382"/>
    <w:rsid w:val="000813A0"/>
    <w:rsid w:val="00082009"/>
    <w:rsid w:val="0008248F"/>
    <w:rsid w:val="0008325A"/>
    <w:rsid w:val="00083A2C"/>
    <w:rsid w:val="00084108"/>
    <w:rsid w:val="00084625"/>
    <w:rsid w:val="0008511B"/>
    <w:rsid w:val="0008512D"/>
    <w:rsid w:val="000864B8"/>
    <w:rsid w:val="00086A9B"/>
    <w:rsid w:val="000871A3"/>
    <w:rsid w:val="000879A8"/>
    <w:rsid w:val="00087B30"/>
    <w:rsid w:val="00087BF6"/>
    <w:rsid w:val="000907F1"/>
    <w:rsid w:val="00090E32"/>
    <w:rsid w:val="000913B6"/>
    <w:rsid w:val="000917F9"/>
    <w:rsid w:val="00092632"/>
    <w:rsid w:val="000930A2"/>
    <w:rsid w:val="0009351C"/>
    <w:rsid w:val="000935A8"/>
    <w:rsid w:val="00093E2E"/>
    <w:rsid w:val="000940FB"/>
    <w:rsid w:val="00094B96"/>
    <w:rsid w:val="00094F36"/>
    <w:rsid w:val="000956D8"/>
    <w:rsid w:val="00095A14"/>
    <w:rsid w:val="000967D1"/>
    <w:rsid w:val="00096C77"/>
    <w:rsid w:val="000971F9"/>
    <w:rsid w:val="000972BA"/>
    <w:rsid w:val="00097628"/>
    <w:rsid w:val="000976A4"/>
    <w:rsid w:val="00097E21"/>
    <w:rsid w:val="00097FCF"/>
    <w:rsid w:val="000A0800"/>
    <w:rsid w:val="000A0835"/>
    <w:rsid w:val="000A0A31"/>
    <w:rsid w:val="000A0A4A"/>
    <w:rsid w:val="000A20F6"/>
    <w:rsid w:val="000A26BF"/>
    <w:rsid w:val="000A3B8E"/>
    <w:rsid w:val="000A3C86"/>
    <w:rsid w:val="000A4410"/>
    <w:rsid w:val="000A4A4E"/>
    <w:rsid w:val="000A4AC3"/>
    <w:rsid w:val="000A4CB2"/>
    <w:rsid w:val="000A4D47"/>
    <w:rsid w:val="000A4F10"/>
    <w:rsid w:val="000A5AE6"/>
    <w:rsid w:val="000A5CAE"/>
    <w:rsid w:val="000A5F9C"/>
    <w:rsid w:val="000A5FD0"/>
    <w:rsid w:val="000A61F6"/>
    <w:rsid w:val="000A66F8"/>
    <w:rsid w:val="000A7134"/>
    <w:rsid w:val="000A714D"/>
    <w:rsid w:val="000A71E9"/>
    <w:rsid w:val="000A73BE"/>
    <w:rsid w:val="000A78D8"/>
    <w:rsid w:val="000A7CCC"/>
    <w:rsid w:val="000A7E01"/>
    <w:rsid w:val="000B0291"/>
    <w:rsid w:val="000B16B8"/>
    <w:rsid w:val="000B1A3E"/>
    <w:rsid w:val="000B281B"/>
    <w:rsid w:val="000B297A"/>
    <w:rsid w:val="000B3172"/>
    <w:rsid w:val="000B4149"/>
    <w:rsid w:val="000B50D8"/>
    <w:rsid w:val="000B539A"/>
    <w:rsid w:val="000B650C"/>
    <w:rsid w:val="000B70C3"/>
    <w:rsid w:val="000C026E"/>
    <w:rsid w:val="000C20E2"/>
    <w:rsid w:val="000C299B"/>
    <w:rsid w:val="000C30CB"/>
    <w:rsid w:val="000C311D"/>
    <w:rsid w:val="000C31D0"/>
    <w:rsid w:val="000C348D"/>
    <w:rsid w:val="000C3A34"/>
    <w:rsid w:val="000C4294"/>
    <w:rsid w:val="000C44B1"/>
    <w:rsid w:val="000C4BA4"/>
    <w:rsid w:val="000C4E99"/>
    <w:rsid w:val="000C4E9C"/>
    <w:rsid w:val="000C50BB"/>
    <w:rsid w:val="000C5C9B"/>
    <w:rsid w:val="000C6442"/>
    <w:rsid w:val="000C691F"/>
    <w:rsid w:val="000C6F99"/>
    <w:rsid w:val="000C7BE9"/>
    <w:rsid w:val="000D0185"/>
    <w:rsid w:val="000D0260"/>
    <w:rsid w:val="000D077F"/>
    <w:rsid w:val="000D097E"/>
    <w:rsid w:val="000D0F7A"/>
    <w:rsid w:val="000D202F"/>
    <w:rsid w:val="000D20AE"/>
    <w:rsid w:val="000D2886"/>
    <w:rsid w:val="000D3DA1"/>
    <w:rsid w:val="000D42B6"/>
    <w:rsid w:val="000D4A15"/>
    <w:rsid w:val="000D4CFA"/>
    <w:rsid w:val="000D5202"/>
    <w:rsid w:val="000D5A5E"/>
    <w:rsid w:val="000D5E85"/>
    <w:rsid w:val="000D6835"/>
    <w:rsid w:val="000D6C01"/>
    <w:rsid w:val="000D6C72"/>
    <w:rsid w:val="000D7A2F"/>
    <w:rsid w:val="000E0031"/>
    <w:rsid w:val="000E050B"/>
    <w:rsid w:val="000E0526"/>
    <w:rsid w:val="000E0684"/>
    <w:rsid w:val="000E090D"/>
    <w:rsid w:val="000E1BAB"/>
    <w:rsid w:val="000E1CD3"/>
    <w:rsid w:val="000E2E7D"/>
    <w:rsid w:val="000E3DFB"/>
    <w:rsid w:val="000E441E"/>
    <w:rsid w:val="000E476D"/>
    <w:rsid w:val="000E4781"/>
    <w:rsid w:val="000E5413"/>
    <w:rsid w:val="000E5A91"/>
    <w:rsid w:val="000E5F07"/>
    <w:rsid w:val="000E61F1"/>
    <w:rsid w:val="000E6266"/>
    <w:rsid w:val="000E62E9"/>
    <w:rsid w:val="000E7AF6"/>
    <w:rsid w:val="000E7EFC"/>
    <w:rsid w:val="000F093B"/>
    <w:rsid w:val="000F0FDD"/>
    <w:rsid w:val="000F136B"/>
    <w:rsid w:val="000F1707"/>
    <w:rsid w:val="000F2445"/>
    <w:rsid w:val="000F29F5"/>
    <w:rsid w:val="000F41B5"/>
    <w:rsid w:val="000F44A0"/>
    <w:rsid w:val="000F4DCA"/>
    <w:rsid w:val="000F5766"/>
    <w:rsid w:val="000F5BFE"/>
    <w:rsid w:val="000F5E4A"/>
    <w:rsid w:val="000F6957"/>
    <w:rsid w:val="00100A98"/>
    <w:rsid w:val="00100AEC"/>
    <w:rsid w:val="00103094"/>
    <w:rsid w:val="0010345F"/>
    <w:rsid w:val="00103783"/>
    <w:rsid w:val="00103DD5"/>
    <w:rsid w:val="001042E0"/>
    <w:rsid w:val="001042EA"/>
    <w:rsid w:val="00105382"/>
    <w:rsid w:val="001055E9"/>
    <w:rsid w:val="0010576B"/>
    <w:rsid w:val="00105C44"/>
    <w:rsid w:val="00105D7E"/>
    <w:rsid w:val="00106179"/>
    <w:rsid w:val="001061AD"/>
    <w:rsid w:val="001062E7"/>
    <w:rsid w:val="0010686C"/>
    <w:rsid w:val="00106EE8"/>
    <w:rsid w:val="001074C3"/>
    <w:rsid w:val="00110015"/>
    <w:rsid w:val="0011048F"/>
    <w:rsid w:val="00110AC4"/>
    <w:rsid w:val="00111799"/>
    <w:rsid w:val="001138E5"/>
    <w:rsid w:val="00113B09"/>
    <w:rsid w:val="00113E5E"/>
    <w:rsid w:val="00114392"/>
    <w:rsid w:val="001146FE"/>
    <w:rsid w:val="001149A6"/>
    <w:rsid w:val="00114B33"/>
    <w:rsid w:val="00116152"/>
    <w:rsid w:val="0011730F"/>
    <w:rsid w:val="0011740B"/>
    <w:rsid w:val="00117678"/>
    <w:rsid w:val="001177A6"/>
    <w:rsid w:val="00117BE2"/>
    <w:rsid w:val="00117D3D"/>
    <w:rsid w:val="001206ED"/>
    <w:rsid w:val="001207F8"/>
    <w:rsid w:val="00120C62"/>
    <w:rsid w:val="001219A4"/>
    <w:rsid w:val="00121D0A"/>
    <w:rsid w:val="00122772"/>
    <w:rsid w:val="0012414A"/>
    <w:rsid w:val="0012474C"/>
    <w:rsid w:val="00124D9F"/>
    <w:rsid w:val="00124F50"/>
    <w:rsid w:val="0012573D"/>
    <w:rsid w:val="001262FC"/>
    <w:rsid w:val="00126322"/>
    <w:rsid w:val="0012654F"/>
    <w:rsid w:val="00130251"/>
    <w:rsid w:val="00130393"/>
    <w:rsid w:val="00130856"/>
    <w:rsid w:val="0013195E"/>
    <w:rsid w:val="00131A4C"/>
    <w:rsid w:val="00131D0E"/>
    <w:rsid w:val="001320CB"/>
    <w:rsid w:val="0013237D"/>
    <w:rsid w:val="001325F3"/>
    <w:rsid w:val="0013277B"/>
    <w:rsid w:val="00132783"/>
    <w:rsid w:val="00132832"/>
    <w:rsid w:val="0013286C"/>
    <w:rsid w:val="00132C16"/>
    <w:rsid w:val="00132C1F"/>
    <w:rsid w:val="00132DFC"/>
    <w:rsid w:val="00132FA5"/>
    <w:rsid w:val="00133981"/>
    <w:rsid w:val="00133A3D"/>
    <w:rsid w:val="0013416B"/>
    <w:rsid w:val="0013486D"/>
    <w:rsid w:val="0013536B"/>
    <w:rsid w:val="0013537B"/>
    <w:rsid w:val="00136122"/>
    <w:rsid w:val="00136BF6"/>
    <w:rsid w:val="001370E8"/>
    <w:rsid w:val="00137469"/>
    <w:rsid w:val="00137B21"/>
    <w:rsid w:val="00137D6D"/>
    <w:rsid w:val="00140231"/>
    <w:rsid w:val="00140422"/>
    <w:rsid w:val="001404CF"/>
    <w:rsid w:val="00140D0F"/>
    <w:rsid w:val="00140D86"/>
    <w:rsid w:val="001419EF"/>
    <w:rsid w:val="00141B7A"/>
    <w:rsid w:val="001426ED"/>
    <w:rsid w:val="001428F7"/>
    <w:rsid w:val="00142E94"/>
    <w:rsid w:val="00142F7E"/>
    <w:rsid w:val="001440C8"/>
    <w:rsid w:val="001440E6"/>
    <w:rsid w:val="0014451B"/>
    <w:rsid w:val="00144ECD"/>
    <w:rsid w:val="0014557F"/>
    <w:rsid w:val="00145D77"/>
    <w:rsid w:val="00146196"/>
    <w:rsid w:val="001463CF"/>
    <w:rsid w:val="00146DCE"/>
    <w:rsid w:val="00150641"/>
    <w:rsid w:val="001509B2"/>
    <w:rsid w:val="00150E44"/>
    <w:rsid w:val="0015229A"/>
    <w:rsid w:val="00152D09"/>
    <w:rsid w:val="00153067"/>
    <w:rsid w:val="0015340F"/>
    <w:rsid w:val="00153430"/>
    <w:rsid w:val="00153A13"/>
    <w:rsid w:val="00154277"/>
    <w:rsid w:val="00154330"/>
    <w:rsid w:val="00154951"/>
    <w:rsid w:val="00154E2E"/>
    <w:rsid w:val="00155B15"/>
    <w:rsid w:val="00156655"/>
    <w:rsid w:val="001571F2"/>
    <w:rsid w:val="00157334"/>
    <w:rsid w:val="00160A49"/>
    <w:rsid w:val="00160FBB"/>
    <w:rsid w:val="0016122F"/>
    <w:rsid w:val="0016166C"/>
    <w:rsid w:val="001619D6"/>
    <w:rsid w:val="00161BB1"/>
    <w:rsid w:val="00162378"/>
    <w:rsid w:val="00162479"/>
    <w:rsid w:val="00162E72"/>
    <w:rsid w:val="001634C2"/>
    <w:rsid w:val="00163554"/>
    <w:rsid w:val="00163A8C"/>
    <w:rsid w:val="00163CEC"/>
    <w:rsid w:val="00163DEF"/>
    <w:rsid w:val="0016552E"/>
    <w:rsid w:val="001658AC"/>
    <w:rsid w:val="00165A7F"/>
    <w:rsid w:val="00166774"/>
    <w:rsid w:val="00167396"/>
    <w:rsid w:val="001674A1"/>
    <w:rsid w:val="001678F7"/>
    <w:rsid w:val="00167CBD"/>
    <w:rsid w:val="001702C8"/>
    <w:rsid w:val="001704EA"/>
    <w:rsid w:val="0017118A"/>
    <w:rsid w:val="001716DC"/>
    <w:rsid w:val="001718C9"/>
    <w:rsid w:val="00171CBE"/>
    <w:rsid w:val="00171EB9"/>
    <w:rsid w:val="00171FE0"/>
    <w:rsid w:val="00172B62"/>
    <w:rsid w:val="0017351A"/>
    <w:rsid w:val="001738AC"/>
    <w:rsid w:val="00173D7C"/>
    <w:rsid w:val="00173D99"/>
    <w:rsid w:val="00174080"/>
    <w:rsid w:val="0017423F"/>
    <w:rsid w:val="00174BB6"/>
    <w:rsid w:val="00174FEE"/>
    <w:rsid w:val="00175680"/>
    <w:rsid w:val="00175D5F"/>
    <w:rsid w:val="00176CFE"/>
    <w:rsid w:val="00177734"/>
    <w:rsid w:val="00180D92"/>
    <w:rsid w:val="00180FFA"/>
    <w:rsid w:val="0018197A"/>
    <w:rsid w:val="00182D0D"/>
    <w:rsid w:val="001835BD"/>
    <w:rsid w:val="00183D6D"/>
    <w:rsid w:val="00183EAB"/>
    <w:rsid w:val="00183F30"/>
    <w:rsid w:val="0018452A"/>
    <w:rsid w:val="001849FE"/>
    <w:rsid w:val="00184FA8"/>
    <w:rsid w:val="0018563A"/>
    <w:rsid w:val="00185D38"/>
    <w:rsid w:val="00185D47"/>
    <w:rsid w:val="00185F51"/>
    <w:rsid w:val="001860B7"/>
    <w:rsid w:val="00186281"/>
    <w:rsid w:val="00187935"/>
    <w:rsid w:val="00187B62"/>
    <w:rsid w:val="00187ECE"/>
    <w:rsid w:val="0019001E"/>
    <w:rsid w:val="00190D5A"/>
    <w:rsid w:val="00191047"/>
    <w:rsid w:val="001911A0"/>
    <w:rsid w:val="00191331"/>
    <w:rsid w:val="001913AD"/>
    <w:rsid w:val="001916A5"/>
    <w:rsid w:val="00192306"/>
    <w:rsid w:val="001924BB"/>
    <w:rsid w:val="00193FB9"/>
    <w:rsid w:val="00194359"/>
    <w:rsid w:val="00194997"/>
    <w:rsid w:val="00194CE5"/>
    <w:rsid w:val="00194F15"/>
    <w:rsid w:val="00194F77"/>
    <w:rsid w:val="001951A7"/>
    <w:rsid w:val="0019525F"/>
    <w:rsid w:val="00195414"/>
    <w:rsid w:val="0019583B"/>
    <w:rsid w:val="00195EC3"/>
    <w:rsid w:val="001969F5"/>
    <w:rsid w:val="00196B75"/>
    <w:rsid w:val="00196D35"/>
    <w:rsid w:val="00197513"/>
    <w:rsid w:val="00197578"/>
    <w:rsid w:val="001A0365"/>
    <w:rsid w:val="001A0924"/>
    <w:rsid w:val="001A0BFD"/>
    <w:rsid w:val="001A1560"/>
    <w:rsid w:val="001A159C"/>
    <w:rsid w:val="001A1721"/>
    <w:rsid w:val="001A1D18"/>
    <w:rsid w:val="001A1F93"/>
    <w:rsid w:val="001A21E1"/>
    <w:rsid w:val="001A2421"/>
    <w:rsid w:val="001A2A64"/>
    <w:rsid w:val="001A2B41"/>
    <w:rsid w:val="001A2D88"/>
    <w:rsid w:val="001A3182"/>
    <w:rsid w:val="001A3BDC"/>
    <w:rsid w:val="001A3BDD"/>
    <w:rsid w:val="001A4670"/>
    <w:rsid w:val="001A4792"/>
    <w:rsid w:val="001A4D65"/>
    <w:rsid w:val="001A5603"/>
    <w:rsid w:val="001A5669"/>
    <w:rsid w:val="001A587B"/>
    <w:rsid w:val="001A61D4"/>
    <w:rsid w:val="001A69FC"/>
    <w:rsid w:val="001A72ED"/>
    <w:rsid w:val="001A7359"/>
    <w:rsid w:val="001A79D0"/>
    <w:rsid w:val="001A7D0B"/>
    <w:rsid w:val="001B0B2C"/>
    <w:rsid w:val="001B10E3"/>
    <w:rsid w:val="001B184F"/>
    <w:rsid w:val="001B22A7"/>
    <w:rsid w:val="001B239C"/>
    <w:rsid w:val="001B37E9"/>
    <w:rsid w:val="001B390C"/>
    <w:rsid w:val="001B4E6F"/>
    <w:rsid w:val="001B5F05"/>
    <w:rsid w:val="001B600B"/>
    <w:rsid w:val="001B65A3"/>
    <w:rsid w:val="001B67DA"/>
    <w:rsid w:val="001B6AF4"/>
    <w:rsid w:val="001B6C67"/>
    <w:rsid w:val="001B6CB1"/>
    <w:rsid w:val="001B7023"/>
    <w:rsid w:val="001C0257"/>
    <w:rsid w:val="001C0284"/>
    <w:rsid w:val="001C0CD3"/>
    <w:rsid w:val="001C2028"/>
    <w:rsid w:val="001C254D"/>
    <w:rsid w:val="001C2686"/>
    <w:rsid w:val="001C26D9"/>
    <w:rsid w:val="001C28DF"/>
    <w:rsid w:val="001C2BFF"/>
    <w:rsid w:val="001C2C7A"/>
    <w:rsid w:val="001C31AB"/>
    <w:rsid w:val="001C4B19"/>
    <w:rsid w:val="001C4EAE"/>
    <w:rsid w:val="001C599D"/>
    <w:rsid w:val="001C5FCC"/>
    <w:rsid w:val="001C650D"/>
    <w:rsid w:val="001C65D8"/>
    <w:rsid w:val="001C660B"/>
    <w:rsid w:val="001C6829"/>
    <w:rsid w:val="001C6BC0"/>
    <w:rsid w:val="001C6C22"/>
    <w:rsid w:val="001C7F9C"/>
    <w:rsid w:val="001D0034"/>
    <w:rsid w:val="001D0111"/>
    <w:rsid w:val="001D0EE7"/>
    <w:rsid w:val="001D15FF"/>
    <w:rsid w:val="001D179D"/>
    <w:rsid w:val="001D1A7E"/>
    <w:rsid w:val="001D200E"/>
    <w:rsid w:val="001D2567"/>
    <w:rsid w:val="001D2A7E"/>
    <w:rsid w:val="001D2BA3"/>
    <w:rsid w:val="001D2DDB"/>
    <w:rsid w:val="001D350B"/>
    <w:rsid w:val="001D396A"/>
    <w:rsid w:val="001D39ED"/>
    <w:rsid w:val="001D3B63"/>
    <w:rsid w:val="001D3D4E"/>
    <w:rsid w:val="001D4624"/>
    <w:rsid w:val="001D4672"/>
    <w:rsid w:val="001D4BBC"/>
    <w:rsid w:val="001D4C20"/>
    <w:rsid w:val="001D4D6B"/>
    <w:rsid w:val="001D525A"/>
    <w:rsid w:val="001D55EE"/>
    <w:rsid w:val="001D6103"/>
    <w:rsid w:val="001D6FB9"/>
    <w:rsid w:val="001D7004"/>
    <w:rsid w:val="001D718E"/>
    <w:rsid w:val="001D7D89"/>
    <w:rsid w:val="001E014E"/>
    <w:rsid w:val="001E02DA"/>
    <w:rsid w:val="001E0DD3"/>
    <w:rsid w:val="001E0E59"/>
    <w:rsid w:val="001E1042"/>
    <w:rsid w:val="001E12DF"/>
    <w:rsid w:val="001E1CAC"/>
    <w:rsid w:val="001E2BAC"/>
    <w:rsid w:val="001E2FB1"/>
    <w:rsid w:val="001E457B"/>
    <w:rsid w:val="001E45BF"/>
    <w:rsid w:val="001E5D41"/>
    <w:rsid w:val="001E6331"/>
    <w:rsid w:val="001E672A"/>
    <w:rsid w:val="001E6800"/>
    <w:rsid w:val="001E6DFB"/>
    <w:rsid w:val="001E7A70"/>
    <w:rsid w:val="001F018C"/>
    <w:rsid w:val="001F0D22"/>
    <w:rsid w:val="001F1B21"/>
    <w:rsid w:val="001F3179"/>
    <w:rsid w:val="001F3766"/>
    <w:rsid w:val="001F3996"/>
    <w:rsid w:val="001F3BE4"/>
    <w:rsid w:val="001F4328"/>
    <w:rsid w:val="001F447F"/>
    <w:rsid w:val="001F4FC3"/>
    <w:rsid w:val="001F5169"/>
    <w:rsid w:val="001F5D6B"/>
    <w:rsid w:val="001F6119"/>
    <w:rsid w:val="001F624F"/>
    <w:rsid w:val="001F6C53"/>
    <w:rsid w:val="001F788C"/>
    <w:rsid w:val="001F7E27"/>
    <w:rsid w:val="00200183"/>
    <w:rsid w:val="00200185"/>
    <w:rsid w:val="002004E9"/>
    <w:rsid w:val="002005DF"/>
    <w:rsid w:val="00201498"/>
    <w:rsid w:val="002019C4"/>
    <w:rsid w:val="00201A26"/>
    <w:rsid w:val="00201C8E"/>
    <w:rsid w:val="0020241B"/>
    <w:rsid w:val="002025FA"/>
    <w:rsid w:val="00202B7A"/>
    <w:rsid w:val="00202D9F"/>
    <w:rsid w:val="00203527"/>
    <w:rsid w:val="00203692"/>
    <w:rsid w:val="00203AEA"/>
    <w:rsid w:val="00204011"/>
    <w:rsid w:val="00204B9F"/>
    <w:rsid w:val="00205405"/>
    <w:rsid w:val="002054F9"/>
    <w:rsid w:val="002058D8"/>
    <w:rsid w:val="002066C3"/>
    <w:rsid w:val="00206E9F"/>
    <w:rsid w:val="002072C9"/>
    <w:rsid w:val="0020735A"/>
    <w:rsid w:val="002100B5"/>
    <w:rsid w:val="00210C14"/>
    <w:rsid w:val="00210E29"/>
    <w:rsid w:val="0021174F"/>
    <w:rsid w:val="002122B7"/>
    <w:rsid w:val="0021268E"/>
    <w:rsid w:val="00212C08"/>
    <w:rsid w:val="00212FB1"/>
    <w:rsid w:val="00213171"/>
    <w:rsid w:val="0021356E"/>
    <w:rsid w:val="00214507"/>
    <w:rsid w:val="00214864"/>
    <w:rsid w:val="00214E50"/>
    <w:rsid w:val="002150CE"/>
    <w:rsid w:val="00215732"/>
    <w:rsid w:val="00216568"/>
    <w:rsid w:val="00216800"/>
    <w:rsid w:val="00216E3A"/>
    <w:rsid w:val="0021748B"/>
    <w:rsid w:val="00217A15"/>
    <w:rsid w:val="00220282"/>
    <w:rsid w:val="00220AFF"/>
    <w:rsid w:val="0022167E"/>
    <w:rsid w:val="00222587"/>
    <w:rsid w:val="00222A6E"/>
    <w:rsid w:val="00223040"/>
    <w:rsid w:val="0022410A"/>
    <w:rsid w:val="00224E2F"/>
    <w:rsid w:val="00224F9B"/>
    <w:rsid w:val="0022516C"/>
    <w:rsid w:val="002251FE"/>
    <w:rsid w:val="002257B6"/>
    <w:rsid w:val="00225D03"/>
    <w:rsid w:val="00226F74"/>
    <w:rsid w:val="00227E8A"/>
    <w:rsid w:val="0023016C"/>
    <w:rsid w:val="00230A23"/>
    <w:rsid w:val="00230AA7"/>
    <w:rsid w:val="00230B3D"/>
    <w:rsid w:val="002315C4"/>
    <w:rsid w:val="00231649"/>
    <w:rsid w:val="00231BAA"/>
    <w:rsid w:val="0023248F"/>
    <w:rsid w:val="002324B2"/>
    <w:rsid w:val="002327A2"/>
    <w:rsid w:val="00232AE7"/>
    <w:rsid w:val="00232B86"/>
    <w:rsid w:val="002333E7"/>
    <w:rsid w:val="00234216"/>
    <w:rsid w:val="00234580"/>
    <w:rsid w:val="002345A1"/>
    <w:rsid w:val="0023496D"/>
    <w:rsid w:val="002353C7"/>
    <w:rsid w:val="00235477"/>
    <w:rsid w:val="002355E9"/>
    <w:rsid w:val="00236BA3"/>
    <w:rsid w:val="002379B7"/>
    <w:rsid w:val="002379E0"/>
    <w:rsid w:val="00237C10"/>
    <w:rsid w:val="00237DCF"/>
    <w:rsid w:val="002402A2"/>
    <w:rsid w:val="002403F2"/>
    <w:rsid w:val="00240EB5"/>
    <w:rsid w:val="002413EE"/>
    <w:rsid w:val="00242AAD"/>
    <w:rsid w:val="00242AEF"/>
    <w:rsid w:val="00242B4A"/>
    <w:rsid w:val="00243C8C"/>
    <w:rsid w:val="00243CA5"/>
    <w:rsid w:val="00243CB5"/>
    <w:rsid w:val="00243E9E"/>
    <w:rsid w:val="00244145"/>
    <w:rsid w:val="002443A8"/>
    <w:rsid w:val="00244B7C"/>
    <w:rsid w:val="00246131"/>
    <w:rsid w:val="00246276"/>
    <w:rsid w:val="00247369"/>
    <w:rsid w:val="0024797C"/>
    <w:rsid w:val="00247A14"/>
    <w:rsid w:val="00247E30"/>
    <w:rsid w:val="00250071"/>
    <w:rsid w:val="002500B7"/>
    <w:rsid w:val="00250B96"/>
    <w:rsid w:val="00251853"/>
    <w:rsid w:val="00251FAC"/>
    <w:rsid w:val="00252236"/>
    <w:rsid w:val="00252522"/>
    <w:rsid w:val="00253303"/>
    <w:rsid w:val="00253433"/>
    <w:rsid w:val="00253767"/>
    <w:rsid w:val="00253903"/>
    <w:rsid w:val="00253C94"/>
    <w:rsid w:val="00254100"/>
    <w:rsid w:val="0025456D"/>
    <w:rsid w:val="002545BD"/>
    <w:rsid w:val="00256832"/>
    <w:rsid w:val="00256903"/>
    <w:rsid w:val="00256B35"/>
    <w:rsid w:val="00257482"/>
    <w:rsid w:val="00257861"/>
    <w:rsid w:val="00257C7F"/>
    <w:rsid w:val="00257DA8"/>
    <w:rsid w:val="00260269"/>
    <w:rsid w:val="002613D7"/>
    <w:rsid w:val="00261493"/>
    <w:rsid w:val="00261750"/>
    <w:rsid w:val="00261E2C"/>
    <w:rsid w:val="00262068"/>
    <w:rsid w:val="002627A1"/>
    <w:rsid w:val="00262A00"/>
    <w:rsid w:val="002630A4"/>
    <w:rsid w:val="0026334C"/>
    <w:rsid w:val="002647DA"/>
    <w:rsid w:val="00264BE1"/>
    <w:rsid w:val="00264EBE"/>
    <w:rsid w:val="002651DC"/>
    <w:rsid w:val="002656F0"/>
    <w:rsid w:val="00265939"/>
    <w:rsid w:val="00265D03"/>
    <w:rsid w:val="00265EB7"/>
    <w:rsid w:val="00266015"/>
    <w:rsid w:val="002663DF"/>
    <w:rsid w:val="00266917"/>
    <w:rsid w:val="002669F3"/>
    <w:rsid w:val="0026797B"/>
    <w:rsid w:val="002701ED"/>
    <w:rsid w:val="00270328"/>
    <w:rsid w:val="00270412"/>
    <w:rsid w:val="00270739"/>
    <w:rsid w:val="00270CB0"/>
    <w:rsid w:val="00270FB9"/>
    <w:rsid w:val="0027108A"/>
    <w:rsid w:val="0027115F"/>
    <w:rsid w:val="00271358"/>
    <w:rsid w:val="002714E2"/>
    <w:rsid w:val="002716B0"/>
    <w:rsid w:val="00271E35"/>
    <w:rsid w:val="002720F5"/>
    <w:rsid w:val="002722EC"/>
    <w:rsid w:val="00272475"/>
    <w:rsid w:val="00274F36"/>
    <w:rsid w:val="00275B58"/>
    <w:rsid w:val="00276402"/>
    <w:rsid w:val="00276879"/>
    <w:rsid w:val="00276A7C"/>
    <w:rsid w:val="00276EE4"/>
    <w:rsid w:val="00276FDA"/>
    <w:rsid w:val="00277BC6"/>
    <w:rsid w:val="0028171C"/>
    <w:rsid w:val="00281E31"/>
    <w:rsid w:val="0028252E"/>
    <w:rsid w:val="00282551"/>
    <w:rsid w:val="0028289F"/>
    <w:rsid w:val="00283483"/>
    <w:rsid w:val="00283B58"/>
    <w:rsid w:val="0028481A"/>
    <w:rsid w:val="00284C7C"/>
    <w:rsid w:val="00284E35"/>
    <w:rsid w:val="00284EE3"/>
    <w:rsid w:val="002859EF"/>
    <w:rsid w:val="00285AF1"/>
    <w:rsid w:val="00286777"/>
    <w:rsid w:val="00286DCC"/>
    <w:rsid w:val="002903D8"/>
    <w:rsid w:val="0029050E"/>
    <w:rsid w:val="00290578"/>
    <w:rsid w:val="002909E0"/>
    <w:rsid w:val="00290DC1"/>
    <w:rsid w:val="00291365"/>
    <w:rsid w:val="00291DA3"/>
    <w:rsid w:val="00291F95"/>
    <w:rsid w:val="00292465"/>
    <w:rsid w:val="00292824"/>
    <w:rsid w:val="00292DEC"/>
    <w:rsid w:val="00293B3F"/>
    <w:rsid w:val="00293B99"/>
    <w:rsid w:val="00293D02"/>
    <w:rsid w:val="00294222"/>
    <w:rsid w:val="00294972"/>
    <w:rsid w:val="00294DB7"/>
    <w:rsid w:val="00294DDD"/>
    <w:rsid w:val="00295023"/>
    <w:rsid w:val="002952A5"/>
    <w:rsid w:val="002953B6"/>
    <w:rsid w:val="00296373"/>
    <w:rsid w:val="00296690"/>
    <w:rsid w:val="0029702E"/>
    <w:rsid w:val="00297920"/>
    <w:rsid w:val="00297EF3"/>
    <w:rsid w:val="002A0ED8"/>
    <w:rsid w:val="002A1127"/>
    <w:rsid w:val="002A1228"/>
    <w:rsid w:val="002A13FF"/>
    <w:rsid w:val="002A161D"/>
    <w:rsid w:val="002A1800"/>
    <w:rsid w:val="002A2420"/>
    <w:rsid w:val="002A2526"/>
    <w:rsid w:val="002A2946"/>
    <w:rsid w:val="002A2C8B"/>
    <w:rsid w:val="002A2D04"/>
    <w:rsid w:val="002A335D"/>
    <w:rsid w:val="002A3BDD"/>
    <w:rsid w:val="002A3E07"/>
    <w:rsid w:val="002A4206"/>
    <w:rsid w:val="002A5C58"/>
    <w:rsid w:val="002A5F93"/>
    <w:rsid w:val="002A6326"/>
    <w:rsid w:val="002A634D"/>
    <w:rsid w:val="002A64E5"/>
    <w:rsid w:val="002A69FA"/>
    <w:rsid w:val="002B026C"/>
    <w:rsid w:val="002B0323"/>
    <w:rsid w:val="002B0E1F"/>
    <w:rsid w:val="002B1270"/>
    <w:rsid w:val="002B23F6"/>
    <w:rsid w:val="002B26FF"/>
    <w:rsid w:val="002B2F0D"/>
    <w:rsid w:val="002B2F4F"/>
    <w:rsid w:val="002B376D"/>
    <w:rsid w:val="002B4A0C"/>
    <w:rsid w:val="002B4A71"/>
    <w:rsid w:val="002B513A"/>
    <w:rsid w:val="002B5361"/>
    <w:rsid w:val="002B5CD5"/>
    <w:rsid w:val="002B69DE"/>
    <w:rsid w:val="002B6D49"/>
    <w:rsid w:val="002B718E"/>
    <w:rsid w:val="002B76A4"/>
    <w:rsid w:val="002B779C"/>
    <w:rsid w:val="002B77FD"/>
    <w:rsid w:val="002B7933"/>
    <w:rsid w:val="002B7D72"/>
    <w:rsid w:val="002B7E29"/>
    <w:rsid w:val="002B7FD1"/>
    <w:rsid w:val="002C02B7"/>
    <w:rsid w:val="002C044D"/>
    <w:rsid w:val="002C048D"/>
    <w:rsid w:val="002C0D08"/>
    <w:rsid w:val="002C13D3"/>
    <w:rsid w:val="002C1543"/>
    <w:rsid w:val="002C2835"/>
    <w:rsid w:val="002C2F28"/>
    <w:rsid w:val="002C42B2"/>
    <w:rsid w:val="002C4359"/>
    <w:rsid w:val="002C4642"/>
    <w:rsid w:val="002C4D38"/>
    <w:rsid w:val="002C52E0"/>
    <w:rsid w:val="002C569F"/>
    <w:rsid w:val="002C58B4"/>
    <w:rsid w:val="002C5935"/>
    <w:rsid w:val="002C6933"/>
    <w:rsid w:val="002C7007"/>
    <w:rsid w:val="002C7C2A"/>
    <w:rsid w:val="002C7EB3"/>
    <w:rsid w:val="002D099C"/>
    <w:rsid w:val="002D1458"/>
    <w:rsid w:val="002D1993"/>
    <w:rsid w:val="002D2291"/>
    <w:rsid w:val="002D3CD0"/>
    <w:rsid w:val="002D487A"/>
    <w:rsid w:val="002D4D05"/>
    <w:rsid w:val="002D5147"/>
    <w:rsid w:val="002D5171"/>
    <w:rsid w:val="002D5F36"/>
    <w:rsid w:val="002D631B"/>
    <w:rsid w:val="002D6D64"/>
    <w:rsid w:val="002D70D1"/>
    <w:rsid w:val="002D7348"/>
    <w:rsid w:val="002E0313"/>
    <w:rsid w:val="002E09E0"/>
    <w:rsid w:val="002E0EBA"/>
    <w:rsid w:val="002E182B"/>
    <w:rsid w:val="002E1E24"/>
    <w:rsid w:val="002E2E0C"/>
    <w:rsid w:val="002E4059"/>
    <w:rsid w:val="002E4074"/>
    <w:rsid w:val="002E4150"/>
    <w:rsid w:val="002E4A86"/>
    <w:rsid w:val="002E4AAB"/>
    <w:rsid w:val="002E4B51"/>
    <w:rsid w:val="002E60A1"/>
    <w:rsid w:val="002E6164"/>
    <w:rsid w:val="002E61CB"/>
    <w:rsid w:val="002E6554"/>
    <w:rsid w:val="002E6838"/>
    <w:rsid w:val="002E71BD"/>
    <w:rsid w:val="002E7E1B"/>
    <w:rsid w:val="002F0989"/>
    <w:rsid w:val="002F214E"/>
    <w:rsid w:val="002F225B"/>
    <w:rsid w:val="002F231E"/>
    <w:rsid w:val="002F385A"/>
    <w:rsid w:val="002F3DFD"/>
    <w:rsid w:val="002F3F58"/>
    <w:rsid w:val="002F5109"/>
    <w:rsid w:val="002F5647"/>
    <w:rsid w:val="002F5E2D"/>
    <w:rsid w:val="002F6129"/>
    <w:rsid w:val="002F721F"/>
    <w:rsid w:val="002F7EFE"/>
    <w:rsid w:val="003002EE"/>
    <w:rsid w:val="003003A2"/>
    <w:rsid w:val="00300E51"/>
    <w:rsid w:val="00300FF1"/>
    <w:rsid w:val="00301EF5"/>
    <w:rsid w:val="00302859"/>
    <w:rsid w:val="00302F3E"/>
    <w:rsid w:val="003039A2"/>
    <w:rsid w:val="00303D74"/>
    <w:rsid w:val="003054F3"/>
    <w:rsid w:val="0030553A"/>
    <w:rsid w:val="0030553B"/>
    <w:rsid w:val="003058FA"/>
    <w:rsid w:val="00305A64"/>
    <w:rsid w:val="00306199"/>
    <w:rsid w:val="00306680"/>
    <w:rsid w:val="003069E0"/>
    <w:rsid w:val="00306CC2"/>
    <w:rsid w:val="00306D60"/>
    <w:rsid w:val="00307581"/>
    <w:rsid w:val="00307D40"/>
    <w:rsid w:val="003106E4"/>
    <w:rsid w:val="00310915"/>
    <w:rsid w:val="00310A33"/>
    <w:rsid w:val="003110A1"/>
    <w:rsid w:val="00311CD5"/>
    <w:rsid w:val="00311E54"/>
    <w:rsid w:val="00313107"/>
    <w:rsid w:val="003149CE"/>
    <w:rsid w:val="00314AB1"/>
    <w:rsid w:val="0031514F"/>
    <w:rsid w:val="0031593D"/>
    <w:rsid w:val="00316ED9"/>
    <w:rsid w:val="003175F4"/>
    <w:rsid w:val="00317B59"/>
    <w:rsid w:val="00317C75"/>
    <w:rsid w:val="00317DC4"/>
    <w:rsid w:val="00317E51"/>
    <w:rsid w:val="00320097"/>
    <w:rsid w:val="00320297"/>
    <w:rsid w:val="00320365"/>
    <w:rsid w:val="00321174"/>
    <w:rsid w:val="00321185"/>
    <w:rsid w:val="00321882"/>
    <w:rsid w:val="003218B9"/>
    <w:rsid w:val="00321CDB"/>
    <w:rsid w:val="00321D85"/>
    <w:rsid w:val="00322AA8"/>
    <w:rsid w:val="00324173"/>
    <w:rsid w:val="0032442C"/>
    <w:rsid w:val="003257D8"/>
    <w:rsid w:val="00325CA0"/>
    <w:rsid w:val="003260D6"/>
    <w:rsid w:val="003267EA"/>
    <w:rsid w:val="00326B27"/>
    <w:rsid w:val="00327189"/>
    <w:rsid w:val="0032788E"/>
    <w:rsid w:val="00327C0C"/>
    <w:rsid w:val="00327FEB"/>
    <w:rsid w:val="00330976"/>
    <w:rsid w:val="003309C2"/>
    <w:rsid w:val="0033101A"/>
    <w:rsid w:val="0033198D"/>
    <w:rsid w:val="00332122"/>
    <w:rsid w:val="00332D53"/>
    <w:rsid w:val="00332D92"/>
    <w:rsid w:val="00333988"/>
    <w:rsid w:val="00334FEF"/>
    <w:rsid w:val="003351F0"/>
    <w:rsid w:val="00335F1F"/>
    <w:rsid w:val="00336560"/>
    <w:rsid w:val="00336929"/>
    <w:rsid w:val="00336EC6"/>
    <w:rsid w:val="00336F7E"/>
    <w:rsid w:val="00336FF7"/>
    <w:rsid w:val="003371A3"/>
    <w:rsid w:val="003371B5"/>
    <w:rsid w:val="003377D3"/>
    <w:rsid w:val="00337F55"/>
    <w:rsid w:val="00340029"/>
    <w:rsid w:val="003406EB"/>
    <w:rsid w:val="003414B1"/>
    <w:rsid w:val="0034168A"/>
    <w:rsid w:val="003416A6"/>
    <w:rsid w:val="00341B7F"/>
    <w:rsid w:val="00341CA5"/>
    <w:rsid w:val="00341E07"/>
    <w:rsid w:val="00342043"/>
    <w:rsid w:val="003429BC"/>
    <w:rsid w:val="00343549"/>
    <w:rsid w:val="00343A9E"/>
    <w:rsid w:val="00343D2C"/>
    <w:rsid w:val="00343FD9"/>
    <w:rsid w:val="0034484B"/>
    <w:rsid w:val="00344898"/>
    <w:rsid w:val="00344E20"/>
    <w:rsid w:val="00345580"/>
    <w:rsid w:val="003459BF"/>
    <w:rsid w:val="00345E24"/>
    <w:rsid w:val="00346092"/>
    <w:rsid w:val="0034627D"/>
    <w:rsid w:val="00346649"/>
    <w:rsid w:val="0034676B"/>
    <w:rsid w:val="00346991"/>
    <w:rsid w:val="00347015"/>
    <w:rsid w:val="003473B6"/>
    <w:rsid w:val="00347DD1"/>
    <w:rsid w:val="00347F7B"/>
    <w:rsid w:val="00352383"/>
    <w:rsid w:val="00352485"/>
    <w:rsid w:val="00352503"/>
    <w:rsid w:val="00352E55"/>
    <w:rsid w:val="003531FC"/>
    <w:rsid w:val="003536EA"/>
    <w:rsid w:val="00353D25"/>
    <w:rsid w:val="00353E27"/>
    <w:rsid w:val="00353F01"/>
    <w:rsid w:val="0035416B"/>
    <w:rsid w:val="0035449E"/>
    <w:rsid w:val="0035481B"/>
    <w:rsid w:val="00354E0E"/>
    <w:rsid w:val="00355552"/>
    <w:rsid w:val="00355729"/>
    <w:rsid w:val="00355C74"/>
    <w:rsid w:val="00356901"/>
    <w:rsid w:val="00356C62"/>
    <w:rsid w:val="00356FD8"/>
    <w:rsid w:val="0035786B"/>
    <w:rsid w:val="0035787E"/>
    <w:rsid w:val="00357E74"/>
    <w:rsid w:val="0036000A"/>
    <w:rsid w:val="0036051E"/>
    <w:rsid w:val="00361436"/>
    <w:rsid w:val="003616DB"/>
    <w:rsid w:val="00362EF8"/>
    <w:rsid w:val="003638BD"/>
    <w:rsid w:val="00363CBA"/>
    <w:rsid w:val="00363E5E"/>
    <w:rsid w:val="00363E61"/>
    <w:rsid w:val="003648B8"/>
    <w:rsid w:val="003659D7"/>
    <w:rsid w:val="00365B91"/>
    <w:rsid w:val="00365DAD"/>
    <w:rsid w:val="00365DC0"/>
    <w:rsid w:val="003665FB"/>
    <w:rsid w:val="003668A5"/>
    <w:rsid w:val="00366F46"/>
    <w:rsid w:val="00367185"/>
    <w:rsid w:val="00367E02"/>
    <w:rsid w:val="0037033A"/>
    <w:rsid w:val="003704DC"/>
    <w:rsid w:val="00370E95"/>
    <w:rsid w:val="003711A6"/>
    <w:rsid w:val="00372209"/>
    <w:rsid w:val="00372554"/>
    <w:rsid w:val="00372B38"/>
    <w:rsid w:val="00372B53"/>
    <w:rsid w:val="00372F8F"/>
    <w:rsid w:val="00373A3A"/>
    <w:rsid w:val="00373F95"/>
    <w:rsid w:val="0037405D"/>
    <w:rsid w:val="003741FC"/>
    <w:rsid w:val="0037465A"/>
    <w:rsid w:val="00375718"/>
    <w:rsid w:val="003758A7"/>
    <w:rsid w:val="00375A6D"/>
    <w:rsid w:val="00375F76"/>
    <w:rsid w:val="003761F7"/>
    <w:rsid w:val="00376568"/>
    <w:rsid w:val="00376D08"/>
    <w:rsid w:val="003776FF"/>
    <w:rsid w:val="00380672"/>
    <w:rsid w:val="00380B06"/>
    <w:rsid w:val="0038107A"/>
    <w:rsid w:val="003810EA"/>
    <w:rsid w:val="003811DB"/>
    <w:rsid w:val="00381E3C"/>
    <w:rsid w:val="00381F89"/>
    <w:rsid w:val="00382A09"/>
    <w:rsid w:val="00382AC7"/>
    <w:rsid w:val="00382D17"/>
    <w:rsid w:val="003830A9"/>
    <w:rsid w:val="00383D4F"/>
    <w:rsid w:val="00383EAC"/>
    <w:rsid w:val="00384051"/>
    <w:rsid w:val="00384226"/>
    <w:rsid w:val="00384959"/>
    <w:rsid w:val="00384C61"/>
    <w:rsid w:val="00384D41"/>
    <w:rsid w:val="00385E2F"/>
    <w:rsid w:val="00385F27"/>
    <w:rsid w:val="00386447"/>
    <w:rsid w:val="003866EC"/>
    <w:rsid w:val="00386DA4"/>
    <w:rsid w:val="00386FF4"/>
    <w:rsid w:val="003871EC"/>
    <w:rsid w:val="003900DF"/>
    <w:rsid w:val="003904E0"/>
    <w:rsid w:val="0039060E"/>
    <w:rsid w:val="003910D8"/>
    <w:rsid w:val="003912A1"/>
    <w:rsid w:val="0039152A"/>
    <w:rsid w:val="00391DBB"/>
    <w:rsid w:val="003927EB"/>
    <w:rsid w:val="00392EE9"/>
    <w:rsid w:val="00393627"/>
    <w:rsid w:val="00393F67"/>
    <w:rsid w:val="00394518"/>
    <w:rsid w:val="00394721"/>
    <w:rsid w:val="0039543D"/>
    <w:rsid w:val="003954DB"/>
    <w:rsid w:val="003958C9"/>
    <w:rsid w:val="00395B62"/>
    <w:rsid w:val="003967B7"/>
    <w:rsid w:val="00396965"/>
    <w:rsid w:val="003973A2"/>
    <w:rsid w:val="003A0E1D"/>
    <w:rsid w:val="003A12AE"/>
    <w:rsid w:val="003A1E30"/>
    <w:rsid w:val="003A213C"/>
    <w:rsid w:val="003A2203"/>
    <w:rsid w:val="003A24D6"/>
    <w:rsid w:val="003A2766"/>
    <w:rsid w:val="003A2966"/>
    <w:rsid w:val="003A2E1E"/>
    <w:rsid w:val="003A348D"/>
    <w:rsid w:val="003A374B"/>
    <w:rsid w:val="003A3C14"/>
    <w:rsid w:val="003A3D25"/>
    <w:rsid w:val="003A4830"/>
    <w:rsid w:val="003A4E03"/>
    <w:rsid w:val="003A51A8"/>
    <w:rsid w:val="003A6214"/>
    <w:rsid w:val="003A6408"/>
    <w:rsid w:val="003A72CC"/>
    <w:rsid w:val="003A7988"/>
    <w:rsid w:val="003B0446"/>
    <w:rsid w:val="003B09C1"/>
    <w:rsid w:val="003B0AA6"/>
    <w:rsid w:val="003B12B9"/>
    <w:rsid w:val="003B1431"/>
    <w:rsid w:val="003B184F"/>
    <w:rsid w:val="003B1B3D"/>
    <w:rsid w:val="003B24F2"/>
    <w:rsid w:val="003B2D4C"/>
    <w:rsid w:val="003B3318"/>
    <w:rsid w:val="003B3572"/>
    <w:rsid w:val="003B3D5B"/>
    <w:rsid w:val="003B40CC"/>
    <w:rsid w:val="003B4653"/>
    <w:rsid w:val="003B4A10"/>
    <w:rsid w:val="003B52A7"/>
    <w:rsid w:val="003B578C"/>
    <w:rsid w:val="003B58B6"/>
    <w:rsid w:val="003B6D12"/>
    <w:rsid w:val="003B7440"/>
    <w:rsid w:val="003B7A1E"/>
    <w:rsid w:val="003C027F"/>
    <w:rsid w:val="003C032F"/>
    <w:rsid w:val="003C1681"/>
    <w:rsid w:val="003C30B8"/>
    <w:rsid w:val="003C3117"/>
    <w:rsid w:val="003C31C2"/>
    <w:rsid w:val="003C332E"/>
    <w:rsid w:val="003C3AE8"/>
    <w:rsid w:val="003C46B3"/>
    <w:rsid w:val="003C4BE4"/>
    <w:rsid w:val="003C4DF4"/>
    <w:rsid w:val="003C51F9"/>
    <w:rsid w:val="003C6B48"/>
    <w:rsid w:val="003C6B62"/>
    <w:rsid w:val="003C6F7C"/>
    <w:rsid w:val="003C751D"/>
    <w:rsid w:val="003C7596"/>
    <w:rsid w:val="003C78B5"/>
    <w:rsid w:val="003D0505"/>
    <w:rsid w:val="003D06D2"/>
    <w:rsid w:val="003D0A78"/>
    <w:rsid w:val="003D0C63"/>
    <w:rsid w:val="003D155F"/>
    <w:rsid w:val="003D1D6B"/>
    <w:rsid w:val="003D1ED3"/>
    <w:rsid w:val="003D24A2"/>
    <w:rsid w:val="003D29DB"/>
    <w:rsid w:val="003D352E"/>
    <w:rsid w:val="003D3810"/>
    <w:rsid w:val="003D38C9"/>
    <w:rsid w:val="003D3E56"/>
    <w:rsid w:val="003D4330"/>
    <w:rsid w:val="003D6205"/>
    <w:rsid w:val="003D7347"/>
    <w:rsid w:val="003D76FA"/>
    <w:rsid w:val="003E0A75"/>
    <w:rsid w:val="003E1494"/>
    <w:rsid w:val="003E14E8"/>
    <w:rsid w:val="003E1DA6"/>
    <w:rsid w:val="003E22B6"/>
    <w:rsid w:val="003E2957"/>
    <w:rsid w:val="003E2C07"/>
    <w:rsid w:val="003E30E5"/>
    <w:rsid w:val="003E31E3"/>
    <w:rsid w:val="003E32E3"/>
    <w:rsid w:val="003E37F2"/>
    <w:rsid w:val="003E49A9"/>
    <w:rsid w:val="003E4ADC"/>
    <w:rsid w:val="003E4B59"/>
    <w:rsid w:val="003E50AB"/>
    <w:rsid w:val="003E52FC"/>
    <w:rsid w:val="003E54B1"/>
    <w:rsid w:val="003E7773"/>
    <w:rsid w:val="003E77DC"/>
    <w:rsid w:val="003F01EF"/>
    <w:rsid w:val="003F02BD"/>
    <w:rsid w:val="003F07C1"/>
    <w:rsid w:val="003F0DE3"/>
    <w:rsid w:val="003F1C8B"/>
    <w:rsid w:val="003F20E0"/>
    <w:rsid w:val="003F252B"/>
    <w:rsid w:val="003F3805"/>
    <w:rsid w:val="003F3BA5"/>
    <w:rsid w:val="003F451F"/>
    <w:rsid w:val="003F4CA1"/>
    <w:rsid w:val="003F5C1D"/>
    <w:rsid w:val="003F5EE6"/>
    <w:rsid w:val="003F635B"/>
    <w:rsid w:val="003F6433"/>
    <w:rsid w:val="003F6629"/>
    <w:rsid w:val="003F6FBA"/>
    <w:rsid w:val="003F717A"/>
    <w:rsid w:val="003F7F18"/>
    <w:rsid w:val="00400209"/>
    <w:rsid w:val="00400228"/>
    <w:rsid w:val="004004FE"/>
    <w:rsid w:val="00400A17"/>
    <w:rsid w:val="00400C1C"/>
    <w:rsid w:val="00401E29"/>
    <w:rsid w:val="00402D08"/>
    <w:rsid w:val="00403695"/>
    <w:rsid w:val="00403ADE"/>
    <w:rsid w:val="00403AEC"/>
    <w:rsid w:val="004042C6"/>
    <w:rsid w:val="004043EE"/>
    <w:rsid w:val="0040454F"/>
    <w:rsid w:val="00404F31"/>
    <w:rsid w:val="00405402"/>
    <w:rsid w:val="00405562"/>
    <w:rsid w:val="00406587"/>
    <w:rsid w:val="0040693B"/>
    <w:rsid w:val="00406B7F"/>
    <w:rsid w:val="004079CC"/>
    <w:rsid w:val="00407FB5"/>
    <w:rsid w:val="00410FC7"/>
    <w:rsid w:val="004113E3"/>
    <w:rsid w:val="00411727"/>
    <w:rsid w:val="004120A8"/>
    <w:rsid w:val="00412AE2"/>
    <w:rsid w:val="00412CBE"/>
    <w:rsid w:val="0041324A"/>
    <w:rsid w:val="00413429"/>
    <w:rsid w:val="00413BB8"/>
    <w:rsid w:val="00413E7A"/>
    <w:rsid w:val="0041432E"/>
    <w:rsid w:val="0041435C"/>
    <w:rsid w:val="00414860"/>
    <w:rsid w:val="004148F7"/>
    <w:rsid w:val="00414A47"/>
    <w:rsid w:val="00415029"/>
    <w:rsid w:val="004152CB"/>
    <w:rsid w:val="00415C99"/>
    <w:rsid w:val="00416066"/>
    <w:rsid w:val="004164CB"/>
    <w:rsid w:val="00416509"/>
    <w:rsid w:val="00416EC1"/>
    <w:rsid w:val="00416EE1"/>
    <w:rsid w:val="00417279"/>
    <w:rsid w:val="0041786A"/>
    <w:rsid w:val="004203B3"/>
    <w:rsid w:val="004203F5"/>
    <w:rsid w:val="00420EB4"/>
    <w:rsid w:val="00421950"/>
    <w:rsid w:val="00421A34"/>
    <w:rsid w:val="00421A90"/>
    <w:rsid w:val="00421B59"/>
    <w:rsid w:val="00421D84"/>
    <w:rsid w:val="00421E2D"/>
    <w:rsid w:val="004222CA"/>
    <w:rsid w:val="00422570"/>
    <w:rsid w:val="004229E5"/>
    <w:rsid w:val="00422ED9"/>
    <w:rsid w:val="004233F5"/>
    <w:rsid w:val="00423F29"/>
    <w:rsid w:val="00424172"/>
    <w:rsid w:val="00424662"/>
    <w:rsid w:val="00424DBA"/>
    <w:rsid w:val="004252A1"/>
    <w:rsid w:val="00425776"/>
    <w:rsid w:val="00425D8C"/>
    <w:rsid w:val="00426722"/>
    <w:rsid w:val="0042682A"/>
    <w:rsid w:val="00426BFF"/>
    <w:rsid w:val="00427033"/>
    <w:rsid w:val="0042746C"/>
    <w:rsid w:val="00430884"/>
    <w:rsid w:val="00430B0B"/>
    <w:rsid w:val="0043115F"/>
    <w:rsid w:val="0043143D"/>
    <w:rsid w:val="004318BC"/>
    <w:rsid w:val="00431EEF"/>
    <w:rsid w:val="0043218D"/>
    <w:rsid w:val="00432772"/>
    <w:rsid w:val="0043295A"/>
    <w:rsid w:val="00433216"/>
    <w:rsid w:val="00433273"/>
    <w:rsid w:val="00433E5C"/>
    <w:rsid w:val="004349B7"/>
    <w:rsid w:val="00435742"/>
    <w:rsid w:val="00435E50"/>
    <w:rsid w:val="004362B2"/>
    <w:rsid w:val="00436420"/>
    <w:rsid w:val="00436CCC"/>
    <w:rsid w:val="00436DD2"/>
    <w:rsid w:val="0043717B"/>
    <w:rsid w:val="00437287"/>
    <w:rsid w:val="00437A78"/>
    <w:rsid w:val="00437DAB"/>
    <w:rsid w:val="00437E3C"/>
    <w:rsid w:val="00440E56"/>
    <w:rsid w:val="004412EB"/>
    <w:rsid w:val="00441BD8"/>
    <w:rsid w:val="00441F43"/>
    <w:rsid w:val="00442CC8"/>
    <w:rsid w:val="00443DC5"/>
    <w:rsid w:val="00443EB7"/>
    <w:rsid w:val="00444098"/>
    <w:rsid w:val="00444510"/>
    <w:rsid w:val="004461B4"/>
    <w:rsid w:val="00446E46"/>
    <w:rsid w:val="00446FAA"/>
    <w:rsid w:val="00447B01"/>
    <w:rsid w:val="004500C0"/>
    <w:rsid w:val="00450155"/>
    <w:rsid w:val="004502AB"/>
    <w:rsid w:val="004513BE"/>
    <w:rsid w:val="00451956"/>
    <w:rsid w:val="00451C5C"/>
    <w:rsid w:val="004520B9"/>
    <w:rsid w:val="0045274D"/>
    <w:rsid w:val="004527C4"/>
    <w:rsid w:val="00452BE2"/>
    <w:rsid w:val="00452D89"/>
    <w:rsid w:val="00452DA1"/>
    <w:rsid w:val="00453620"/>
    <w:rsid w:val="004545F9"/>
    <w:rsid w:val="00455D78"/>
    <w:rsid w:val="00455E80"/>
    <w:rsid w:val="00455FE6"/>
    <w:rsid w:val="0045609C"/>
    <w:rsid w:val="00456257"/>
    <w:rsid w:val="00456356"/>
    <w:rsid w:val="00457370"/>
    <w:rsid w:val="00457972"/>
    <w:rsid w:val="00457A5F"/>
    <w:rsid w:val="0046076C"/>
    <w:rsid w:val="00460EFB"/>
    <w:rsid w:val="004611A4"/>
    <w:rsid w:val="00461BF0"/>
    <w:rsid w:val="0046210C"/>
    <w:rsid w:val="00462900"/>
    <w:rsid w:val="00462C59"/>
    <w:rsid w:val="00462DCF"/>
    <w:rsid w:val="00462FB7"/>
    <w:rsid w:val="0046321B"/>
    <w:rsid w:val="004633C9"/>
    <w:rsid w:val="00463550"/>
    <w:rsid w:val="00464928"/>
    <w:rsid w:val="004649A8"/>
    <w:rsid w:val="00464C1D"/>
    <w:rsid w:val="00464E2E"/>
    <w:rsid w:val="00464F86"/>
    <w:rsid w:val="00465DB5"/>
    <w:rsid w:val="00465E3F"/>
    <w:rsid w:val="0046635A"/>
    <w:rsid w:val="0046663C"/>
    <w:rsid w:val="004668AC"/>
    <w:rsid w:val="00467447"/>
    <w:rsid w:val="0046762D"/>
    <w:rsid w:val="00467B5A"/>
    <w:rsid w:val="0047090B"/>
    <w:rsid w:val="00470920"/>
    <w:rsid w:val="00471077"/>
    <w:rsid w:val="00471546"/>
    <w:rsid w:val="00471A0F"/>
    <w:rsid w:val="0047220A"/>
    <w:rsid w:val="0047262B"/>
    <w:rsid w:val="00472A96"/>
    <w:rsid w:val="00472AD4"/>
    <w:rsid w:val="00472E21"/>
    <w:rsid w:val="0047355F"/>
    <w:rsid w:val="00473887"/>
    <w:rsid w:val="00473BE5"/>
    <w:rsid w:val="00473BEB"/>
    <w:rsid w:val="00474686"/>
    <w:rsid w:val="00474DBF"/>
    <w:rsid w:val="00475B05"/>
    <w:rsid w:val="00475D48"/>
    <w:rsid w:val="0047778A"/>
    <w:rsid w:val="00477C97"/>
    <w:rsid w:val="00480E1C"/>
    <w:rsid w:val="0048143B"/>
    <w:rsid w:val="00481D11"/>
    <w:rsid w:val="00482087"/>
    <w:rsid w:val="004821C0"/>
    <w:rsid w:val="00483F1A"/>
    <w:rsid w:val="00484009"/>
    <w:rsid w:val="004840C0"/>
    <w:rsid w:val="00484B9B"/>
    <w:rsid w:val="0048608E"/>
    <w:rsid w:val="0048657D"/>
    <w:rsid w:val="00486B52"/>
    <w:rsid w:val="00486CB0"/>
    <w:rsid w:val="004870FB"/>
    <w:rsid w:val="0048715C"/>
    <w:rsid w:val="00487295"/>
    <w:rsid w:val="004875D2"/>
    <w:rsid w:val="00487B38"/>
    <w:rsid w:val="00487EC0"/>
    <w:rsid w:val="00490068"/>
    <w:rsid w:val="004900A4"/>
    <w:rsid w:val="00490B18"/>
    <w:rsid w:val="004919C6"/>
    <w:rsid w:val="004927DD"/>
    <w:rsid w:val="00492BF9"/>
    <w:rsid w:val="00494950"/>
    <w:rsid w:val="00494B53"/>
    <w:rsid w:val="00494B71"/>
    <w:rsid w:val="00495152"/>
    <w:rsid w:val="00496AC1"/>
    <w:rsid w:val="00496D31"/>
    <w:rsid w:val="00496D6B"/>
    <w:rsid w:val="00496E4C"/>
    <w:rsid w:val="004973DF"/>
    <w:rsid w:val="00497534"/>
    <w:rsid w:val="004A0F92"/>
    <w:rsid w:val="004A139B"/>
    <w:rsid w:val="004A1529"/>
    <w:rsid w:val="004A16D6"/>
    <w:rsid w:val="004A1EBD"/>
    <w:rsid w:val="004A219A"/>
    <w:rsid w:val="004A296D"/>
    <w:rsid w:val="004A29A5"/>
    <w:rsid w:val="004A32F8"/>
    <w:rsid w:val="004A39DF"/>
    <w:rsid w:val="004A3C0C"/>
    <w:rsid w:val="004A3EEF"/>
    <w:rsid w:val="004A46EB"/>
    <w:rsid w:val="004A5332"/>
    <w:rsid w:val="004A56A4"/>
    <w:rsid w:val="004A59B3"/>
    <w:rsid w:val="004A764A"/>
    <w:rsid w:val="004B0159"/>
    <w:rsid w:val="004B02C9"/>
    <w:rsid w:val="004B0325"/>
    <w:rsid w:val="004B0743"/>
    <w:rsid w:val="004B0783"/>
    <w:rsid w:val="004B085E"/>
    <w:rsid w:val="004B0F80"/>
    <w:rsid w:val="004B12FA"/>
    <w:rsid w:val="004B18DC"/>
    <w:rsid w:val="004B21CD"/>
    <w:rsid w:val="004B2738"/>
    <w:rsid w:val="004B2C94"/>
    <w:rsid w:val="004B36AE"/>
    <w:rsid w:val="004B44AE"/>
    <w:rsid w:val="004B4BF3"/>
    <w:rsid w:val="004B4CA9"/>
    <w:rsid w:val="004B58DC"/>
    <w:rsid w:val="004B5B3D"/>
    <w:rsid w:val="004B5D19"/>
    <w:rsid w:val="004B5DC2"/>
    <w:rsid w:val="004B7274"/>
    <w:rsid w:val="004B74B3"/>
    <w:rsid w:val="004B7A5C"/>
    <w:rsid w:val="004B7B1A"/>
    <w:rsid w:val="004B7ECB"/>
    <w:rsid w:val="004C083D"/>
    <w:rsid w:val="004C0AF8"/>
    <w:rsid w:val="004C20B1"/>
    <w:rsid w:val="004C241A"/>
    <w:rsid w:val="004C2642"/>
    <w:rsid w:val="004C275D"/>
    <w:rsid w:val="004C2A6B"/>
    <w:rsid w:val="004C37D4"/>
    <w:rsid w:val="004C3D3A"/>
    <w:rsid w:val="004C3E8C"/>
    <w:rsid w:val="004C47AE"/>
    <w:rsid w:val="004C4AA8"/>
    <w:rsid w:val="004C4F9F"/>
    <w:rsid w:val="004C5111"/>
    <w:rsid w:val="004C5139"/>
    <w:rsid w:val="004C5270"/>
    <w:rsid w:val="004C570A"/>
    <w:rsid w:val="004C57E6"/>
    <w:rsid w:val="004C630F"/>
    <w:rsid w:val="004C70EF"/>
    <w:rsid w:val="004C76FB"/>
    <w:rsid w:val="004C787C"/>
    <w:rsid w:val="004D0061"/>
    <w:rsid w:val="004D0067"/>
    <w:rsid w:val="004D081E"/>
    <w:rsid w:val="004D0923"/>
    <w:rsid w:val="004D09B7"/>
    <w:rsid w:val="004D1241"/>
    <w:rsid w:val="004D160D"/>
    <w:rsid w:val="004D172D"/>
    <w:rsid w:val="004D19A5"/>
    <w:rsid w:val="004D22E4"/>
    <w:rsid w:val="004D2797"/>
    <w:rsid w:val="004D2FE8"/>
    <w:rsid w:val="004D30D7"/>
    <w:rsid w:val="004D31B6"/>
    <w:rsid w:val="004D3E48"/>
    <w:rsid w:val="004D4193"/>
    <w:rsid w:val="004D4486"/>
    <w:rsid w:val="004D4AF9"/>
    <w:rsid w:val="004D5047"/>
    <w:rsid w:val="004D5297"/>
    <w:rsid w:val="004D5ED9"/>
    <w:rsid w:val="004D6102"/>
    <w:rsid w:val="004D7291"/>
    <w:rsid w:val="004D7301"/>
    <w:rsid w:val="004D74F5"/>
    <w:rsid w:val="004D76EE"/>
    <w:rsid w:val="004D7C4B"/>
    <w:rsid w:val="004E03AF"/>
    <w:rsid w:val="004E0E02"/>
    <w:rsid w:val="004E0E67"/>
    <w:rsid w:val="004E25F6"/>
    <w:rsid w:val="004E341B"/>
    <w:rsid w:val="004E48AE"/>
    <w:rsid w:val="004E5422"/>
    <w:rsid w:val="004E646C"/>
    <w:rsid w:val="004E6A03"/>
    <w:rsid w:val="004E6ACD"/>
    <w:rsid w:val="004E6B86"/>
    <w:rsid w:val="004E6D1D"/>
    <w:rsid w:val="004E7E16"/>
    <w:rsid w:val="004F03DE"/>
    <w:rsid w:val="004F0FCB"/>
    <w:rsid w:val="004F1528"/>
    <w:rsid w:val="004F2020"/>
    <w:rsid w:val="004F240C"/>
    <w:rsid w:val="004F25AA"/>
    <w:rsid w:val="004F3275"/>
    <w:rsid w:val="004F359B"/>
    <w:rsid w:val="004F3B7F"/>
    <w:rsid w:val="004F3E39"/>
    <w:rsid w:val="004F400E"/>
    <w:rsid w:val="004F4296"/>
    <w:rsid w:val="004F4850"/>
    <w:rsid w:val="004F495A"/>
    <w:rsid w:val="004F504F"/>
    <w:rsid w:val="004F57F7"/>
    <w:rsid w:val="004F582C"/>
    <w:rsid w:val="004F5FD2"/>
    <w:rsid w:val="004F6435"/>
    <w:rsid w:val="004F6FC7"/>
    <w:rsid w:val="004F70E1"/>
    <w:rsid w:val="00500625"/>
    <w:rsid w:val="00500D13"/>
    <w:rsid w:val="00501282"/>
    <w:rsid w:val="00501362"/>
    <w:rsid w:val="00501380"/>
    <w:rsid w:val="00501B0D"/>
    <w:rsid w:val="00502028"/>
    <w:rsid w:val="00502052"/>
    <w:rsid w:val="00502804"/>
    <w:rsid w:val="00503134"/>
    <w:rsid w:val="00504451"/>
    <w:rsid w:val="0050458D"/>
    <w:rsid w:val="005046B7"/>
    <w:rsid w:val="00504708"/>
    <w:rsid w:val="00504BB0"/>
    <w:rsid w:val="0050512A"/>
    <w:rsid w:val="00505B99"/>
    <w:rsid w:val="0050612C"/>
    <w:rsid w:val="0050723D"/>
    <w:rsid w:val="0050732B"/>
    <w:rsid w:val="00507D97"/>
    <w:rsid w:val="005101D3"/>
    <w:rsid w:val="005102EF"/>
    <w:rsid w:val="00510434"/>
    <w:rsid w:val="005105A9"/>
    <w:rsid w:val="00510DDA"/>
    <w:rsid w:val="005110FE"/>
    <w:rsid w:val="00511CC0"/>
    <w:rsid w:val="00512D34"/>
    <w:rsid w:val="00512E4E"/>
    <w:rsid w:val="00512F16"/>
    <w:rsid w:val="00514534"/>
    <w:rsid w:val="0051458B"/>
    <w:rsid w:val="00515150"/>
    <w:rsid w:val="0051515F"/>
    <w:rsid w:val="00515186"/>
    <w:rsid w:val="00515368"/>
    <w:rsid w:val="00515AAE"/>
    <w:rsid w:val="00515E7D"/>
    <w:rsid w:val="005161FC"/>
    <w:rsid w:val="00516686"/>
    <w:rsid w:val="005168E3"/>
    <w:rsid w:val="00516FC0"/>
    <w:rsid w:val="0052000F"/>
    <w:rsid w:val="005202E5"/>
    <w:rsid w:val="00520536"/>
    <w:rsid w:val="005207F4"/>
    <w:rsid w:val="00520AB1"/>
    <w:rsid w:val="005218F6"/>
    <w:rsid w:val="005229F2"/>
    <w:rsid w:val="00522BF0"/>
    <w:rsid w:val="00522CE6"/>
    <w:rsid w:val="00522D68"/>
    <w:rsid w:val="005234E5"/>
    <w:rsid w:val="005246A7"/>
    <w:rsid w:val="00524A98"/>
    <w:rsid w:val="005250DA"/>
    <w:rsid w:val="00525295"/>
    <w:rsid w:val="00526E4F"/>
    <w:rsid w:val="00527022"/>
    <w:rsid w:val="00527709"/>
    <w:rsid w:val="005277E7"/>
    <w:rsid w:val="00530241"/>
    <w:rsid w:val="00530512"/>
    <w:rsid w:val="00530C7C"/>
    <w:rsid w:val="00530CCB"/>
    <w:rsid w:val="00530CE6"/>
    <w:rsid w:val="0053162B"/>
    <w:rsid w:val="00532940"/>
    <w:rsid w:val="0053306D"/>
    <w:rsid w:val="005346C3"/>
    <w:rsid w:val="00535B50"/>
    <w:rsid w:val="00536802"/>
    <w:rsid w:val="00536896"/>
    <w:rsid w:val="0053750F"/>
    <w:rsid w:val="00537638"/>
    <w:rsid w:val="00537A1F"/>
    <w:rsid w:val="00537B98"/>
    <w:rsid w:val="00537ECA"/>
    <w:rsid w:val="00541159"/>
    <w:rsid w:val="00541E71"/>
    <w:rsid w:val="00543473"/>
    <w:rsid w:val="0054367B"/>
    <w:rsid w:val="00544487"/>
    <w:rsid w:val="0054474E"/>
    <w:rsid w:val="00545038"/>
    <w:rsid w:val="005450E6"/>
    <w:rsid w:val="005461D9"/>
    <w:rsid w:val="0054685E"/>
    <w:rsid w:val="0054736C"/>
    <w:rsid w:val="005476DC"/>
    <w:rsid w:val="00547D83"/>
    <w:rsid w:val="00547FA2"/>
    <w:rsid w:val="00550611"/>
    <w:rsid w:val="00550B5B"/>
    <w:rsid w:val="00551D64"/>
    <w:rsid w:val="00552E8D"/>
    <w:rsid w:val="00554B35"/>
    <w:rsid w:val="00554CE6"/>
    <w:rsid w:val="00554DD2"/>
    <w:rsid w:val="00554E38"/>
    <w:rsid w:val="00555172"/>
    <w:rsid w:val="0055625A"/>
    <w:rsid w:val="00556353"/>
    <w:rsid w:val="00556911"/>
    <w:rsid w:val="005572A4"/>
    <w:rsid w:val="00557301"/>
    <w:rsid w:val="00557EA9"/>
    <w:rsid w:val="0056091F"/>
    <w:rsid w:val="00560D50"/>
    <w:rsid w:val="005613B0"/>
    <w:rsid w:val="00561756"/>
    <w:rsid w:val="00561804"/>
    <w:rsid w:val="00561860"/>
    <w:rsid w:val="00561A9F"/>
    <w:rsid w:val="00561E7C"/>
    <w:rsid w:val="005621CF"/>
    <w:rsid w:val="00562321"/>
    <w:rsid w:val="0056311F"/>
    <w:rsid w:val="00563DB8"/>
    <w:rsid w:val="00564265"/>
    <w:rsid w:val="00564769"/>
    <w:rsid w:val="00564839"/>
    <w:rsid w:val="00564B10"/>
    <w:rsid w:val="00564DEE"/>
    <w:rsid w:val="00565476"/>
    <w:rsid w:val="0056563D"/>
    <w:rsid w:val="00565716"/>
    <w:rsid w:val="00566433"/>
    <w:rsid w:val="005670E3"/>
    <w:rsid w:val="005676A9"/>
    <w:rsid w:val="00567752"/>
    <w:rsid w:val="00570AC4"/>
    <w:rsid w:val="0057194E"/>
    <w:rsid w:val="0057198B"/>
    <w:rsid w:val="00571CFA"/>
    <w:rsid w:val="00571FF0"/>
    <w:rsid w:val="0057204B"/>
    <w:rsid w:val="00573DAB"/>
    <w:rsid w:val="00574F4C"/>
    <w:rsid w:val="0057577E"/>
    <w:rsid w:val="00575B03"/>
    <w:rsid w:val="0057607E"/>
    <w:rsid w:val="0057673C"/>
    <w:rsid w:val="00576BCE"/>
    <w:rsid w:val="005779C0"/>
    <w:rsid w:val="00577DAE"/>
    <w:rsid w:val="00580A76"/>
    <w:rsid w:val="00581625"/>
    <w:rsid w:val="005817C5"/>
    <w:rsid w:val="0058192E"/>
    <w:rsid w:val="00581966"/>
    <w:rsid w:val="00581978"/>
    <w:rsid w:val="00581B47"/>
    <w:rsid w:val="00581C94"/>
    <w:rsid w:val="00581D23"/>
    <w:rsid w:val="00581F0D"/>
    <w:rsid w:val="005821A7"/>
    <w:rsid w:val="005821B7"/>
    <w:rsid w:val="0058270E"/>
    <w:rsid w:val="0058291D"/>
    <w:rsid w:val="00582991"/>
    <w:rsid w:val="00582AB5"/>
    <w:rsid w:val="00583A0C"/>
    <w:rsid w:val="00585E9C"/>
    <w:rsid w:val="00586D31"/>
    <w:rsid w:val="005875F3"/>
    <w:rsid w:val="00587854"/>
    <w:rsid w:val="005878CE"/>
    <w:rsid w:val="005901FC"/>
    <w:rsid w:val="0059075E"/>
    <w:rsid w:val="00590A54"/>
    <w:rsid w:val="00590C7D"/>
    <w:rsid w:val="00591E51"/>
    <w:rsid w:val="00592748"/>
    <w:rsid w:val="00592764"/>
    <w:rsid w:val="00592A33"/>
    <w:rsid w:val="00593192"/>
    <w:rsid w:val="005937D7"/>
    <w:rsid w:val="00593900"/>
    <w:rsid w:val="0059393A"/>
    <w:rsid w:val="00593B14"/>
    <w:rsid w:val="00594F79"/>
    <w:rsid w:val="00595E32"/>
    <w:rsid w:val="005966EC"/>
    <w:rsid w:val="00596ACA"/>
    <w:rsid w:val="00597162"/>
    <w:rsid w:val="005A0179"/>
    <w:rsid w:val="005A0260"/>
    <w:rsid w:val="005A094B"/>
    <w:rsid w:val="005A1377"/>
    <w:rsid w:val="005A16AD"/>
    <w:rsid w:val="005A1C85"/>
    <w:rsid w:val="005A22B4"/>
    <w:rsid w:val="005A2670"/>
    <w:rsid w:val="005A2AE5"/>
    <w:rsid w:val="005A2BC9"/>
    <w:rsid w:val="005A2DDB"/>
    <w:rsid w:val="005A3097"/>
    <w:rsid w:val="005A33E2"/>
    <w:rsid w:val="005A3517"/>
    <w:rsid w:val="005A3D7E"/>
    <w:rsid w:val="005A3FD9"/>
    <w:rsid w:val="005A4155"/>
    <w:rsid w:val="005A4361"/>
    <w:rsid w:val="005A5CC1"/>
    <w:rsid w:val="005A6D2D"/>
    <w:rsid w:val="005A7379"/>
    <w:rsid w:val="005A79F3"/>
    <w:rsid w:val="005A7B2A"/>
    <w:rsid w:val="005A7E12"/>
    <w:rsid w:val="005A7FF9"/>
    <w:rsid w:val="005B0541"/>
    <w:rsid w:val="005B0BA5"/>
    <w:rsid w:val="005B0FD8"/>
    <w:rsid w:val="005B13D3"/>
    <w:rsid w:val="005B26C7"/>
    <w:rsid w:val="005B2B57"/>
    <w:rsid w:val="005B3087"/>
    <w:rsid w:val="005B478C"/>
    <w:rsid w:val="005B54D9"/>
    <w:rsid w:val="005B637A"/>
    <w:rsid w:val="005B64D7"/>
    <w:rsid w:val="005B6B23"/>
    <w:rsid w:val="005B6CE2"/>
    <w:rsid w:val="005B6FAA"/>
    <w:rsid w:val="005B738B"/>
    <w:rsid w:val="005B7B09"/>
    <w:rsid w:val="005B7D1A"/>
    <w:rsid w:val="005C0EFA"/>
    <w:rsid w:val="005C3625"/>
    <w:rsid w:val="005C3D2E"/>
    <w:rsid w:val="005C4058"/>
    <w:rsid w:val="005C40BF"/>
    <w:rsid w:val="005C4406"/>
    <w:rsid w:val="005C44C6"/>
    <w:rsid w:val="005C4B95"/>
    <w:rsid w:val="005C4BCC"/>
    <w:rsid w:val="005C624B"/>
    <w:rsid w:val="005C6367"/>
    <w:rsid w:val="005C6F1E"/>
    <w:rsid w:val="005C7E09"/>
    <w:rsid w:val="005C7ECD"/>
    <w:rsid w:val="005D056C"/>
    <w:rsid w:val="005D1007"/>
    <w:rsid w:val="005D10EA"/>
    <w:rsid w:val="005D128E"/>
    <w:rsid w:val="005D2D27"/>
    <w:rsid w:val="005D2F12"/>
    <w:rsid w:val="005D2FE7"/>
    <w:rsid w:val="005D3B53"/>
    <w:rsid w:val="005D3EC4"/>
    <w:rsid w:val="005D5DF9"/>
    <w:rsid w:val="005D761E"/>
    <w:rsid w:val="005D7AB9"/>
    <w:rsid w:val="005D7FCF"/>
    <w:rsid w:val="005E13FB"/>
    <w:rsid w:val="005E150B"/>
    <w:rsid w:val="005E1A4B"/>
    <w:rsid w:val="005E1D6B"/>
    <w:rsid w:val="005E1E7F"/>
    <w:rsid w:val="005E259B"/>
    <w:rsid w:val="005E2620"/>
    <w:rsid w:val="005E35B9"/>
    <w:rsid w:val="005E3CD1"/>
    <w:rsid w:val="005E440F"/>
    <w:rsid w:val="005E4F9F"/>
    <w:rsid w:val="005E59DE"/>
    <w:rsid w:val="005E5CEA"/>
    <w:rsid w:val="005E611A"/>
    <w:rsid w:val="005E71A7"/>
    <w:rsid w:val="005E72FF"/>
    <w:rsid w:val="005E768F"/>
    <w:rsid w:val="005E7A89"/>
    <w:rsid w:val="005E7CF0"/>
    <w:rsid w:val="005F034A"/>
    <w:rsid w:val="005F11CA"/>
    <w:rsid w:val="005F13C6"/>
    <w:rsid w:val="005F2411"/>
    <w:rsid w:val="005F27C6"/>
    <w:rsid w:val="005F2888"/>
    <w:rsid w:val="005F28FE"/>
    <w:rsid w:val="005F3150"/>
    <w:rsid w:val="005F3567"/>
    <w:rsid w:val="005F3A81"/>
    <w:rsid w:val="005F41C2"/>
    <w:rsid w:val="005F41CF"/>
    <w:rsid w:val="005F49BE"/>
    <w:rsid w:val="005F4BCE"/>
    <w:rsid w:val="005F4BDA"/>
    <w:rsid w:val="005F4BF0"/>
    <w:rsid w:val="005F4EAE"/>
    <w:rsid w:val="005F5668"/>
    <w:rsid w:val="005F59F7"/>
    <w:rsid w:val="005F5D82"/>
    <w:rsid w:val="005F6FD5"/>
    <w:rsid w:val="005F720B"/>
    <w:rsid w:val="005F7A5A"/>
    <w:rsid w:val="006008C4"/>
    <w:rsid w:val="00600C71"/>
    <w:rsid w:val="00600CE0"/>
    <w:rsid w:val="00601225"/>
    <w:rsid w:val="006019D3"/>
    <w:rsid w:val="00601C18"/>
    <w:rsid w:val="006020BC"/>
    <w:rsid w:val="00602155"/>
    <w:rsid w:val="006024DB"/>
    <w:rsid w:val="00602AFE"/>
    <w:rsid w:val="006036D2"/>
    <w:rsid w:val="00603E3B"/>
    <w:rsid w:val="00603F16"/>
    <w:rsid w:val="00604FAF"/>
    <w:rsid w:val="00604FCB"/>
    <w:rsid w:val="0060582F"/>
    <w:rsid w:val="006059FB"/>
    <w:rsid w:val="00605E38"/>
    <w:rsid w:val="006064FA"/>
    <w:rsid w:val="00606970"/>
    <w:rsid w:val="00607026"/>
    <w:rsid w:val="006078C5"/>
    <w:rsid w:val="00607BD4"/>
    <w:rsid w:val="0061023B"/>
    <w:rsid w:val="00610EE1"/>
    <w:rsid w:val="0061148F"/>
    <w:rsid w:val="00611B29"/>
    <w:rsid w:val="00612B05"/>
    <w:rsid w:val="00612D21"/>
    <w:rsid w:val="006131AB"/>
    <w:rsid w:val="006132FC"/>
    <w:rsid w:val="006133C9"/>
    <w:rsid w:val="00614EF9"/>
    <w:rsid w:val="00615498"/>
    <w:rsid w:val="00615547"/>
    <w:rsid w:val="00615EA8"/>
    <w:rsid w:val="00616C01"/>
    <w:rsid w:val="006178FE"/>
    <w:rsid w:val="00617A8B"/>
    <w:rsid w:val="006201B7"/>
    <w:rsid w:val="0062024B"/>
    <w:rsid w:val="0062055D"/>
    <w:rsid w:val="006206E6"/>
    <w:rsid w:val="00623245"/>
    <w:rsid w:val="0062325F"/>
    <w:rsid w:val="006233C8"/>
    <w:rsid w:val="00623E0D"/>
    <w:rsid w:val="00624B37"/>
    <w:rsid w:val="00625056"/>
    <w:rsid w:val="00626066"/>
    <w:rsid w:val="006260E3"/>
    <w:rsid w:val="006268D4"/>
    <w:rsid w:val="006270DE"/>
    <w:rsid w:val="006270F9"/>
    <w:rsid w:val="00627195"/>
    <w:rsid w:val="006271FE"/>
    <w:rsid w:val="00630872"/>
    <w:rsid w:val="00630AB0"/>
    <w:rsid w:val="006315D2"/>
    <w:rsid w:val="006315D7"/>
    <w:rsid w:val="006317CD"/>
    <w:rsid w:val="00631842"/>
    <w:rsid w:val="0063186B"/>
    <w:rsid w:val="00632319"/>
    <w:rsid w:val="00632852"/>
    <w:rsid w:val="006328B5"/>
    <w:rsid w:val="00632ED8"/>
    <w:rsid w:val="00633ADC"/>
    <w:rsid w:val="00633B54"/>
    <w:rsid w:val="00633CD4"/>
    <w:rsid w:val="00634EC1"/>
    <w:rsid w:val="00635E96"/>
    <w:rsid w:val="006363C2"/>
    <w:rsid w:val="00636A62"/>
    <w:rsid w:val="00637C9D"/>
    <w:rsid w:val="00640175"/>
    <w:rsid w:val="006401D8"/>
    <w:rsid w:val="00640B34"/>
    <w:rsid w:val="0064114C"/>
    <w:rsid w:val="00641390"/>
    <w:rsid w:val="00641FA5"/>
    <w:rsid w:val="00642124"/>
    <w:rsid w:val="006425FE"/>
    <w:rsid w:val="006429D5"/>
    <w:rsid w:val="00642A68"/>
    <w:rsid w:val="00643028"/>
    <w:rsid w:val="00643BA7"/>
    <w:rsid w:val="00643DFB"/>
    <w:rsid w:val="00643E28"/>
    <w:rsid w:val="006441AC"/>
    <w:rsid w:val="00644D45"/>
    <w:rsid w:val="00644DF4"/>
    <w:rsid w:val="00645420"/>
    <w:rsid w:val="00645719"/>
    <w:rsid w:val="00645C5A"/>
    <w:rsid w:val="00646DE3"/>
    <w:rsid w:val="00647608"/>
    <w:rsid w:val="006477CD"/>
    <w:rsid w:val="00647EF6"/>
    <w:rsid w:val="0065010F"/>
    <w:rsid w:val="00650242"/>
    <w:rsid w:val="00650F7C"/>
    <w:rsid w:val="00652576"/>
    <w:rsid w:val="0065292C"/>
    <w:rsid w:val="006539F5"/>
    <w:rsid w:val="0065437B"/>
    <w:rsid w:val="0065437F"/>
    <w:rsid w:val="00654B1E"/>
    <w:rsid w:val="00654C40"/>
    <w:rsid w:val="00656699"/>
    <w:rsid w:val="006571FD"/>
    <w:rsid w:val="006575DC"/>
    <w:rsid w:val="006577DB"/>
    <w:rsid w:val="00657902"/>
    <w:rsid w:val="00657A7A"/>
    <w:rsid w:val="00657AE7"/>
    <w:rsid w:val="006600CC"/>
    <w:rsid w:val="0066056A"/>
    <w:rsid w:val="00660612"/>
    <w:rsid w:val="0066097C"/>
    <w:rsid w:val="0066130C"/>
    <w:rsid w:val="00661BD6"/>
    <w:rsid w:val="006620F2"/>
    <w:rsid w:val="0066224F"/>
    <w:rsid w:val="006622AA"/>
    <w:rsid w:val="0066257C"/>
    <w:rsid w:val="00662E15"/>
    <w:rsid w:val="006632F3"/>
    <w:rsid w:val="006635EC"/>
    <w:rsid w:val="00664288"/>
    <w:rsid w:val="00664648"/>
    <w:rsid w:val="00665939"/>
    <w:rsid w:val="006664C0"/>
    <w:rsid w:val="00666632"/>
    <w:rsid w:val="0066783A"/>
    <w:rsid w:val="00667D30"/>
    <w:rsid w:val="00667DE4"/>
    <w:rsid w:val="006707CA"/>
    <w:rsid w:val="00670D5C"/>
    <w:rsid w:val="006715A0"/>
    <w:rsid w:val="00671BEF"/>
    <w:rsid w:val="00671BF7"/>
    <w:rsid w:val="006725BE"/>
    <w:rsid w:val="00672D2E"/>
    <w:rsid w:val="00672D9A"/>
    <w:rsid w:val="0067315F"/>
    <w:rsid w:val="00673766"/>
    <w:rsid w:val="0067385F"/>
    <w:rsid w:val="00673C17"/>
    <w:rsid w:val="00674104"/>
    <w:rsid w:val="00674552"/>
    <w:rsid w:val="006749D4"/>
    <w:rsid w:val="00675900"/>
    <w:rsid w:val="00675AA5"/>
    <w:rsid w:val="006767E7"/>
    <w:rsid w:val="00676E92"/>
    <w:rsid w:val="0067778F"/>
    <w:rsid w:val="006779F8"/>
    <w:rsid w:val="00680025"/>
    <w:rsid w:val="006800AF"/>
    <w:rsid w:val="006805CA"/>
    <w:rsid w:val="00681EC7"/>
    <w:rsid w:val="0068235C"/>
    <w:rsid w:val="00682A38"/>
    <w:rsid w:val="00683698"/>
    <w:rsid w:val="00683834"/>
    <w:rsid w:val="00683A2D"/>
    <w:rsid w:val="00683E49"/>
    <w:rsid w:val="00684471"/>
    <w:rsid w:val="00685312"/>
    <w:rsid w:val="006860CD"/>
    <w:rsid w:val="00686508"/>
    <w:rsid w:val="00686542"/>
    <w:rsid w:val="00686A7F"/>
    <w:rsid w:val="00686E15"/>
    <w:rsid w:val="006877D0"/>
    <w:rsid w:val="00687973"/>
    <w:rsid w:val="006879B5"/>
    <w:rsid w:val="0069013F"/>
    <w:rsid w:val="00690296"/>
    <w:rsid w:val="00690B5D"/>
    <w:rsid w:val="0069112A"/>
    <w:rsid w:val="00692039"/>
    <w:rsid w:val="006920F9"/>
    <w:rsid w:val="00692925"/>
    <w:rsid w:val="00692F34"/>
    <w:rsid w:val="00692F7B"/>
    <w:rsid w:val="0069322E"/>
    <w:rsid w:val="006935F0"/>
    <w:rsid w:val="006948FE"/>
    <w:rsid w:val="00694AC5"/>
    <w:rsid w:val="0069505D"/>
    <w:rsid w:val="00695212"/>
    <w:rsid w:val="0069583B"/>
    <w:rsid w:val="00695ACD"/>
    <w:rsid w:val="00695CA1"/>
    <w:rsid w:val="006963FB"/>
    <w:rsid w:val="00696836"/>
    <w:rsid w:val="006968CA"/>
    <w:rsid w:val="0069690D"/>
    <w:rsid w:val="00697501"/>
    <w:rsid w:val="00697D46"/>
    <w:rsid w:val="006A047D"/>
    <w:rsid w:val="006A09E3"/>
    <w:rsid w:val="006A0E2D"/>
    <w:rsid w:val="006A1123"/>
    <w:rsid w:val="006A1206"/>
    <w:rsid w:val="006A18DE"/>
    <w:rsid w:val="006A1DFC"/>
    <w:rsid w:val="006A1E5F"/>
    <w:rsid w:val="006A225D"/>
    <w:rsid w:val="006A22C0"/>
    <w:rsid w:val="006A24BB"/>
    <w:rsid w:val="006A2E40"/>
    <w:rsid w:val="006A3963"/>
    <w:rsid w:val="006A4253"/>
    <w:rsid w:val="006A46F2"/>
    <w:rsid w:val="006A4EE7"/>
    <w:rsid w:val="006A53F0"/>
    <w:rsid w:val="006A58B7"/>
    <w:rsid w:val="006A58EF"/>
    <w:rsid w:val="006A59F6"/>
    <w:rsid w:val="006A5C9F"/>
    <w:rsid w:val="006A5FDA"/>
    <w:rsid w:val="006A60EE"/>
    <w:rsid w:val="006A61AE"/>
    <w:rsid w:val="006A628E"/>
    <w:rsid w:val="006A68BD"/>
    <w:rsid w:val="006A6D68"/>
    <w:rsid w:val="006A76F1"/>
    <w:rsid w:val="006A77A8"/>
    <w:rsid w:val="006A7B01"/>
    <w:rsid w:val="006B0C9A"/>
    <w:rsid w:val="006B134E"/>
    <w:rsid w:val="006B2C6C"/>
    <w:rsid w:val="006B30E6"/>
    <w:rsid w:val="006B3473"/>
    <w:rsid w:val="006B3901"/>
    <w:rsid w:val="006B3A03"/>
    <w:rsid w:val="006B42A5"/>
    <w:rsid w:val="006B4615"/>
    <w:rsid w:val="006B4BBB"/>
    <w:rsid w:val="006B4D79"/>
    <w:rsid w:val="006B4E42"/>
    <w:rsid w:val="006B577E"/>
    <w:rsid w:val="006B6638"/>
    <w:rsid w:val="006B66F4"/>
    <w:rsid w:val="006B6B31"/>
    <w:rsid w:val="006B7418"/>
    <w:rsid w:val="006B7488"/>
    <w:rsid w:val="006B7774"/>
    <w:rsid w:val="006B7D68"/>
    <w:rsid w:val="006B7DA0"/>
    <w:rsid w:val="006C096C"/>
    <w:rsid w:val="006C0B89"/>
    <w:rsid w:val="006C0C61"/>
    <w:rsid w:val="006C1110"/>
    <w:rsid w:val="006C15FF"/>
    <w:rsid w:val="006C1861"/>
    <w:rsid w:val="006C23C4"/>
    <w:rsid w:val="006C2B1D"/>
    <w:rsid w:val="006C2C7B"/>
    <w:rsid w:val="006C3FF2"/>
    <w:rsid w:val="006C4A48"/>
    <w:rsid w:val="006C4CE6"/>
    <w:rsid w:val="006C61F2"/>
    <w:rsid w:val="006C649E"/>
    <w:rsid w:val="006C65FC"/>
    <w:rsid w:val="006C6D3D"/>
    <w:rsid w:val="006C7139"/>
    <w:rsid w:val="006C71C9"/>
    <w:rsid w:val="006C7F5D"/>
    <w:rsid w:val="006D0482"/>
    <w:rsid w:val="006D1EAE"/>
    <w:rsid w:val="006D1FAB"/>
    <w:rsid w:val="006D2115"/>
    <w:rsid w:val="006D2E8A"/>
    <w:rsid w:val="006D3174"/>
    <w:rsid w:val="006D329B"/>
    <w:rsid w:val="006D3381"/>
    <w:rsid w:val="006D34B6"/>
    <w:rsid w:val="006D3869"/>
    <w:rsid w:val="006D4A90"/>
    <w:rsid w:val="006D50CF"/>
    <w:rsid w:val="006D5B17"/>
    <w:rsid w:val="006D6BEA"/>
    <w:rsid w:val="006D6C04"/>
    <w:rsid w:val="006D6F75"/>
    <w:rsid w:val="006D7272"/>
    <w:rsid w:val="006E0D1E"/>
    <w:rsid w:val="006E1269"/>
    <w:rsid w:val="006E1906"/>
    <w:rsid w:val="006E1BDF"/>
    <w:rsid w:val="006E1DED"/>
    <w:rsid w:val="006E386E"/>
    <w:rsid w:val="006E3C2E"/>
    <w:rsid w:val="006E3EC7"/>
    <w:rsid w:val="006E3F73"/>
    <w:rsid w:val="006E4340"/>
    <w:rsid w:val="006E4F34"/>
    <w:rsid w:val="006E51DC"/>
    <w:rsid w:val="006E75DE"/>
    <w:rsid w:val="006E7771"/>
    <w:rsid w:val="006F048F"/>
    <w:rsid w:val="006F081B"/>
    <w:rsid w:val="006F0C45"/>
    <w:rsid w:val="006F129F"/>
    <w:rsid w:val="006F1FEA"/>
    <w:rsid w:val="006F20AB"/>
    <w:rsid w:val="006F215A"/>
    <w:rsid w:val="006F234A"/>
    <w:rsid w:val="006F330B"/>
    <w:rsid w:val="006F36DA"/>
    <w:rsid w:val="006F4712"/>
    <w:rsid w:val="006F4AD3"/>
    <w:rsid w:val="006F51DF"/>
    <w:rsid w:val="006F5350"/>
    <w:rsid w:val="006F5E92"/>
    <w:rsid w:val="006F62F4"/>
    <w:rsid w:val="006F7148"/>
    <w:rsid w:val="006F715B"/>
    <w:rsid w:val="006F74E7"/>
    <w:rsid w:val="006F7EEA"/>
    <w:rsid w:val="007006C0"/>
    <w:rsid w:val="007013B1"/>
    <w:rsid w:val="007014C3"/>
    <w:rsid w:val="0070235C"/>
    <w:rsid w:val="00703503"/>
    <w:rsid w:val="00703938"/>
    <w:rsid w:val="00703B2A"/>
    <w:rsid w:val="00703F55"/>
    <w:rsid w:val="00705290"/>
    <w:rsid w:val="0070539F"/>
    <w:rsid w:val="00705675"/>
    <w:rsid w:val="0070576E"/>
    <w:rsid w:val="00705810"/>
    <w:rsid w:val="00705D32"/>
    <w:rsid w:val="00706E67"/>
    <w:rsid w:val="00707208"/>
    <w:rsid w:val="007075A9"/>
    <w:rsid w:val="00707E59"/>
    <w:rsid w:val="007100C0"/>
    <w:rsid w:val="007108D0"/>
    <w:rsid w:val="007116EB"/>
    <w:rsid w:val="00711A85"/>
    <w:rsid w:val="00711DBF"/>
    <w:rsid w:val="00712A7C"/>
    <w:rsid w:val="0071301D"/>
    <w:rsid w:val="00713D1A"/>
    <w:rsid w:val="00713D46"/>
    <w:rsid w:val="00713FDA"/>
    <w:rsid w:val="0071503F"/>
    <w:rsid w:val="00715634"/>
    <w:rsid w:val="007164CD"/>
    <w:rsid w:val="00716F48"/>
    <w:rsid w:val="00716FDD"/>
    <w:rsid w:val="007179C5"/>
    <w:rsid w:val="00717E57"/>
    <w:rsid w:val="00717F96"/>
    <w:rsid w:val="0072095E"/>
    <w:rsid w:val="007216BF"/>
    <w:rsid w:val="007219D8"/>
    <w:rsid w:val="0072221E"/>
    <w:rsid w:val="00722569"/>
    <w:rsid w:val="0072384C"/>
    <w:rsid w:val="00723BCD"/>
    <w:rsid w:val="007244A4"/>
    <w:rsid w:val="00724D34"/>
    <w:rsid w:val="00726093"/>
    <w:rsid w:val="007260A1"/>
    <w:rsid w:val="00726E08"/>
    <w:rsid w:val="0072749E"/>
    <w:rsid w:val="00727FB7"/>
    <w:rsid w:val="0073043C"/>
    <w:rsid w:val="0073061D"/>
    <w:rsid w:val="00730621"/>
    <w:rsid w:val="007307B1"/>
    <w:rsid w:val="00731CC6"/>
    <w:rsid w:val="007326F4"/>
    <w:rsid w:val="00732D56"/>
    <w:rsid w:val="007335BD"/>
    <w:rsid w:val="00733723"/>
    <w:rsid w:val="00733A10"/>
    <w:rsid w:val="00733A3D"/>
    <w:rsid w:val="00733E7E"/>
    <w:rsid w:val="00734103"/>
    <w:rsid w:val="0073475E"/>
    <w:rsid w:val="00734CFE"/>
    <w:rsid w:val="00734ED5"/>
    <w:rsid w:val="00734F1B"/>
    <w:rsid w:val="00734F2E"/>
    <w:rsid w:val="00735ED9"/>
    <w:rsid w:val="007362F4"/>
    <w:rsid w:val="00737A0A"/>
    <w:rsid w:val="00740068"/>
    <w:rsid w:val="007404DF"/>
    <w:rsid w:val="007415C0"/>
    <w:rsid w:val="007423AE"/>
    <w:rsid w:val="00742B90"/>
    <w:rsid w:val="00742FC3"/>
    <w:rsid w:val="0074360C"/>
    <w:rsid w:val="007443D6"/>
    <w:rsid w:val="00745E75"/>
    <w:rsid w:val="00746F2D"/>
    <w:rsid w:val="007470E6"/>
    <w:rsid w:val="007470ED"/>
    <w:rsid w:val="00747CAA"/>
    <w:rsid w:val="00747FB9"/>
    <w:rsid w:val="00750157"/>
    <w:rsid w:val="00750388"/>
    <w:rsid w:val="007506B8"/>
    <w:rsid w:val="00750B22"/>
    <w:rsid w:val="00751D47"/>
    <w:rsid w:val="00751F4E"/>
    <w:rsid w:val="0075266A"/>
    <w:rsid w:val="007532A9"/>
    <w:rsid w:val="00753E84"/>
    <w:rsid w:val="00754368"/>
    <w:rsid w:val="00755A77"/>
    <w:rsid w:val="00755B13"/>
    <w:rsid w:val="00755C37"/>
    <w:rsid w:val="00755D4F"/>
    <w:rsid w:val="007561AE"/>
    <w:rsid w:val="007568C6"/>
    <w:rsid w:val="00756B18"/>
    <w:rsid w:val="00756DB3"/>
    <w:rsid w:val="00756E7B"/>
    <w:rsid w:val="007570CE"/>
    <w:rsid w:val="007574DF"/>
    <w:rsid w:val="0075795B"/>
    <w:rsid w:val="00760269"/>
    <w:rsid w:val="0076039B"/>
    <w:rsid w:val="007607D5"/>
    <w:rsid w:val="007614DE"/>
    <w:rsid w:val="007618F9"/>
    <w:rsid w:val="007620B0"/>
    <w:rsid w:val="00762C17"/>
    <w:rsid w:val="007635B2"/>
    <w:rsid w:val="007636D4"/>
    <w:rsid w:val="0076386D"/>
    <w:rsid w:val="0076420E"/>
    <w:rsid w:val="00764258"/>
    <w:rsid w:val="007643E0"/>
    <w:rsid w:val="00764982"/>
    <w:rsid w:val="007649D9"/>
    <w:rsid w:val="007654DD"/>
    <w:rsid w:val="007654F6"/>
    <w:rsid w:val="00765D39"/>
    <w:rsid w:val="00765E30"/>
    <w:rsid w:val="00765EB5"/>
    <w:rsid w:val="00766942"/>
    <w:rsid w:val="00767B04"/>
    <w:rsid w:val="00767B3E"/>
    <w:rsid w:val="0077007B"/>
    <w:rsid w:val="00770A2A"/>
    <w:rsid w:val="00771486"/>
    <w:rsid w:val="00772135"/>
    <w:rsid w:val="00772261"/>
    <w:rsid w:val="00772316"/>
    <w:rsid w:val="007724F9"/>
    <w:rsid w:val="00773139"/>
    <w:rsid w:val="00773149"/>
    <w:rsid w:val="00773AA1"/>
    <w:rsid w:val="00773FED"/>
    <w:rsid w:val="00774989"/>
    <w:rsid w:val="00774A2C"/>
    <w:rsid w:val="00774CF8"/>
    <w:rsid w:val="00774EA4"/>
    <w:rsid w:val="00776E7F"/>
    <w:rsid w:val="00777234"/>
    <w:rsid w:val="00777A2B"/>
    <w:rsid w:val="007803F8"/>
    <w:rsid w:val="00780ABE"/>
    <w:rsid w:val="00780BFF"/>
    <w:rsid w:val="007814FF"/>
    <w:rsid w:val="0078206A"/>
    <w:rsid w:val="007828D9"/>
    <w:rsid w:val="00782E55"/>
    <w:rsid w:val="00782F7C"/>
    <w:rsid w:val="007832B1"/>
    <w:rsid w:val="00783555"/>
    <w:rsid w:val="0078357E"/>
    <w:rsid w:val="007836C0"/>
    <w:rsid w:val="00783D74"/>
    <w:rsid w:val="00783EE1"/>
    <w:rsid w:val="00784160"/>
    <w:rsid w:val="00784FE0"/>
    <w:rsid w:val="00785660"/>
    <w:rsid w:val="00786402"/>
    <w:rsid w:val="00786646"/>
    <w:rsid w:val="00786CE3"/>
    <w:rsid w:val="00786D67"/>
    <w:rsid w:val="00786E1F"/>
    <w:rsid w:val="00787119"/>
    <w:rsid w:val="00790106"/>
    <w:rsid w:val="0079049A"/>
    <w:rsid w:val="00790D5F"/>
    <w:rsid w:val="00791045"/>
    <w:rsid w:val="00791454"/>
    <w:rsid w:val="007939B4"/>
    <w:rsid w:val="00795056"/>
    <w:rsid w:val="00795057"/>
    <w:rsid w:val="00795CAF"/>
    <w:rsid w:val="00796333"/>
    <w:rsid w:val="007966FF"/>
    <w:rsid w:val="00796B54"/>
    <w:rsid w:val="0079720F"/>
    <w:rsid w:val="00797C57"/>
    <w:rsid w:val="00797DDB"/>
    <w:rsid w:val="007A02AD"/>
    <w:rsid w:val="007A0645"/>
    <w:rsid w:val="007A0F27"/>
    <w:rsid w:val="007A101A"/>
    <w:rsid w:val="007A1309"/>
    <w:rsid w:val="007A16FB"/>
    <w:rsid w:val="007A17A8"/>
    <w:rsid w:val="007A4071"/>
    <w:rsid w:val="007A4328"/>
    <w:rsid w:val="007A47FD"/>
    <w:rsid w:val="007A4B6C"/>
    <w:rsid w:val="007A4C74"/>
    <w:rsid w:val="007A5CFA"/>
    <w:rsid w:val="007A6446"/>
    <w:rsid w:val="007A6853"/>
    <w:rsid w:val="007A69E8"/>
    <w:rsid w:val="007A6DD7"/>
    <w:rsid w:val="007A6E6C"/>
    <w:rsid w:val="007A7DBB"/>
    <w:rsid w:val="007A7DEC"/>
    <w:rsid w:val="007B0758"/>
    <w:rsid w:val="007B0A52"/>
    <w:rsid w:val="007B1136"/>
    <w:rsid w:val="007B134B"/>
    <w:rsid w:val="007B2242"/>
    <w:rsid w:val="007B2256"/>
    <w:rsid w:val="007B2304"/>
    <w:rsid w:val="007B24EE"/>
    <w:rsid w:val="007B3262"/>
    <w:rsid w:val="007B358B"/>
    <w:rsid w:val="007B3758"/>
    <w:rsid w:val="007B3A44"/>
    <w:rsid w:val="007B3AC9"/>
    <w:rsid w:val="007B3F6A"/>
    <w:rsid w:val="007B4011"/>
    <w:rsid w:val="007B4075"/>
    <w:rsid w:val="007B4108"/>
    <w:rsid w:val="007B41BF"/>
    <w:rsid w:val="007B4320"/>
    <w:rsid w:val="007B4F30"/>
    <w:rsid w:val="007B5ED6"/>
    <w:rsid w:val="007B63B1"/>
    <w:rsid w:val="007B65C9"/>
    <w:rsid w:val="007B688B"/>
    <w:rsid w:val="007B6ED2"/>
    <w:rsid w:val="007B7043"/>
    <w:rsid w:val="007B7143"/>
    <w:rsid w:val="007B767C"/>
    <w:rsid w:val="007B76B3"/>
    <w:rsid w:val="007B7818"/>
    <w:rsid w:val="007B7EEB"/>
    <w:rsid w:val="007C05EF"/>
    <w:rsid w:val="007C08C1"/>
    <w:rsid w:val="007C0DE5"/>
    <w:rsid w:val="007C0E25"/>
    <w:rsid w:val="007C15B6"/>
    <w:rsid w:val="007C1A99"/>
    <w:rsid w:val="007C1D26"/>
    <w:rsid w:val="007C20EE"/>
    <w:rsid w:val="007C3AB6"/>
    <w:rsid w:val="007C401A"/>
    <w:rsid w:val="007C4EF6"/>
    <w:rsid w:val="007C54B1"/>
    <w:rsid w:val="007C55E4"/>
    <w:rsid w:val="007C6359"/>
    <w:rsid w:val="007C6843"/>
    <w:rsid w:val="007C708A"/>
    <w:rsid w:val="007C7137"/>
    <w:rsid w:val="007C748A"/>
    <w:rsid w:val="007C7BDF"/>
    <w:rsid w:val="007D000E"/>
    <w:rsid w:val="007D01ED"/>
    <w:rsid w:val="007D0881"/>
    <w:rsid w:val="007D14CE"/>
    <w:rsid w:val="007D178B"/>
    <w:rsid w:val="007D17ED"/>
    <w:rsid w:val="007D19BF"/>
    <w:rsid w:val="007D2050"/>
    <w:rsid w:val="007D2C57"/>
    <w:rsid w:val="007D2FD3"/>
    <w:rsid w:val="007D372B"/>
    <w:rsid w:val="007D38E3"/>
    <w:rsid w:val="007D4ADA"/>
    <w:rsid w:val="007D4F7F"/>
    <w:rsid w:val="007D57C7"/>
    <w:rsid w:val="007D58F9"/>
    <w:rsid w:val="007D6492"/>
    <w:rsid w:val="007D6593"/>
    <w:rsid w:val="007D677F"/>
    <w:rsid w:val="007D72EC"/>
    <w:rsid w:val="007D7513"/>
    <w:rsid w:val="007D7894"/>
    <w:rsid w:val="007D78C1"/>
    <w:rsid w:val="007D78E8"/>
    <w:rsid w:val="007D7BED"/>
    <w:rsid w:val="007D7D5A"/>
    <w:rsid w:val="007D7E64"/>
    <w:rsid w:val="007E0A62"/>
    <w:rsid w:val="007E24C3"/>
    <w:rsid w:val="007E25CF"/>
    <w:rsid w:val="007E2A64"/>
    <w:rsid w:val="007E3231"/>
    <w:rsid w:val="007E38AB"/>
    <w:rsid w:val="007E4A6A"/>
    <w:rsid w:val="007E4E9A"/>
    <w:rsid w:val="007E76AF"/>
    <w:rsid w:val="007E797D"/>
    <w:rsid w:val="007F077B"/>
    <w:rsid w:val="007F0F9A"/>
    <w:rsid w:val="007F2162"/>
    <w:rsid w:val="007F21AA"/>
    <w:rsid w:val="007F2625"/>
    <w:rsid w:val="007F279F"/>
    <w:rsid w:val="007F2C9F"/>
    <w:rsid w:val="007F2EFD"/>
    <w:rsid w:val="007F443A"/>
    <w:rsid w:val="007F4954"/>
    <w:rsid w:val="007F522D"/>
    <w:rsid w:val="007F5337"/>
    <w:rsid w:val="007F5521"/>
    <w:rsid w:val="007F566F"/>
    <w:rsid w:val="007F58F8"/>
    <w:rsid w:val="007F5FE8"/>
    <w:rsid w:val="007F68C6"/>
    <w:rsid w:val="007F71AC"/>
    <w:rsid w:val="008005EB"/>
    <w:rsid w:val="00800911"/>
    <w:rsid w:val="00800D3A"/>
    <w:rsid w:val="00801001"/>
    <w:rsid w:val="0080188E"/>
    <w:rsid w:val="00802017"/>
    <w:rsid w:val="00802278"/>
    <w:rsid w:val="008028FF"/>
    <w:rsid w:val="008029E9"/>
    <w:rsid w:val="00802B45"/>
    <w:rsid w:val="00803470"/>
    <w:rsid w:val="00803ADB"/>
    <w:rsid w:val="0080466D"/>
    <w:rsid w:val="0080495F"/>
    <w:rsid w:val="00804D5C"/>
    <w:rsid w:val="00804DE2"/>
    <w:rsid w:val="008050F8"/>
    <w:rsid w:val="008051A5"/>
    <w:rsid w:val="008054C0"/>
    <w:rsid w:val="00806C17"/>
    <w:rsid w:val="00806E8B"/>
    <w:rsid w:val="00807579"/>
    <w:rsid w:val="00807D8E"/>
    <w:rsid w:val="00807DAD"/>
    <w:rsid w:val="008104C1"/>
    <w:rsid w:val="008109E8"/>
    <w:rsid w:val="008110CE"/>
    <w:rsid w:val="00811F4A"/>
    <w:rsid w:val="00811FFA"/>
    <w:rsid w:val="00812D11"/>
    <w:rsid w:val="008130D1"/>
    <w:rsid w:val="00813B88"/>
    <w:rsid w:val="00813E31"/>
    <w:rsid w:val="0081445B"/>
    <w:rsid w:val="00814956"/>
    <w:rsid w:val="00815C96"/>
    <w:rsid w:val="00815CBA"/>
    <w:rsid w:val="00816931"/>
    <w:rsid w:val="00816B49"/>
    <w:rsid w:val="00816BD5"/>
    <w:rsid w:val="00817451"/>
    <w:rsid w:val="00820136"/>
    <w:rsid w:val="008203C1"/>
    <w:rsid w:val="008203C8"/>
    <w:rsid w:val="008206CB"/>
    <w:rsid w:val="008212BA"/>
    <w:rsid w:val="00821B8A"/>
    <w:rsid w:val="00821C08"/>
    <w:rsid w:val="00822292"/>
    <w:rsid w:val="0082262A"/>
    <w:rsid w:val="00822855"/>
    <w:rsid w:val="0082285D"/>
    <w:rsid w:val="00822894"/>
    <w:rsid w:val="00822B84"/>
    <w:rsid w:val="00822ECA"/>
    <w:rsid w:val="008240CE"/>
    <w:rsid w:val="0082419F"/>
    <w:rsid w:val="00824FBF"/>
    <w:rsid w:val="008255D7"/>
    <w:rsid w:val="00826536"/>
    <w:rsid w:val="00826643"/>
    <w:rsid w:val="008276D2"/>
    <w:rsid w:val="00827831"/>
    <w:rsid w:val="00830A32"/>
    <w:rsid w:val="00830BB1"/>
    <w:rsid w:val="0083158E"/>
    <w:rsid w:val="008319FE"/>
    <w:rsid w:val="00831BFA"/>
    <w:rsid w:val="008327CE"/>
    <w:rsid w:val="008329F8"/>
    <w:rsid w:val="00833297"/>
    <w:rsid w:val="00833B2D"/>
    <w:rsid w:val="00833D81"/>
    <w:rsid w:val="00834143"/>
    <w:rsid w:val="008344D7"/>
    <w:rsid w:val="0083560B"/>
    <w:rsid w:val="00835F56"/>
    <w:rsid w:val="00836694"/>
    <w:rsid w:val="00836A77"/>
    <w:rsid w:val="008376FD"/>
    <w:rsid w:val="00837D33"/>
    <w:rsid w:val="00841B68"/>
    <w:rsid w:val="00841C1C"/>
    <w:rsid w:val="008422AC"/>
    <w:rsid w:val="008438F5"/>
    <w:rsid w:val="00844088"/>
    <w:rsid w:val="008444FD"/>
    <w:rsid w:val="0084457F"/>
    <w:rsid w:val="008455FA"/>
    <w:rsid w:val="0084565D"/>
    <w:rsid w:val="00845AAA"/>
    <w:rsid w:val="00845F5C"/>
    <w:rsid w:val="008462F0"/>
    <w:rsid w:val="008463C1"/>
    <w:rsid w:val="00846649"/>
    <w:rsid w:val="008466D0"/>
    <w:rsid w:val="00846A59"/>
    <w:rsid w:val="008473F4"/>
    <w:rsid w:val="00847CE0"/>
    <w:rsid w:val="00850102"/>
    <w:rsid w:val="00852BB4"/>
    <w:rsid w:val="00852C07"/>
    <w:rsid w:val="008531E4"/>
    <w:rsid w:val="0085334B"/>
    <w:rsid w:val="00854A8E"/>
    <w:rsid w:val="00855067"/>
    <w:rsid w:val="00855281"/>
    <w:rsid w:val="00855EED"/>
    <w:rsid w:val="00856BA7"/>
    <w:rsid w:val="00857A38"/>
    <w:rsid w:val="00857C4F"/>
    <w:rsid w:val="0086000C"/>
    <w:rsid w:val="00860271"/>
    <w:rsid w:val="00860861"/>
    <w:rsid w:val="00863D11"/>
    <w:rsid w:val="00864071"/>
    <w:rsid w:val="008643A4"/>
    <w:rsid w:val="008645D8"/>
    <w:rsid w:val="00864C8A"/>
    <w:rsid w:val="008654B4"/>
    <w:rsid w:val="0086565D"/>
    <w:rsid w:val="00865B4C"/>
    <w:rsid w:val="00865DC7"/>
    <w:rsid w:val="0086683E"/>
    <w:rsid w:val="00867662"/>
    <w:rsid w:val="00867DEB"/>
    <w:rsid w:val="00870615"/>
    <w:rsid w:val="008707CB"/>
    <w:rsid w:val="00870923"/>
    <w:rsid w:val="00870E5A"/>
    <w:rsid w:val="00871392"/>
    <w:rsid w:val="008717D5"/>
    <w:rsid w:val="00871C55"/>
    <w:rsid w:val="00871EF8"/>
    <w:rsid w:val="00871F91"/>
    <w:rsid w:val="00871FB2"/>
    <w:rsid w:val="0087285C"/>
    <w:rsid w:val="00872B93"/>
    <w:rsid w:val="00872FB8"/>
    <w:rsid w:val="00873AA0"/>
    <w:rsid w:val="00874184"/>
    <w:rsid w:val="00874200"/>
    <w:rsid w:val="00874980"/>
    <w:rsid w:val="00874FC0"/>
    <w:rsid w:val="008756FD"/>
    <w:rsid w:val="0087570D"/>
    <w:rsid w:val="00875841"/>
    <w:rsid w:val="00875CF6"/>
    <w:rsid w:val="00875E28"/>
    <w:rsid w:val="00876824"/>
    <w:rsid w:val="00877EC3"/>
    <w:rsid w:val="00880461"/>
    <w:rsid w:val="0088079B"/>
    <w:rsid w:val="008809CF"/>
    <w:rsid w:val="008812BF"/>
    <w:rsid w:val="00881630"/>
    <w:rsid w:val="00881A06"/>
    <w:rsid w:val="00881F37"/>
    <w:rsid w:val="00882407"/>
    <w:rsid w:val="00882513"/>
    <w:rsid w:val="00882B75"/>
    <w:rsid w:val="00882C72"/>
    <w:rsid w:val="008832EB"/>
    <w:rsid w:val="0088393A"/>
    <w:rsid w:val="00883A48"/>
    <w:rsid w:val="00883FD2"/>
    <w:rsid w:val="008848DC"/>
    <w:rsid w:val="00884962"/>
    <w:rsid w:val="00884F7E"/>
    <w:rsid w:val="00884F96"/>
    <w:rsid w:val="0088590D"/>
    <w:rsid w:val="00885C43"/>
    <w:rsid w:val="00886402"/>
    <w:rsid w:val="00886B6E"/>
    <w:rsid w:val="00886C38"/>
    <w:rsid w:val="00887537"/>
    <w:rsid w:val="00887755"/>
    <w:rsid w:val="00887986"/>
    <w:rsid w:val="00887CB2"/>
    <w:rsid w:val="00890197"/>
    <w:rsid w:val="00890813"/>
    <w:rsid w:val="008909CF"/>
    <w:rsid w:val="00890CE7"/>
    <w:rsid w:val="0089103D"/>
    <w:rsid w:val="0089120A"/>
    <w:rsid w:val="00891536"/>
    <w:rsid w:val="00891FEA"/>
    <w:rsid w:val="00892075"/>
    <w:rsid w:val="00892225"/>
    <w:rsid w:val="00892A2F"/>
    <w:rsid w:val="00892F63"/>
    <w:rsid w:val="0089377A"/>
    <w:rsid w:val="008941ED"/>
    <w:rsid w:val="008948F0"/>
    <w:rsid w:val="00894C0D"/>
    <w:rsid w:val="00894CDD"/>
    <w:rsid w:val="0089539A"/>
    <w:rsid w:val="008955F2"/>
    <w:rsid w:val="00896889"/>
    <w:rsid w:val="00897140"/>
    <w:rsid w:val="00897DF0"/>
    <w:rsid w:val="008A1034"/>
    <w:rsid w:val="008A1766"/>
    <w:rsid w:val="008A1C4A"/>
    <w:rsid w:val="008A22CB"/>
    <w:rsid w:val="008A23C9"/>
    <w:rsid w:val="008A291E"/>
    <w:rsid w:val="008A2B23"/>
    <w:rsid w:val="008A2B57"/>
    <w:rsid w:val="008A31EF"/>
    <w:rsid w:val="008A32D8"/>
    <w:rsid w:val="008A3DA6"/>
    <w:rsid w:val="008A4FA9"/>
    <w:rsid w:val="008A50A8"/>
    <w:rsid w:val="008A51FB"/>
    <w:rsid w:val="008A58A7"/>
    <w:rsid w:val="008A5A4F"/>
    <w:rsid w:val="008A5B27"/>
    <w:rsid w:val="008A5D2C"/>
    <w:rsid w:val="008A5D81"/>
    <w:rsid w:val="008A5F35"/>
    <w:rsid w:val="008A5F83"/>
    <w:rsid w:val="008A60B7"/>
    <w:rsid w:val="008A62A5"/>
    <w:rsid w:val="008A6B00"/>
    <w:rsid w:val="008A706A"/>
    <w:rsid w:val="008A74A3"/>
    <w:rsid w:val="008A79B3"/>
    <w:rsid w:val="008A7F11"/>
    <w:rsid w:val="008B1018"/>
    <w:rsid w:val="008B138B"/>
    <w:rsid w:val="008B2CE2"/>
    <w:rsid w:val="008B2E10"/>
    <w:rsid w:val="008B35EE"/>
    <w:rsid w:val="008B3C46"/>
    <w:rsid w:val="008B3D1A"/>
    <w:rsid w:val="008B3E7C"/>
    <w:rsid w:val="008B4033"/>
    <w:rsid w:val="008B405B"/>
    <w:rsid w:val="008B44E8"/>
    <w:rsid w:val="008B49E0"/>
    <w:rsid w:val="008B556D"/>
    <w:rsid w:val="008B5706"/>
    <w:rsid w:val="008B5989"/>
    <w:rsid w:val="008B67A2"/>
    <w:rsid w:val="008B7174"/>
    <w:rsid w:val="008B7A46"/>
    <w:rsid w:val="008B7C70"/>
    <w:rsid w:val="008B7E3C"/>
    <w:rsid w:val="008C01D4"/>
    <w:rsid w:val="008C05F1"/>
    <w:rsid w:val="008C06D6"/>
    <w:rsid w:val="008C0942"/>
    <w:rsid w:val="008C0B85"/>
    <w:rsid w:val="008C0D7E"/>
    <w:rsid w:val="008C1618"/>
    <w:rsid w:val="008C18F6"/>
    <w:rsid w:val="008C197F"/>
    <w:rsid w:val="008C2045"/>
    <w:rsid w:val="008C2C7D"/>
    <w:rsid w:val="008C33F8"/>
    <w:rsid w:val="008C3A39"/>
    <w:rsid w:val="008C3E35"/>
    <w:rsid w:val="008C4438"/>
    <w:rsid w:val="008C4483"/>
    <w:rsid w:val="008C468E"/>
    <w:rsid w:val="008C4B30"/>
    <w:rsid w:val="008C4E2F"/>
    <w:rsid w:val="008C539D"/>
    <w:rsid w:val="008C61EF"/>
    <w:rsid w:val="008C6271"/>
    <w:rsid w:val="008C6FBE"/>
    <w:rsid w:val="008C7211"/>
    <w:rsid w:val="008D0065"/>
    <w:rsid w:val="008D0300"/>
    <w:rsid w:val="008D058A"/>
    <w:rsid w:val="008D07F4"/>
    <w:rsid w:val="008D0D6A"/>
    <w:rsid w:val="008D125C"/>
    <w:rsid w:val="008D2884"/>
    <w:rsid w:val="008D2E17"/>
    <w:rsid w:val="008D30B8"/>
    <w:rsid w:val="008D3551"/>
    <w:rsid w:val="008D460A"/>
    <w:rsid w:val="008D4FC6"/>
    <w:rsid w:val="008D5990"/>
    <w:rsid w:val="008D6D6B"/>
    <w:rsid w:val="008D754A"/>
    <w:rsid w:val="008D79B2"/>
    <w:rsid w:val="008D7D3C"/>
    <w:rsid w:val="008D7D48"/>
    <w:rsid w:val="008D7ED0"/>
    <w:rsid w:val="008E05D9"/>
    <w:rsid w:val="008E0BBF"/>
    <w:rsid w:val="008E2972"/>
    <w:rsid w:val="008E30E9"/>
    <w:rsid w:val="008E3131"/>
    <w:rsid w:val="008E37A3"/>
    <w:rsid w:val="008E3D37"/>
    <w:rsid w:val="008E46C1"/>
    <w:rsid w:val="008E4DF8"/>
    <w:rsid w:val="008E51AD"/>
    <w:rsid w:val="008E5637"/>
    <w:rsid w:val="008E5F42"/>
    <w:rsid w:val="008E5F44"/>
    <w:rsid w:val="008E623A"/>
    <w:rsid w:val="008E6DDC"/>
    <w:rsid w:val="008E7D72"/>
    <w:rsid w:val="008F0495"/>
    <w:rsid w:val="008F1686"/>
    <w:rsid w:val="008F16E8"/>
    <w:rsid w:val="008F18D1"/>
    <w:rsid w:val="008F2286"/>
    <w:rsid w:val="008F3077"/>
    <w:rsid w:val="008F44D2"/>
    <w:rsid w:val="008F47D4"/>
    <w:rsid w:val="008F4C5E"/>
    <w:rsid w:val="008F4D40"/>
    <w:rsid w:val="008F4DD5"/>
    <w:rsid w:val="008F4FEE"/>
    <w:rsid w:val="008F5106"/>
    <w:rsid w:val="008F5B95"/>
    <w:rsid w:val="008F63A5"/>
    <w:rsid w:val="008F6644"/>
    <w:rsid w:val="008F68DF"/>
    <w:rsid w:val="008F77A0"/>
    <w:rsid w:val="008F7C16"/>
    <w:rsid w:val="008F7D5C"/>
    <w:rsid w:val="008F7DB1"/>
    <w:rsid w:val="00900122"/>
    <w:rsid w:val="00900728"/>
    <w:rsid w:val="00900D8D"/>
    <w:rsid w:val="00900FDD"/>
    <w:rsid w:val="0090153A"/>
    <w:rsid w:val="00901E5D"/>
    <w:rsid w:val="00902737"/>
    <w:rsid w:val="0090274A"/>
    <w:rsid w:val="00902768"/>
    <w:rsid w:val="009034A7"/>
    <w:rsid w:val="00903987"/>
    <w:rsid w:val="00903C11"/>
    <w:rsid w:val="00904115"/>
    <w:rsid w:val="00904444"/>
    <w:rsid w:val="00904742"/>
    <w:rsid w:val="00905154"/>
    <w:rsid w:val="00905286"/>
    <w:rsid w:val="00905294"/>
    <w:rsid w:val="00905B4C"/>
    <w:rsid w:val="00906E4E"/>
    <w:rsid w:val="00907ED9"/>
    <w:rsid w:val="00907F3E"/>
    <w:rsid w:val="009100C5"/>
    <w:rsid w:val="0091143E"/>
    <w:rsid w:val="009114C1"/>
    <w:rsid w:val="00911982"/>
    <w:rsid w:val="00912891"/>
    <w:rsid w:val="00913290"/>
    <w:rsid w:val="00913FE4"/>
    <w:rsid w:val="0091454F"/>
    <w:rsid w:val="009149B1"/>
    <w:rsid w:val="00914DAD"/>
    <w:rsid w:val="0091567A"/>
    <w:rsid w:val="0091571C"/>
    <w:rsid w:val="009167E9"/>
    <w:rsid w:val="00916D09"/>
    <w:rsid w:val="00917441"/>
    <w:rsid w:val="00917D9B"/>
    <w:rsid w:val="0092081A"/>
    <w:rsid w:val="00920D44"/>
    <w:rsid w:val="0092110D"/>
    <w:rsid w:val="009211DA"/>
    <w:rsid w:val="00921296"/>
    <w:rsid w:val="00921E60"/>
    <w:rsid w:val="00923832"/>
    <w:rsid w:val="00923AF9"/>
    <w:rsid w:val="00923F1E"/>
    <w:rsid w:val="00924047"/>
    <w:rsid w:val="00924A5F"/>
    <w:rsid w:val="00924F91"/>
    <w:rsid w:val="009252B6"/>
    <w:rsid w:val="0092548C"/>
    <w:rsid w:val="00925702"/>
    <w:rsid w:val="00925828"/>
    <w:rsid w:val="00925835"/>
    <w:rsid w:val="00925BCB"/>
    <w:rsid w:val="00925FCB"/>
    <w:rsid w:val="0092633C"/>
    <w:rsid w:val="00926D1F"/>
    <w:rsid w:val="00926EFD"/>
    <w:rsid w:val="009272F2"/>
    <w:rsid w:val="0092739D"/>
    <w:rsid w:val="00927623"/>
    <w:rsid w:val="00930C01"/>
    <w:rsid w:val="00930CE2"/>
    <w:rsid w:val="00930E0C"/>
    <w:rsid w:val="0093106D"/>
    <w:rsid w:val="0093164E"/>
    <w:rsid w:val="009321D8"/>
    <w:rsid w:val="00932CEB"/>
    <w:rsid w:val="00932EF0"/>
    <w:rsid w:val="009338DA"/>
    <w:rsid w:val="00935239"/>
    <w:rsid w:val="0093549C"/>
    <w:rsid w:val="00935AB2"/>
    <w:rsid w:val="00935F95"/>
    <w:rsid w:val="009360DC"/>
    <w:rsid w:val="009370E0"/>
    <w:rsid w:val="00937424"/>
    <w:rsid w:val="009374C4"/>
    <w:rsid w:val="0094017B"/>
    <w:rsid w:val="00940524"/>
    <w:rsid w:val="00940987"/>
    <w:rsid w:val="0094166C"/>
    <w:rsid w:val="00941D80"/>
    <w:rsid w:val="00942A41"/>
    <w:rsid w:val="00943E7A"/>
    <w:rsid w:val="0094499D"/>
    <w:rsid w:val="00944FCA"/>
    <w:rsid w:val="0094500C"/>
    <w:rsid w:val="009453A7"/>
    <w:rsid w:val="00945654"/>
    <w:rsid w:val="009456E6"/>
    <w:rsid w:val="00945FF7"/>
    <w:rsid w:val="0094628E"/>
    <w:rsid w:val="0094687F"/>
    <w:rsid w:val="00946942"/>
    <w:rsid w:val="009469BE"/>
    <w:rsid w:val="009478EB"/>
    <w:rsid w:val="00950073"/>
    <w:rsid w:val="009502BE"/>
    <w:rsid w:val="0095041F"/>
    <w:rsid w:val="00950C34"/>
    <w:rsid w:val="00951426"/>
    <w:rsid w:val="00951A06"/>
    <w:rsid w:val="00951ABF"/>
    <w:rsid w:val="00951FD0"/>
    <w:rsid w:val="009526CD"/>
    <w:rsid w:val="00952A84"/>
    <w:rsid w:val="009532E2"/>
    <w:rsid w:val="009535B1"/>
    <w:rsid w:val="00953609"/>
    <w:rsid w:val="00953A07"/>
    <w:rsid w:val="00954291"/>
    <w:rsid w:val="00954666"/>
    <w:rsid w:val="00954BC9"/>
    <w:rsid w:val="00955248"/>
    <w:rsid w:val="009552A0"/>
    <w:rsid w:val="009560E5"/>
    <w:rsid w:val="009566C0"/>
    <w:rsid w:val="009573D1"/>
    <w:rsid w:val="0096054A"/>
    <w:rsid w:val="00960BA7"/>
    <w:rsid w:val="0096276D"/>
    <w:rsid w:val="0096284C"/>
    <w:rsid w:val="00963154"/>
    <w:rsid w:val="00963189"/>
    <w:rsid w:val="009638DA"/>
    <w:rsid w:val="0096513A"/>
    <w:rsid w:val="00965501"/>
    <w:rsid w:val="00965C22"/>
    <w:rsid w:val="009662ED"/>
    <w:rsid w:val="009667AC"/>
    <w:rsid w:val="009667CE"/>
    <w:rsid w:val="00966881"/>
    <w:rsid w:val="009668A1"/>
    <w:rsid w:val="00967376"/>
    <w:rsid w:val="009678CE"/>
    <w:rsid w:val="00967BAB"/>
    <w:rsid w:val="00967CB3"/>
    <w:rsid w:val="00970704"/>
    <w:rsid w:val="00970947"/>
    <w:rsid w:val="00970AEA"/>
    <w:rsid w:val="00971507"/>
    <w:rsid w:val="009716A9"/>
    <w:rsid w:val="00971851"/>
    <w:rsid w:val="009718BD"/>
    <w:rsid w:val="00971A95"/>
    <w:rsid w:val="00971D46"/>
    <w:rsid w:val="00972C0C"/>
    <w:rsid w:val="00972E6E"/>
    <w:rsid w:val="00973161"/>
    <w:rsid w:val="00973523"/>
    <w:rsid w:val="00974621"/>
    <w:rsid w:val="00974CC9"/>
    <w:rsid w:val="0097507B"/>
    <w:rsid w:val="0097513C"/>
    <w:rsid w:val="0097532E"/>
    <w:rsid w:val="009755DB"/>
    <w:rsid w:val="00975994"/>
    <w:rsid w:val="00976143"/>
    <w:rsid w:val="0097695C"/>
    <w:rsid w:val="00976A46"/>
    <w:rsid w:val="0097755E"/>
    <w:rsid w:val="0097779F"/>
    <w:rsid w:val="00977843"/>
    <w:rsid w:val="009778DE"/>
    <w:rsid w:val="00977C67"/>
    <w:rsid w:val="009805F0"/>
    <w:rsid w:val="00980848"/>
    <w:rsid w:val="00980A06"/>
    <w:rsid w:val="00980CC8"/>
    <w:rsid w:val="00981128"/>
    <w:rsid w:val="009811CC"/>
    <w:rsid w:val="00981E81"/>
    <w:rsid w:val="009822E3"/>
    <w:rsid w:val="00983069"/>
    <w:rsid w:val="0098315D"/>
    <w:rsid w:val="00985126"/>
    <w:rsid w:val="00985413"/>
    <w:rsid w:val="00985673"/>
    <w:rsid w:val="009859BB"/>
    <w:rsid w:val="009859CB"/>
    <w:rsid w:val="00985D15"/>
    <w:rsid w:val="00985E2D"/>
    <w:rsid w:val="009864F8"/>
    <w:rsid w:val="00986BAF"/>
    <w:rsid w:val="0098733F"/>
    <w:rsid w:val="009879E6"/>
    <w:rsid w:val="00987FCF"/>
    <w:rsid w:val="009904BB"/>
    <w:rsid w:val="0099121E"/>
    <w:rsid w:val="009912A7"/>
    <w:rsid w:val="00991333"/>
    <w:rsid w:val="00991B8E"/>
    <w:rsid w:val="00991F05"/>
    <w:rsid w:val="00992FF7"/>
    <w:rsid w:val="009932FC"/>
    <w:rsid w:val="009945C1"/>
    <w:rsid w:val="00994872"/>
    <w:rsid w:val="00995698"/>
    <w:rsid w:val="00995A87"/>
    <w:rsid w:val="0099619A"/>
    <w:rsid w:val="00996393"/>
    <w:rsid w:val="00997045"/>
    <w:rsid w:val="00997288"/>
    <w:rsid w:val="00997B22"/>
    <w:rsid w:val="00997B9E"/>
    <w:rsid w:val="009A024D"/>
    <w:rsid w:val="009A02D2"/>
    <w:rsid w:val="009A03BB"/>
    <w:rsid w:val="009A0810"/>
    <w:rsid w:val="009A0975"/>
    <w:rsid w:val="009A11A6"/>
    <w:rsid w:val="009A11FE"/>
    <w:rsid w:val="009A1566"/>
    <w:rsid w:val="009A1F51"/>
    <w:rsid w:val="009A2222"/>
    <w:rsid w:val="009A244C"/>
    <w:rsid w:val="009A33D5"/>
    <w:rsid w:val="009A4750"/>
    <w:rsid w:val="009A504B"/>
    <w:rsid w:val="009A52E8"/>
    <w:rsid w:val="009A5B2B"/>
    <w:rsid w:val="009A6151"/>
    <w:rsid w:val="009A672D"/>
    <w:rsid w:val="009A7112"/>
    <w:rsid w:val="009A7AC5"/>
    <w:rsid w:val="009A7F48"/>
    <w:rsid w:val="009B0304"/>
    <w:rsid w:val="009B0470"/>
    <w:rsid w:val="009B0F66"/>
    <w:rsid w:val="009B0FEA"/>
    <w:rsid w:val="009B17E9"/>
    <w:rsid w:val="009B18E3"/>
    <w:rsid w:val="009B19BD"/>
    <w:rsid w:val="009B29D4"/>
    <w:rsid w:val="009B2A7A"/>
    <w:rsid w:val="009B2F8B"/>
    <w:rsid w:val="009B3570"/>
    <w:rsid w:val="009B35B6"/>
    <w:rsid w:val="009B3672"/>
    <w:rsid w:val="009B36C2"/>
    <w:rsid w:val="009B3B12"/>
    <w:rsid w:val="009B3E12"/>
    <w:rsid w:val="009B4DBC"/>
    <w:rsid w:val="009B4E77"/>
    <w:rsid w:val="009B50B9"/>
    <w:rsid w:val="009B56EA"/>
    <w:rsid w:val="009B60D5"/>
    <w:rsid w:val="009B63C1"/>
    <w:rsid w:val="009B6861"/>
    <w:rsid w:val="009B69FD"/>
    <w:rsid w:val="009B72EC"/>
    <w:rsid w:val="009B7364"/>
    <w:rsid w:val="009C01A1"/>
    <w:rsid w:val="009C01CE"/>
    <w:rsid w:val="009C0A5E"/>
    <w:rsid w:val="009C0CBB"/>
    <w:rsid w:val="009C0CC5"/>
    <w:rsid w:val="009C1609"/>
    <w:rsid w:val="009C245A"/>
    <w:rsid w:val="009C2BAE"/>
    <w:rsid w:val="009C3B05"/>
    <w:rsid w:val="009C4999"/>
    <w:rsid w:val="009C4F67"/>
    <w:rsid w:val="009C516E"/>
    <w:rsid w:val="009C597F"/>
    <w:rsid w:val="009C5E71"/>
    <w:rsid w:val="009C6887"/>
    <w:rsid w:val="009C69CB"/>
    <w:rsid w:val="009C6A91"/>
    <w:rsid w:val="009C7DC6"/>
    <w:rsid w:val="009D0C73"/>
    <w:rsid w:val="009D12CA"/>
    <w:rsid w:val="009D15B4"/>
    <w:rsid w:val="009D1712"/>
    <w:rsid w:val="009D1E6E"/>
    <w:rsid w:val="009D2C1B"/>
    <w:rsid w:val="009D2DE6"/>
    <w:rsid w:val="009D3336"/>
    <w:rsid w:val="009D48A1"/>
    <w:rsid w:val="009D48CE"/>
    <w:rsid w:val="009D4FCF"/>
    <w:rsid w:val="009D55BB"/>
    <w:rsid w:val="009D642C"/>
    <w:rsid w:val="009E08F7"/>
    <w:rsid w:val="009E14B3"/>
    <w:rsid w:val="009E1EAE"/>
    <w:rsid w:val="009E3917"/>
    <w:rsid w:val="009E3F80"/>
    <w:rsid w:val="009E3FF6"/>
    <w:rsid w:val="009E426D"/>
    <w:rsid w:val="009E4C62"/>
    <w:rsid w:val="009E53EF"/>
    <w:rsid w:val="009E5971"/>
    <w:rsid w:val="009E5CFD"/>
    <w:rsid w:val="009E5D87"/>
    <w:rsid w:val="009E652E"/>
    <w:rsid w:val="009E71B1"/>
    <w:rsid w:val="009F0321"/>
    <w:rsid w:val="009F03CB"/>
    <w:rsid w:val="009F05C7"/>
    <w:rsid w:val="009F10FC"/>
    <w:rsid w:val="009F1791"/>
    <w:rsid w:val="009F2DC0"/>
    <w:rsid w:val="009F307D"/>
    <w:rsid w:val="009F356D"/>
    <w:rsid w:val="009F37C0"/>
    <w:rsid w:val="009F4842"/>
    <w:rsid w:val="009F5013"/>
    <w:rsid w:val="009F5221"/>
    <w:rsid w:val="009F5577"/>
    <w:rsid w:val="009F570D"/>
    <w:rsid w:val="009F5973"/>
    <w:rsid w:val="009F5AA3"/>
    <w:rsid w:val="009F711F"/>
    <w:rsid w:val="009F7A5B"/>
    <w:rsid w:val="00A00332"/>
    <w:rsid w:val="00A00651"/>
    <w:rsid w:val="00A00E99"/>
    <w:rsid w:val="00A020B4"/>
    <w:rsid w:val="00A02216"/>
    <w:rsid w:val="00A029C4"/>
    <w:rsid w:val="00A0380E"/>
    <w:rsid w:val="00A04771"/>
    <w:rsid w:val="00A05089"/>
    <w:rsid w:val="00A05196"/>
    <w:rsid w:val="00A056F5"/>
    <w:rsid w:val="00A06458"/>
    <w:rsid w:val="00A0673C"/>
    <w:rsid w:val="00A06776"/>
    <w:rsid w:val="00A06E07"/>
    <w:rsid w:val="00A07959"/>
    <w:rsid w:val="00A11402"/>
    <w:rsid w:val="00A115BA"/>
    <w:rsid w:val="00A11A9E"/>
    <w:rsid w:val="00A124A6"/>
    <w:rsid w:val="00A124BC"/>
    <w:rsid w:val="00A13877"/>
    <w:rsid w:val="00A13BBF"/>
    <w:rsid w:val="00A14003"/>
    <w:rsid w:val="00A15161"/>
    <w:rsid w:val="00A1689C"/>
    <w:rsid w:val="00A176E8"/>
    <w:rsid w:val="00A17F4D"/>
    <w:rsid w:val="00A20459"/>
    <w:rsid w:val="00A20AB9"/>
    <w:rsid w:val="00A21507"/>
    <w:rsid w:val="00A23355"/>
    <w:rsid w:val="00A25153"/>
    <w:rsid w:val="00A251D9"/>
    <w:rsid w:val="00A25488"/>
    <w:rsid w:val="00A25BEF"/>
    <w:rsid w:val="00A25DEB"/>
    <w:rsid w:val="00A2622E"/>
    <w:rsid w:val="00A26B99"/>
    <w:rsid w:val="00A273B9"/>
    <w:rsid w:val="00A27D54"/>
    <w:rsid w:val="00A30A51"/>
    <w:rsid w:val="00A30E2C"/>
    <w:rsid w:val="00A30E77"/>
    <w:rsid w:val="00A30FB4"/>
    <w:rsid w:val="00A3188A"/>
    <w:rsid w:val="00A31CF0"/>
    <w:rsid w:val="00A31FE6"/>
    <w:rsid w:val="00A320D2"/>
    <w:rsid w:val="00A32912"/>
    <w:rsid w:val="00A329A2"/>
    <w:rsid w:val="00A32FF8"/>
    <w:rsid w:val="00A330DD"/>
    <w:rsid w:val="00A34277"/>
    <w:rsid w:val="00A347A7"/>
    <w:rsid w:val="00A35615"/>
    <w:rsid w:val="00A35D32"/>
    <w:rsid w:val="00A35E0F"/>
    <w:rsid w:val="00A3643F"/>
    <w:rsid w:val="00A36A11"/>
    <w:rsid w:val="00A36A61"/>
    <w:rsid w:val="00A36AC5"/>
    <w:rsid w:val="00A36B74"/>
    <w:rsid w:val="00A37D6B"/>
    <w:rsid w:val="00A40E9F"/>
    <w:rsid w:val="00A415A9"/>
    <w:rsid w:val="00A41A4F"/>
    <w:rsid w:val="00A41C0C"/>
    <w:rsid w:val="00A41C49"/>
    <w:rsid w:val="00A42E58"/>
    <w:rsid w:val="00A42F0C"/>
    <w:rsid w:val="00A43B03"/>
    <w:rsid w:val="00A4406D"/>
    <w:rsid w:val="00A4444F"/>
    <w:rsid w:val="00A448EC"/>
    <w:rsid w:val="00A45056"/>
    <w:rsid w:val="00A456B8"/>
    <w:rsid w:val="00A459C5"/>
    <w:rsid w:val="00A45B76"/>
    <w:rsid w:val="00A45CBB"/>
    <w:rsid w:val="00A461FD"/>
    <w:rsid w:val="00A463F7"/>
    <w:rsid w:val="00A46752"/>
    <w:rsid w:val="00A469C4"/>
    <w:rsid w:val="00A47167"/>
    <w:rsid w:val="00A47BD5"/>
    <w:rsid w:val="00A47D05"/>
    <w:rsid w:val="00A47FE5"/>
    <w:rsid w:val="00A50E75"/>
    <w:rsid w:val="00A50FE0"/>
    <w:rsid w:val="00A51643"/>
    <w:rsid w:val="00A5174B"/>
    <w:rsid w:val="00A51ABC"/>
    <w:rsid w:val="00A51F6F"/>
    <w:rsid w:val="00A52640"/>
    <w:rsid w:val="00A5373D"/>
    <w:rsid w:val="00A53C80"/>
    <w:rsid w:val="00A548B9"/>
    <w:rsid w:val="00A54F2E"/>
    <w:rsid w:val="00A55A36"/>
    <w:rsid w:val="00A55AAD"/>
    <w:rsid w:val="00A5677B"/>
    <w:rsid w:val="00A567DC"/>
    <w:rsid w:val="00A5727B"/>
    <w:rsid w:val="00A5765D"/>
    <w:rsid w:val="00A57E80"/>
    <w:rsid w:val="00A602E9"/>
    <w:rsid w:val="00A611F1"/>
    <w:rsid w:val="00A617B7"/>
    <w:rsid w:val="00A61982"/>
    <w:rsid w:val="00A61BF2"/>
    <w:rsid w:val="00A623C2"/>
    <w:rsid w:val="00A62920"/>
    <w:rsid w:val="00A629CC"/>
    <w:rsid w:val="00A62C8B"/>
    <w:rsid w:val="00A62FC2"/>
    <w:rsid w:val="00A6349A"/>
    <w:rsid w:val="00A64D19"/>
    <w:rsid w:val="00A64FDE"/>
    <w:rsid w:val="00A66C92"/>
    <w:rsid w:val="00A67257"/>
    <w:rsid w:val="00A67AA9"/>
    <w:rsid w:val="00A67B23"/>
    <w:rsid w:val="00A70E1A"/>
    <w:rsid w:val="00A70F08"/>
    <w:rsid w:val="00A70F2D"/>
    <w:rsid w:val="00A711AD"/>
    <w:rsid w:val="00A7120C"/>
    <w:rsid w:val="00A71FD1"/>
    <w:rsid w:val="00A720EF"/>
    <w:rsid w:val="00A722C5"/>
    <w:rsid w:val="00A723CF"/>
    <w:rsid w:val="00A724AF"/>
    <w:rsid w:val="00A730FE"/>
    <w:rsid w:val="00A7326B"/>
    <w:rsid w:val="00A739D1"/>
    <w:rsid w:val="00A745F7"/>
    <w:rsid w:val="00A7463A"/>
    <w:rsid w:val="00A74890"/>
    <w:rsid w:val="00A74A64"/>
    <w:rsid w:val="00A74B3E"/>
    <w:rsid w:val="00A74CAB"/>
    <w:rsid w:val="00A75000"/>
    <w:rsid w:val="00A75483"/>
    <w:rsid w:val="00A75A1E"/>
    <w:rsid w:val="00A77532"/>
    <w:rsid w:val="00A778CF"/>
    <w:rsid w:val="00A77CB9"/>
    <w:rsid w:val="00A77E52"/>
    <w:rsid w:val="00A80B3A"/>
    <w:rsid w:val="00A810B0"/>
    <w:rsid w:val="00A81830"/>
    <w:rsid w:val="00A8198C"/>
    <w:rsid w:val="00A8219B"/>
    <w:rsid w:val="00A82D78"/>
    <w:rsid w:val="00A8300F"/>
    <w:rsid w:val="00A83608"/>
    <w:rsid w:val="00A83849"/>
    <w:rsid w:val="00A83E68"/>
    <w:rsid w:val="00A841C7"/>
    <w:rsid w:val="00A8690E"/>
    <w:rsid w:val="00A871D1"/>
    <w:rsid w:val="00A87CE4"/>
    <w:rsid w:val="00A87DA0"/>
    <w:rsid w:val="00A90607"/>
    <w:rsid w:val="00A90FF6"/>
    <w:rsid w:val="00A914CD"/>
    <w:rsid w:val="00A91F58"/>
    <w:rsid w:val="00A921A6"/>
    <w:rsid w:val="00A92696"/>
    <w:rsid w:val="00A928AD"/>
    <w:rsid w:val="00A92EF7"/>
    <w:rsid w:val="00A93095"/>
    <w:rsid w:val="00A93376"/>
    <w:rsid w:val="00A93AD2"/>
    <w:rsid w:val="00A93BE9"/>
    <w:rsid w:val="00A93EFE"/>
    <w:rsid w:val="00A94108"/>
    <w:rsid w:val="00A9464E"/>
    <w:rsid w:val="00A94D29"/>
    <w:rsid w:val="00A95CCF"/>
    <w:rsid w:val="00A963F3"/>
    <w:rsid w:val="00A9678F"/>
    <w:rsid w:val="00A96B32"/>
    <w:rsid w:val="00A96F44"/>
    <w:rsid w:val="00A9748E"/>
    <w:rsid w:val="00A979EA"/>
    <w:rsid w:val="00A97BF1"/>
    <w:rsid w:val="00A97C1D"/>
    <w:rsid w:val="00AA01C6"/>
    <w:rsid w:val="00AA0218"/>
    <w:rsid w:val="00AA03E8"/>
    <w:rsid w:val="00AA0ADB"/>
    <w:rsid w:val="00AA11E6"/>
    <w:rsid w:val="00AA27CC"/>
    <w:rsid w:val="00AA29A0"/>
    <w:rsid w:val="00AA2BEE"/>
    <w:rsid w:val="00AA3737"/>
    <w:rsid w:val="00AA38AF"/>
    <w:rsid w:val="00AA3DB3"/>
    <w:rsid w:val="00AA443B"/>
    <w:rsid w:val="00AA4CC2"/>
    <w:rsid w:val="00AA4D80"/>
    <w:rsid w:val="00AA5B54"/>
    <w:rsid w:val="00AA5D28"/>
    <w:rsid w:val="00AA661A"/>
    <w:rsid w:val="00AA67AD"/>
    <w:rsid w:val="00AA6B15"/>
    <w:rsid w:val="00AA6F43"/>
    <w:rsid w:val="00AA74D0"/>
    <w:rsid w:val="00AA7864"/>
    <w:rsid w:val="00AA78B7"/>
    <w:rsid w:val="00AA78FE"/>
    <w:rsid w:val="00AA7989"/>
    <w:rsid w:val="00AA79DE"/>
    <w:rsid w:val="00AA7ACA"/>
    <w:rsid w:val="00AA7B00"/>
    <w:rsid w:val="00AB01D8"/>
    <w:rsid w:val="00AB0779"/>
    <w:rsid w:val="00AB21D0"/>
    <w:rsid w:val="00AB21DC"/>
    <w:rsid w:val="00AB2549"/>
    <w:rsid w:val="00AB2938"/>
    <w:rsid w:val="00AB2AE1"/>
    <w:rsid w:val="00AB2AE2"/>
    <w:rsid w:val="00AB2AEB"/>
    <w:rsid w:val="00AB2BE1"/>
    <w:rsid w:val="00AB2E22"/>
    <w:rsid w:val="00AB3736"/>
    <w:rsid w:val="00AB48D3"/>
    <w:rsid w:val="00AB546C"/>
    <w:rsid w:val="00AB5CB6"/>
    <w:rsid w:val="00AB5D11"/>
    <w:rsid w:val="00AB5F02"/>
    <w:rsid w:val="00AB62CD"/>
    <w:rsid w:val="00AB6310"/>
    <w:rsid w:val="00AB64DB"/>
    <w:rsid w:val="00AB677E"/>
    <w:rsid w:val="00AB7280"/>
    <w:rsid w:val="00AB72A0"/>
    <w:rsid w:val="00AB745F"/>
    <w:rsid w:val="00AB752D"/>
    <w:rsid w:val="00AB7C07"/>
    <w:rsid w:val="00AB7EDB"/>
    <w:rsid w:val="00AC02D7"/>
    <w:rsid w:val="00AC1CD2"/>
    <w:rsid w:val="00AC4AE9"/>
    <w:rsid w:val="00AC515D"/>
    <w:rsid w:val="00AC5D23"/>
    <w:rsid w:val="00AC5E82"/>
    <w:rsid w:val="00AC68DC"/>
    <w:rsid w:val="00AC79F6"/>
    <w:rsid w:val="00AC7BD5"/>
    <w:rsid w:val="00AC7D17"/>
    <w:rsid w:val="00AD04A9"/>
    <w:rsid w:val="00AD04B2"/>
    <w:rsid w:val="00AD0EE8"/>
    <w:rsid w:val="00AD10ED"/>
    <w:rsid w:val="00AD2032"/>
    <w:rsid w:val="00AD234A"/>
    <w:rsid w:val="00AD2744"/>
    <w:rsid w:val="00AD2CDA"/>
    <w:rsid w:val="00AD3A0E"/>
    <w:rsid w:val="00AD3B91"/>
    <w:rsid w:val="00AD3EB9"/>
    <w:rsid w:val="00AD41FD"/>
    <w:rsid w:val="00AD490E"/>
    <w:rsid w:val="00AD4C01"/>
    <w:rsid w:val="00AD4C63"/>
    <w:rsid w:val="00AD4D8E"/>
    <w:rsid w:val="00AD4DFC"/>
    <w:rsid w:val="00AD4F69"/>
    <w:rsid w:val="00AD50C1"/>
    <w:rsid w:val="00AD53F8"/>
    <w:rsid w:val="00AD5C06"/>
    <w:rsid w:val="00AD704E"/>
    <w:rsid w:val="00AD7AB9"/>
    <w:rsid w:val="00AD7EDD"/>
    <w:rsid w:val="00AE05DC"/>
    <w:rsid w:val="00AE080A"/>
    <w:rsid w:val="00AE0CA9"/>
    <w:rsid w:val="00AE0F20"/>
    <w:rsid w:val="00AE0F63"/>
    <w:rsid w:val="00AE1635"/>
    <w:rsid w:val="00AE1BE8"/>
    <w:rsid w:val="00AE1F16"/>
    <w:rsid w:val="00AE24B0"/>
    <w:rsid w:val="00AE2A1A"/>
    <w:rsid w:val="00AE34D3"/>
    <w:rsid w:val="00AE4117"/>
    <w:rsid w:val="00AE47B2"/>
    <w:rsid w:val="00AE4AD5"/>
    <w:rsid w:val="00AE5BC6"/>
    <w:rsid w:val="00AE6101"/>
    <w:rsid w:val="00AE61F7"/>
    <w:rsid w:val="00AE684E"/>
    <w:rsid w:val="00AE69C3"/>
    <w:rsid w:val="00AE6A3C"/>
    <w:rsid w:val="00AE6AA0"/>
    <w:rsid w:val="00AE70F8"/>
    <w:rsid w:val="00AE7976"/>
    <w:rsid w:val="00AE7C51"/>
    <w:rsid w:val="00AE7DFD"/>
    <w:rsid w:val="00AF0D6B"/>
    <w:rsid w:val="00AF1836"/>
    <w:rsid w:val="00AF1A9F"/>
    <w:rsid w:val="00AF1AEE"/>
    <w:rsid w:val="00AF1CAC"/>
    <w:rsid w:val="00AF1ECE"/>
    <w:rsid w:val="00AF2F03"/>
    <w:rsid w:val="00AF3318"/>
    <w:rsid w:val="00AF361D"/>
    <w:rsid w:val="00AF3FD8"/>
    <w:rsid w:val="00AF41C4"/>
    <w:rsid w:val="00AF4B52"/>
    <w:rsid w:val="00AF4CDE"/>
    <w:rsid w:val="00AF4DFA"/>
    <w:rsid w:val="00AF5D30"/>
    <w:rsid w:val="00AF61B5"/>
    <w:rsid w:val="00AF648F"/>
    <w:rsid w:val="00AF68BD"/>
    <w:rsid w:val="00AF6C9B"/>
    <w:rsid w:val="00AF6DD6"/>
    <w:rsid w:val="00AF705B"/>
    <w:rsid w:val="00AF7E37"/>
    <w:rsid w:val="00B0028F"/>
    <w:rsid w:val="00B0076F"/>
    <w:rsid w:val="00B00C8F"/>
    <w:rsid w:val="00B00DF2"/>
    <w:rsid w:val="00B00E83"/>
    <w:rsid w:val="00B0176F"/>
    <w:rsid w:val="00B01775"/>
    <w:rsid w:val="00B01B8D"/>
    <w:rsid w:val="00B0211E"/>
    <w:rsid w:val="00B021C5"/>
    <w:rsid w:val="00B024FF"/>
    <w:rsid w:val="00B0359D"/>
    <w:rsid w:val="00B039FE"/>
    <w:rsid w:val="00B03A80"/>
    <w:rsid w:val="00B03C3D"/>
    <w:rsid w:val="00B03F64"/>
    <w:rsid w:val="00B04B07"/>
    <w:rsid w:val="00B051C0"/>
    <w:rsid w:val="00B06C35"/>
    <w:rsid w:val="00B0787C"/>
    <w:rsid w:val="00B07BB9"/>
    <w:rsid w:val="00B10483"/>
    <w:rsid w:val="00B1061E"/>
    <w:rsid w:val="00B10E71"/>
    <w:rsid w:val="00B12353"/>
    <w:rsid w:val="00B12B60"/>
    <w:rsid w:val="00B12F4B"/>
    <w:rsid w:val="00B1307F"/>
    <w:rsid w:val="00B13D04"/>
    <w:rsid w:val="00B1436B"/>
    <w:rsid w:val="00B1474E"/>
    <w:rsid w:val="00B14B8F"/>
    <w:rsid w:val="00B14E60"/>
    <w:rsid w:val="00B15988"/>
    <w:rsid w:val="00B15DFA"/>
    <w:rsid w:val="00B16296"/>
    <w:rsid w:val="00B174AE"/>
    <w:rsid w:val="00B17C36"/>
    <w:rsid w:val="00B17CEA"/>
    <w:rsid w:val="00B2043E"/>
    <w:rsid w:val="00B219D7"/>
    <w:rsid w:val="00B21EA6"/>
    <w:rsid w:val="00B22090"/>
    <w:rsid w:val="00B23613"/>
    <w:rsid w:val="00B23B35"/>
    <w:rsid w:val="00B23E2B"/>
    <w:rsid w:val="00B23E7A"/>
    <w:rsid w:val="00B24017"/>
    <w:rsid w:val="00B2456C"/>
    <w:rsid w:val="00B24961"/>
    <w:rsid w:val="00B25DD1"/>
    <w:rsid w:val="00B267B6"/>
    <w:rsid w:val="00B273A6"/>
    <w:rsid w:val="00B276F7"/>
    <w:rsid w:val="00B27F05"/>
    <w:rsid w:val="00B30159"/>
    <w:rsid w:val="00B3099D"/>
    <w:rsid w:val="00B30CBF"/>
    <w:rsid w:val="00B3242E"/>
    <w:rsid w:val="00B32876"/>
    <w:rsid w:val="00B32B8C"/>
    <w:rsid w:val="00B32CF9"/>
    <w:rsid w:val="00B32D4B"/>
    <w:rsid w:val="00B32F7C"/>
    <w:rsid w:val="00B33021"/>
    <w:rsid w:val="00B3317A"/>
    <w:rsid w:val="00B33952"/>
    <w:rsid w:val="00B33ED2"/>
    <w:rsid w:val="00B34180"/>
    <w:rsid w:val="00B341EB"/>
    <w:rsid w:val="00B34230"/>
    <w:rsid w:val="00B34F3A"/>
    <w:rsid w:val="00B3525B"/>
    <w:rsid w:val="00B352A8"/>
    <w:rsid w:val="00B3532E"/>
    <w:rsid w:val="00B356EF"/>
    <w:rsid w:val="00B37B8A"/>
    <w:rsid w:val="00B40107"/>
    <w:rsid w:val="00B40332"/>
    <w:rsid w:val="00B403B5"/>
    <w:rsid w:val="00B410AF"/>
    <w:rsid w:val="00B415C4"/>
    <w:rsid w:val="00B41829"/>
    <w:rsid w:val="00B418C2"/>
    <w:rsid w:val="00B42400"/>
    <w:rsid w:val="00B424FA"/>
    <w:rsid w:val="00B43434"/>
    <w:rsid w:val="00B4381F"/>
    <w:rsid w:val="00B445B5"/>
    <w:rsid w:val="00B4500E"/>
    <w:rsid w:val="00B45836"/>
    <w:rsid w:val="00B45876"/>
    <w:rsid w:val="00B45D94"/>
    <w:rsid w:val="00B46027"/>
    <w:rsid w:val="00B4693A"/>
    <w:rsid w:val="00B475D1"/>
    <w:rsid w:val="00B47954"/>
    <w:rsid w:val="00B5008B"/>
    <w:rsid w:val="00B5059B"/>
    <w:rsid w:val="00B50696"/>
    <w:rsid w:val="00B5081A"/>
    <w:rsid w:val="00B50991"/>
    <w:rsid w:val="00B518EC"/>
    <w:rsid w:val="00B51CA8"/>
    <w:rsid w:val="00B51EFC"/>
    <w:rsid w:val="00B521D1"/>
    <w:rsid w:val="00B5298C"/>
    <w:rsid w:val="00B53E5C"/>
    <w:rsid w:val="00B53E90"/>
    <w:rsid w:val="00B5465C"/>
    <w:rsid w:val="00B5590D"/>
    <w:rsid w:val="00B566F2"/>
    <w:rsid w:val="00B56DC4"/>
    <w:rsid w:val="00B5713A"/>
    <w:rsid w:val="00B57AE6"/>
    <w:rsid w:val="00B57BE5"/>
    <w:rsid w:val="00B606AD"/>
    <w:rsid w:val="00B61212"/>
    <w:rsid w:val="00B64412"/>
    <w:rsid w:val="00B64701"/>
    <w:rsid w:val="00B64C9D"/>
    <w:rsid w:val="00B650DA"/>
    <w:rsid w:val="00B65554"/>
    <w:rsid w:val="00B65B2B"/>
    <w:rsid w:val="00B65EB6"/>
    <w:rsid w:val="00B66304"/>
    <w:rsid w:val="00B66D96"/>
    <w:rsid w:val="00B66E88"/>
    <w:rsid w:val="00B67E12"/>
    <w:rsid w:val="00B701FA"/>
    <w:rsid w:val="00B709CE"/>
    <w:rsid w:val="00B71C54"/>
    <w:rsid w:val="00B71C6D"/>
    <w:rsid w:val="00B72103"/>
    <w:rsid w:val="00B7271E"/>
    <w:rsid w:val="00B7295B"/>
    <w:rsid w:val="00B72A04"/>
    <w:rsid w:val="00B73127"/>
    <w:rsid w:val="00B736FA"/>
    <w:rsid w:val="00B73BC3"/>
    <w:rsid w:val="00B73CDC"/>
    <w:rsid w:val="00B7435C"/>
    <w:rsid w:val="00B743A1"/>
    <w:rsid w:val="00B755E7"/>
    <w:rsid w:val="00B76422"/>
    <w:rsid w:val="00B7649B"/>
    <w:rsid w:val="00B766D7"/>
    <w:rsid w:val="00B774EE"/>
    <w:rsid w:val="00B77981"/>
    <w:rsid w:val="00B77B00"/>
    <w:rsid w:val="00B80582"/>
    <w:rsid w:val="00B8178B"/>
    <w:rsid w:val="00B8185B"/>
    <w:rsid w:val="00B823E4"/>
    <w:rsid w:val="00B82D3C"/>
    <w:rsid w:val="00B82F0D"/>
    <w:rsid w:val="00B83170"/>
    <w:rsid w:val="00B83DD6"/>
    <w:rsid w:val="00B84247"/>
    <w:rsid w:val="00B849F8"/>
    <w:rsid w:val="00B84F08"/>
    <w:rsid w:val="00B850AC"/>
    <w:rsid w:val="00B85BB0"/>
    <w:rsid w:val="00B867ED"/>
    <w:rsid w:val="00B86CC9"/>
    <w:rsid w:val="00B86E41"/>
    <w:rsid w:val="00B90238"/>
    <w:rsid w:val="00B90272"/>
    <w:rsid w:val="00B90710"/>
    <w:rsid w:val="00B90A64"/>
    <w:rsid w:val="00B92E70"/>
    <w:rsid w:val="00B93C7C"/>
    <w:rsid w:val="00B93E29"/>
    <w:rsid w:val="00B943A6"/>
    <w:rsid w:val="00B943D8"/>
    <w:rsid w:val="00B94691"/>
    <w:rsid w:val="00B94EC0"/>
    <w:rsid w:val="00B954C0"/>
    <w:rsid w:val="00B96421"/>
    <w:rsid w:val="00B9724C"/>
    <w:rsid w:val="00B9724F"/>
    <w:rsid w:val="00B97541"/>
    <w:rsid w:val="00BA1091"/>
    <w:rsid w:val="00BA295B"/>
    <w:rsid w:val="00BA2B8A"/>
    <w:rsid w:val="00BA3CED"/>
    <w:rsid w:val="00BA4298"/>
    <w:rsid w:val="00BA42B1"/>
    <w:rsid w:val="00BA4BF0"/>
    <w:rsid w:val="00BA5089"/>
    <w:rsid w:val="00BA79DC"/>
    <w:rsid w:val="00BA7B02"/>
    <w:rsid w:val="00BA7D41"/>
    <w:rsid w:val="00BB03AE"/>
    <w:rsid w:val="00BB0831"/>
    <w:rsid w:val="00BB08B2"/>
    <w:rsid w:val="00BB0D89"/>
    <w:rsid w:val="00BB28A8"/>
    <w:rsid w:val="00BB2F7B"/>
    <w:rsid w:val="00BB3D10"/>
    <w:rsid w:val="00BB412E"/>
    <w:rsid w:val="00BB4735"/>
    <w:rsid w:val="00BB4CB6"/>
    <w:rsid w:val="00BB5C6E"/>
    <w:rsid w:val="00BB70C7"/>
    <w:rsid w:val="00BB713C"/>
    <w:rsid w:val="00BB75E1"/>
    <w:rsid w:val="00BC0755"/>
    <w:rsid w:val="00BC1AAD"/>
    <w:rsid w:val="00BC369B"/>
    <w:rsid w:val="00BC4253"/>
    <w:rsid w:val="00BC4875"/>
    <w:rsid w:val="00BC5120"/>
    <w:rsid w:val="00BC6089"/>
    <w:rsid w:val="00BC6F44"/>
    <w:rsid w:val="00BC74CB"/>
    <w:rsid w:val="00BC7C08"/>
    <w:rsid w:val="00BD004A"/>
    <w:rsid w:val="00BD1177"/>
    <w:rsid w:val="00BD164F"/>
    <w:rsid w:val="00BD1F11"/>
    <w:rsid w:val="00BD2360"/>
    <w:rsid w:val="00BD24E9"/>
    <w:rsid w:val="00BD2A49"/>
    <w:rsid w:val="00BD2A77"/>
    <w:rsid w:val="00BD2F2F"/>
    <w:rsid w:val="00BD35C2"/>
    <w:rsid w:val="00BD3957"/>
    <w:rsid w:val="00BD3C4C"/>
    <w:rsid w:val="00BD4CC6"/>
    <w:rsid w:val="00BD560A"/>
    <w:rsid w:val="00BD5CE8"/>
    <w:rsid w:val="00BD63E2"/>
    <w:rsid w:val="00BD6931"/>
    <w:rsid w:val="00BD7C4E"/>
    <w:rsid w:val="00BD7C7D"/>
    <w:rsid w:val="00BE0C22"/>
    <w:rsid w:val="00BE251E"/>
    <w:rsid w:val="00BE26EF"/>
    <w:rsid w:val="00BE2E00"/>
    <w:rsid w:val="00BE3367"/>
    <w:rsid w:val="00BE36C2"/>
    <w:rsid w:val="00BE3BF3"/>
    <w:rsid w:val="00BE4252"/>
    <w:rsid w:val="00BE427B"/>
    <w:rsid w:val="00BE46A7"/>
    <w:rsid w:val="00BE488B"/>
    <w:rsid w:val="00BE5046"/>
    <w:rsid w:val="00BE5F70"/>
    <w:rsid w:val="00BE603E"/>
    <w:rsid w:val="00BE685C"/>
    <w:rsid w:val="00BE7368"/>
    <w:rsid w:val="00BE7754"/>
    <w:rsid w:val="00BE7DFF"/>
    <w:rsid w:val="00BE7FAF"/>
    <w:rsid w:val="00BF0A06"/>
    <w:rsid w:val="00BF116E"/>
    <w:rsid w:val="00BF14DE"/>
    <w:rsid w:val="00BF1D67"/>
    <w:rsid w:val="00BF201B"/>
    <w:rsid w:val="00BF2F40"/>
    <w:rsid w:val="00BF338C"/>
    <w:rsid w:val="00BF44C2"/>
    <w:rsid w:val="00BF44FB"/>
    <w:rsid w:val="00BF452C"/>
    <w:rsid w:val="00BF4EFC"/>
    <w:rsid w:val="00BF54F5"/>
    <w:rsid w:val="00BF5B9A"/>
    <w:rsid w:val="00BF63D7"/>
    <w:rsid w:val="00BF6682"/>
    <w:rsid w:val="00BF69A0"/>
    <w:rsid w:val="00BF6B06"/>
    <w:rsid w:val="00BF6FC2"/>
    <w:rsid w:val="00C00353"/>
    <w:rsid w:val="00C01AE6"/>
    <w:rsid w:val="00C01B37"/>
    <w:rsid w:val="00C01C8F"/>
    <w:rsid w:val="00C02A72"/>
    <w:rsid w:val="00C02B0D"/>
    <w:rsid w:val="00C032AB"/>
    <w:rsid w:val="00C03324"/>
    <w:rsid w:val="00C039FB"/>
    <w:rsid w:val="00C03C43"/>
    <w:rsid w:val="00C04299"/>
    <w:rsid w:val="00C04444"/>
    <w:rsid w:val="00C049B2"/>
    <w:rsid w:val="00C04ADF"/>
    <w:rsid w:val="00C05228"/>
    <w:rsid w:val="00C058CD"/>
    <w:rsid w:val="00C0601D"/>
    <w:rsid w:val="00C062C3"/>
    <w:rsid w:val="00C068E0"/>
    <w:rsid w:val="00C06AB0"/>
    <w:rsid w:val="00C06E23"/>
    <w:rsid w:val="00C07FAF"/>
    <w:rsid w:val="00C10757"/>
    <w:rsid w:val="00C1091B"/>
    <w:rsid w:val="00C109BF"/>
    <w:rsid w:val="00C11393"/>
    <w:rsid w:val="00C11DF4"/>
    <w:rsid w:val="00C12B5B"/>
    <w:rsid w:val="00C12CF4"/>
    <w:rsid w:val="00C133A1"/>
    <w:rsid w:val="00C13873"/>
    <w:rsid w:val="00C13BA0"/>
    <w:rsid w:val="00C1438C"/>
    <w:rsid w:val="00C147F0"/>
    <w:rsid w:val="00C14F77"/>
    <w:rsid w:val="00C15C07"/>
    <w:rsid w:val="00C160A3"/>
    <w:rsid w:val="00C1613F"/>
    <w:rsid w:val="00C170D8"/>
    <w:rsid w:val="00C1790C"/>
    <w:rsid w:val="00C179BE"/>
    <w:rsid w:val="00C2027E"/>
    <w:rsid w:val="00C2182B"/>
    <w:rsid w:val="00C218FD"/>
    <w:rsid w:val="00C21974"/>
    <w:rsid w:val="00C21C16"/>
    <w:rsid w:val="00C21D20"/>
    <w:rsid w:val="00C21F4E"/>
    <w:rsid w:val="00C2220D"/>
    <w:rsid w:val="00C228F6"/>
    <w:rsid w:val="00C23B43"/>
    <w:rsid w:val="00C23FF7"/>
    <w:rsid w:val="00C241D6"/>
    <w:rsid w:val="00C24296"/>
    <w:rsid w:val="00C242B4"/>
    <w:rsid w:val="00C2460A"/>
    <w:rsid w:val="00C24D25"/>
    <w:rsid w:val="00C25153"/>
    <w:rsid w:val="00C2551D"/>
    <w:rsid w:val="00C2556A"/>
    <w:rsid w:val="00C259B4"/>
    <w:rsid w:val="00C26326"/>
    <w:rsid w:val="00C2674E"/>
    <w:rsid w:val="00C26853"/>
    <w:rsid w:val="00C26D26"/>
    <w:rsid w:val="00C27293"/>
    <w:rsid w:val="00C279FC"/>
    <w:rsid w:val="00C27F02"/>
    <w:rsid w:val="00C301EB"/>
    <w:rsid w:val="00C309B5"/>
    <w:rsid w:val="00C30C8A"/>
    <w:rsid w:val="00C315A7"/>
    <w:rsid w:val="00C3183B"/>
    <w:rsid w:val="00C31DCF"/>
    <w:rsid w:val="00C3244B"/>
    <w:rsid w:val="00C332CA"/>
    <w:rsid w:val="00C3342C"/>
    <w:rsid w:val="00C33915"/>
    <w:rsid w:val="00C34906"/>
    <w:rsid w:val="00C35A36"/>
    <w:rsid w:val="00C35CD6"/>
    <w:rsid w:val="00C36291"/>
    <w:rsid w:val="00C36700"/>
    <w:rsid w:val="00C36794"/>
    <w:rsid w:val="00C3690D"/>
    <w:rsid w:val="00C369AB"/>
    <w:rsid w:val="00C36BE3"/>
    <w:rsid w:val="00C36D52"/>
    <w:rsid w:val="00C37936"/>
    <w:rsid w:val="00C37A37"/>
    <w:rsid w:val="00C37F3D"/>
    <w:rsid w:val="00C4045F"/>
    <w:rsid w:val="00C4057C"/>
    <w:rsid w:val="00C40BAD"/>
    <w:rsid w:val="00C41327"/>
    <w:rsid w:val="00C427B1"/>
    <w:rsid w:val="00C42816"/>
    <w:rsid w:val="00C42A4E"/>
    <w:rsid w:val="00C42F8E"/>
    <w:rsid w:val="00C42FF8"/>
    <w:rsid w:val="00C434EA"/>
    <w:rsid w:val="00C43A98"/>
    <w:rsid w:val="00C44166"/>
    <w:rsid w:val="00C445DA"/>
    <w:rsid w:val="00C44DAB"/>
    <w:rsid w:val="00C44FB5"/>
    <w:rsid w:val="00C45222"/>
    <w:rsid w:val="00C4535B"/>
    <w:rsid w:val="00C4548C"/>
    <w:rsid w:val="00C45801"/>
    <w:rsid w:val="00C45CDD"/>
    <w:rsid w:val="00C46A40"/>
    <w:rsid w:val="00C46FBA"/>
    <w:rsid w:val="00C475FD"/>
    <w:rsid w:val="00C479C7"/>
    <w:rsid w:val="00C47D08"/>
    <w:rsid w:val="00C47D24"/>
    <w:rsid w:val="00C50DBA"/>
    <w:rsid w:val="00C5212E"/>
    <w:rsid w:val="00C521D8"/>
    <w:rsid w:val="00C52FCD"/>
    <w:rsid w:val="00C538B2"/>
    <w:rsid w:val="00C538F7"/>
    <w:rsid w:val="00C53E73"/>
    <w:rsid w:val="00C54A3C"/>
    <w:rsid w:val="00C54B68"/>
    <w:rsid w:val="00C54D05"/>
    <w:rsid w:val="00C56497"/>
    <w:rsid w:val="00C56991"/>
    <w:rsid w:val="00C56EE7"/>
    <w:rsid w:val="00C57065"/>
    <w:rsid w:val="00C574BA"/>
    <w:rsid w:val="00C57A7D"/>
    <w:rsid w:val="00C57B78"/>
    <w:rsid w:val="00C57C4A"/>
    <w:rsid w:val="00C6138E"/>
    <w:rsid w:val="00C61B28"/>
    <w:rsid w:val="00C62C87"/>
    <w:rsid w:val="00C635C0"/>
    <w:rsid w:val="00C6374C"/>
    <w:rsid w:val="00C63F25"/>
    <w:rsid w:val="00C6408B"/>
    <w:rsid w:val="00C64864"/>
    <w:rsid w:val="00C64A17"/>
    <w:rsid w:val="00C64A88"/>
    <w:rsid w:val="00C64BE0"/>
    <w:rsid w:val="00C6546D"/>
    <w:rsid w:val="00C65C46"/>
    <w:rsid w:val="00C65ED6"/>
    <w:rsid w:val="00C65F1C"/>
    <w:rsid w:val="00C6672B"/>
    <w:rsid w:val="00C670D1"/>
    <w:rsid w:val="00C67277"/>
    <w:rsid w:val="00C67B4B"/>
    <w:rsid w:val="00C701D2"/>
    <w:rsid w:val="00C702CC"/>
    <w:rsid w:val="00C70D06"/>
    <w:rsid w:val="00C71C5B"/>
    <w:rsid w:val="00C71D66"/>
    <w:rsid w:val="00C72AEF"/>
    <w:rsid w:val="00C731F0"/>
    <w:rsid w:val="00C73243"/>
    <w:rsid w:val="00C7354C"/>
    <w:rsid w:val="00C73AF0"/>
    <w:rsid w:val="00C7408D"/>
    <w:rsid w:val="00C7464D"/>
    <w:rsid w:val="00C746B7"/>
    <w:rsid w:val="00C74E28"/>
    <w:rsid w:val="00C74F26"/>
    <w:rsid w:val="00C75025"/>
    <w:rsid w:val="00C7503E"/>
    <w:rsid w:val="00C756E7"/>
    <w:rsid w:val="00C759DD"/>
    <w:rsid w:val="00C75E36"/>
    <w:rsid w:val="00C76BB3"/>
    <w:rsid w:val="00C771DE"/>
    <w:rsid w:val="00C77D5C"/>
    <w:rsid w:val="00C80116"/>
    <w:rsid w:val="00C80D8B"/>
    <w:rsid w:val="00C814A3"/>
    <w:rsid w:val="00C81634"/>
    <w:rsid w:val="00C81879"/>
    <w:rsid w:val="00C822A0"/>
    <w:rsid w:val="00C8246F"/>
    <w:rsid w:val="00C83369"/>
    <w:rsid w:val="00C83617"/>
    <w:rsid w:val="00C83D53"/>
    <w:rsid w:val="00C8489E"/>
    <w:rsid w:val="00C84D10"/>
    <w:rsid w:val="00C84D9E"/>
    <w:rsid w:val="00C852F4"/>
    <w:rsid w:val="00C85437"/>
    <w:rsid w:val="00C856CB"/>
    <w:rsid w:val="00C8595A"/>
    <w:rsid w:val="00C86972"/>
    <w:rsid w:val="00C869FA"/>
    <w:rsid w:val="00C86FD0"/>
    <w:rsid w:val="00C904CF"/>
    <w:rsid w:val="00C91DF7"/>
    <w:rsid w:val="00C9201A"/>
    <w:rsid w:val="00C92EDA"/>
    <w:rsid w:val="00C93FEF"/>
    <w:rsid w:val="00C953AF"/>
    <w:rsid w:val="00C95F26"/>
    <w:rsid w:val="00C96299"/>
    <w:rsid w:val="00C96900"/>
    <w:rsid w:val="00C96E22"/>
    <w:rsid w:val="00C97211"/>
    <w:rsid w:val="00C9726A"/>
    <w:rsid w:val="00C975AC"/>
    <w:rsid w:val="00C976B6"/>
    <w:rsid w:val="00C979AD"/>
    <w:rsid w:val="00CA0067"/>
    <w:rsid w:val="00CA058B"/>
    <w:rsid w:val="00CA0929"/>
    <w:rsid w:val="00CA0C81"/>
    <w:rsid w:val="00CA175F"/>
    <w:rsid w:val="00CA1C43"/>
    <w:rsid w:val="00CA1E22"/>
    <w:rsid w:val="00CA1FE3"/>
    <w:rsid w:val="00CA2E04"/>
    <w:rsid w:val="00CA31AA"/>
    <w:rsid w:val="00CA38E2"/>
    <w:rsid w:val="00CA4211"/>
    <w:rsid w:val="00CA4C49"/>
    <w:rsid w:val="00CA4D4D"/>
    <w:rsid w:val="00CA5393"/>
    <w:rsid w:val="00CA585D"/>
    <w:rsid w:val="00CA6CE2"/>
    <w:rsid w:val="00CA73CD"/>
    <w:rsid w:val="00CA74BD"/>
    <w:rsid w:val="00CB0923"/>
    <w:rsid w:val="00CB102D"/>
    <w:rsid w:val="00CB1443"/>
    <w:rsid w:val="00CB175C"/>
    <w:rsid w:val="00CB2175"/>
    <w:rsid w:val="00CB2A4C"/>
    <w:rsid w:val="00CB2BF5"/>
    <w:rsid w:val="00CB3B92"/>
    <w:rsid w:val="00CB44A3"/>
    <w:rsid w:val="00CB4508"/>
    <w:rsid w:val="00CB4D7F"/>
    <w:rsid w:val="00CB4E12"/>
    <w:rsid w:val="00CB523C"/>
    <w:rsid w:val="00CB54FC"/>
    <w:rsid w:val="00CB585F"/>
    <w:rsid w:val="00CB5C22"/>
    <w:rsid w:val="00CB675C"/>
    <w:rsid w:val="00CB69E5"/>
    <w:rsid w:val="00CB6A5D"/>
    <w:rsid w:val="00CB6AA2"/>
    <w:rsid w:val="00CB7343"/>
    <w:rsid w:val="00CB76AC"/>
    <w:rsid w:val="00CC02AD"/>
    <w:rsid w:val="00CC05B1"/>
    <w:rsid w:val="00CC0F0F"/>
    <w:rsid w:val="00CC1A50"/>
    <w:rsid w:val="00CC2743"/>
    <w:rsid w:val="00CC319A"/>
    <w:rsid w:val="00CC35C9"/>
    <w:rsid w:val="00CC36CE"/>
    <w:rsid w:val="00CC383B"/>
    <w:rsid w:val="00CC3C11"/>
    <w:rsid w:val="00CC3CB7"/>
    <w:rsid w:val="00CC3FF8"/>
    <w:rsid w:val="00CC4605"/>
    <w:rsid w:val="00CC4C3C"/>
    <w:rsid w:val="00CC4D90"/>
    <w:rsid w:val="00CC4E2B"/>
    <w:rsid w:val="00CC53FD"/>
    <w:rsid w:val="00CC5647"/>
    <w:rsid w:val="00CC5878"/>
    <w:rsid w:val="00CC5887"/>
    <w:rsid w:val="00CC5999"/>
    <w:rsid w:val="00CC6C8A"/>
    <w:rsid w:val="00CD0C10"/>
    <w:rsid w:val="00CD0EBC"/>
    <w:rsid w:val="00CD23A5"/>
    <w:rsid w:val="00CD299A"/>
    <w:rsid w:val="00CD29F3"/>
    <w:rsid w:val="00CD2CEA"/>
    <w:rsid w:val="00CD2F53"/>
    <w:rsid w:val="00CD32D9"/>
    <w:rsid w:val="00CD4580"/>
    <w:rsid w:val="00CD4653"/>
    <w:rsid w:val="00CD49D6"/>
    <w:rsid w:val="00CD4C19"/>
    <w:rsid w:val="00CD4D54"/>
    <w:rsid w:val="00CD4FB5"/>
    <w:rsid w:val="00CD5965"/>
    <w:rsid w:val="00CD6F72"/>
    <w:rsid w:val="00CD70D9"/>
    <w:rsid w:val="00CD786F"/>
    <w:rsid w:val="00CD7D16"/>
    <w:rsid w:val="00CE0613"/>
    <w:rsid w:val="00CE070F"/>
    <w:rsid w:val="00CE0A82"/>
    <w:rsid w:val="00CE0D80"/>
    <w:rsid w:val="00CE1231"/>
    <w:rsid w:val="00CE1C08"/>
    <w:rsid w:val="00CE1F3A"/>
    <w:rsid w:val="00CE1FF9"/>
    <w:rsid w:val="00CE25B6"/>
    <w:rsid w:val="00CE2AB7"/>
    <w:rsid w:val="00CE3423"/>
    <w:rsid w:val="00CE3623"/>
    <w:rsid w:val="00CE3A29"/>
    <w:rsid w:val="00CE3CC3"/>
    <w:rsid w:val="00CE6466"/>
    <w:rsid w:val="00CE74FD"/>
    <w:rsid w:val="00CE761D"/>
    <w:rsid w:val="00CE792B"/>
    <w:rsid w:val="00CE7B1E"/>
    <w:rsid w:val="00CE7E1D"/>
    <w:rsid w:val="00CF079B"/>
    <w:rsid w:val="00CF08AD"/>
    <w:rsid w:val="00CF0CC9"/>
    <w:rsid w:val="00CF106D"/>
    <w:rsid w:val="00CF1788"/>
    <w:rsid w:val="00CF1AED"/>
    <w:rsid w:val="00CF1D35"/>
    <w:rsid w:val="00CF20A2"/>
    <w:rsid w:val="00CF24A0"/>
    <w:rsid w:val="00CF348A"/>
    <w:rsid w:val="00CF5C4E"/>
    <w:rsid w:val="00CF603C"/>
    <w:rsid w:val="00CF6502"/>
    <w:rsid w:val="00CF6923"/>
    <w:rsid w:val="00CF6A55"/>
    <w:rsid w:val="00CF7078"/>
    <w:rsid w:val="00CF7747"/>
    <w:rsid w:val="00CF7B87"/>
    <w:rsid w:val="00CF7E2E"/>
    <w:rsid w:val="00CF7EBD"/>
    <w:rsid w:val="00D003FB"/>
    <w:rsid w:val="00D00549"/>
    <w:rsid w:val="00D007C8"/>
    <w:rsid w:val="00D00BB2"/>
    <w:rsid w:val="00D0107F"/>
    <w:rsid w:val="00D0120F"/>
    <w:rsid w:val="00D015E4"/>
    <w:rsid w:val="00D016C8"/>
    <w:rsid w:val="00D01C73"/>
    <w:rsid w:val="00D020C1"/>
    <w:rsid w:val="00D0223A"/>
    <w:rsid w:val="00D023DA"/>
    <w:rsid w:val="00D02B0E"/>
    <w:rsid w:val="00D02D3C"/>
    <w:rsid w:val="00D046DD"/>
    <w:rsid w:val="00D04B87"/>
    <w:rsid w:val="00D050D4"/>
    <w:rsid w:val="00D057C4"/>
    <w:rsid w:val="00D05BD0"/>
    <w:rsid w:val="00D064E4"/>
    <w:rsid w:val="00D06639"/>
    <w:rsid w:val="00D06DD0"/>
    <w:rsid w:val="00D102DD"/>
    <w:rsid w:val="00D10A3D"/>
    <w:rsid w:val="00D116B0"/>
    <w:rsid w:val="00D12AF6"/>
    <w:rsid w:val="00D12FCB"/>
    <w:rsid w:val="00D13B13"/>
    <w:rsid w:val="00D13DD3"/>
    <w:rsid w:val="00D143D7"/>
    <w:rsid w:val="00D15C95"/>
    <w:rsid w:val="00D16124"/>
    <w:rsid w:val="00D16257"/>
    <w:rsid w:val="00D164B8"/>
    <w:rsid w:val="00D167BB"/>
    <w:rsid w:val="00D16B63"/>
    <w:rsid w:val="00D16DA7"/>
    <w:rsid w:val="00D173C4"/>
    <w:rsid w:val="00D174D4"/>
    <w:rsid w:val="00D17A09"/>
    <w:rsid w:val="00D17B4B"/>
    <w:rsid w:val="00D20DDB"/>
    <w:rsid w:val="00D21539"/>
    <w:rsid w:val="00D215F0"/>
    <w:rsid w:val="00D22629"/>
    <w:rsid w:val="00D229DE"/>
    <w:rsid w:val="00D22B96"/>
    <w:rsid w:val="00D232F9"/>
    <w:rsid w:val="00D2488B"/>
    <w:rsid w:val="00D24E56"/>
    <w:rsid w:val="00D2526C"/>
    <w:rsid w:val="00D255C8"/>
    <w:rsid w:val="00D2621E"/>
    <w:rsid w:val="00D26358"/>
    <w:rsid w:val="00D26708"/>
    <w:rsid w:val="00D26761"/>
    <w:rsid w:val="00D274D3"/>
    <w:rsid w:val="00D278B5"/>
    <w:rsid w:val="00D27A87"/>
    <w:rsid w:val="00D27D15"/>
    <w:rsid w:val="00D31BCF"/>
    <w:rsid w:val="00D31FE9"/>
    <w:rsid w:val="00D3221D"/>
    <w:rsid w:val="00D33188"/>
    <w:rsid w:val="00D3323E"/>
    <w:rsid w:val="00D341C4"/>
    <w:rsid w:val="00D3464F"/>
    <w:rsid w:val="00D34B43"/>
    <w:rsid w:val="00D34E69"/>
    <w:rsid w:val="00D361E1"/>
    <w:rsid w:val="00D366D2"/>
    <w:rsid w:val="00D36FC4"/>
    <w:rsid w:val="00D371FF"/>
    <w:rsid w:val="00D377DE"/>
    <w:rsid w:val="00D37B5C"/>
    <w:rsid w:val="00D37BBD"/>
    <w:rsid w:val="00D40172"/>
    <w:rsid w:val="00D40474"/>
    <w:rsid w:val="00D40972"/>
    <w:rsid w:val="00D41340"/>
    <w:rsid w:val="00D413F7"/>
    <w:rsid w:val="00D4155B"/>
    <w:rsid w:val="00D41BE9"/>
    <w:rsid w:val="00D41CC6"/>
    <w:rsid w:val="00D426BF"/>
    <w:rsid w:val="00D432DD"/>
    <w:rsid w:val="00D434B5"/>
    <w:rsid w:val="00D45063"/>
    <w:rsid w:val="00D465FF"/>
    <w:rsid w:val="00D46F96"/>
    <w:rsid w:val="00D475C8"/>
    <w:rsid w:val="00D502F7"/>
    <w:rsid w:val="00D5030D"/>
    <w:rsid w:val="00D50433"/>
    <w:rsid w:val="00D51AEC"/>
    <w:rsid w:val="00D52A35"/>
    <w:rsid w:val="00D52C0C"/>
    <w:rsid w:val="00D52D9C"/>
    <w:rsid w:val="00D5332C"/>
    <w:rsid w:val="00D53474"/>
    <w:rsid w:val="00D5436E"/>
    <w:rsid w:val="00D56112"/>
    <w:rsid w:val="00D56392"/>
    <w:rsid w:val="00D56644"/>
    <w:rsid w:val="00D579EB"/>
    <w:rsid w:val="00D57C06"/>
    <w:rsid w:val="00D6024D"/>
    <w:rsid w:val="00D6069C"/>
    <w:rsid w:val="00D606A5"/>
    <w:rsid w:val="00D61327"/>
    <w:rsid w:val="00D6181B"/>
    <w:rsid w:val="00D62EC9"/>
    <w:rsid w:val="00D63329"/>
    <w:rsid w:val="00D63A1D"/>
    <w:rsid w:val="00D64838"/>
    <w:rsid w:val="00D64A16"/>
    <w:rsid w:val="00D64B4F"/>
    <w:rsid w:val="00D650A9"/>
    <w:rsid w:val="00D652F6"/>
    <w:rsid w:val="00D65414"/>
    <w:rsid w:val="00D65777"/>
    <w:rsid w:val="00D65C1F"/>
    <w:rsid w:val="00D662EA"/>
    <w:rsid w:val="00D6632A"/>
    <w:rsid w:val="00D678C8"/>
    <w:rsid w:val="00D67A12"/>
    <w:rsid w:val="00D70366"/>
    <w:rsid w:val="00D7051C"/>
    <w:rsid w:val="00D706C7"/>
    <w:rsid w:val="00D70AEC"/>
    <w:rsid w:val="00D716E9"/>
    <w:rsid w:val="00D71972"/>
    <w:rsid w:val="00D719EA"/>
    <w:rsid w:val="00D72AE4"/>
    <w:rsid w:val="00D73C28"/>
    <w:rsid w:val="00D742A4"/>
    <w:rsid w:val="00D742C4"/>
    <w:rsid w:val="00D744E8"/>
    <w:rsid w:val="00D75405"/>
    <w:rsid w:val="00D76D98"/>
    <w:rsid w:val="00D7717F"/>
    <w:rsid w:val="00D77381"/>
    <w:rsid w:val="00D77EDF"/>
    <w:rsid w:val="00D8016E"/>
    <w:rsid w:val="00D80A14"/>
    <w:rsid w:val="00D80AAF"/>
    <w:rsid w:val="00D80F41"/>
    <w:rsid w:val="00D81229"/>
    <w:rsid w:val="00D815B0"/>
    <w:rsid w:val="00D81AEF"/>
    <w:rsid w:val="00D81AF2"/>
    <w:rsid w:val="00D82F4B"/>
    <w:rsid w:val="00D839F7"/>
    <w:rsid w:val="00D83FC8"/>
    <w:rsid w:val="00D84386"/>
    <w:rsid w:val="00D848AB"/>
    <w:rsid w:val="00D84A91"/>
    <w:rsid w:val="00D84BAD"/>
    <w:rsid w:val="00D850B7"/>
    <w:rsid w:val="00D8518C"/>
    <w:rsid w:val="00D86041"/>
    <w:rsid w:val="00D86523"/>
    <w:rsid w:val="00D86549"/>
    <w:rsid w:val="00D8677A"/>
    <w:rsid w:val="00D8680A"/>
    <w:rsid w:val="00D87773"/>
    <w:rsid w:val="00D87FF1"/>
    <w:rsid w:val="00D9017A"/>
    <w:rsid w:val="00D903B0"/>
    <w:rsid w:val="00D907B1"/>
    <w:rsid w:val="00D9136A"/>
    <w:rsid w:val="00D914A9"/>
    <w:rsid w:val="00D91860"/>
    <w:rsid w:val="00D918A4"/>
    <w:rsid w:val="00D91EA8"/>
    <w:rsid w:val="00D934F8"/>
    <w:rsid w:val="00D93D13"/>
    <w:rsid w:val="00D9459F"/>
    <w:rsid w:val="00D946F8"/>
    <w:rsid w:val="00D94FB0"/>
    <w:rsid w:val="00D95887"/>
    <w:rsid w:val="00D9590C"/>
    <w:rsid w:val="00D95BE0"/>
    <w:rsid w:val="00D96206"/>
    <w:rsid w:val="00D96319"/>
    <w:rsid w:val="00D9672D"/>
    <w:rsid w:val="00D96D1C"/>
    <w:rsid w:val="00D97225"/>
    <w:rsid w:val="00D9724A"/>
    <w:rsid w:val="00D97438"/>
    <w:rsid w:val="00D97FE9"/>
    <w:rsid w:val="00DA01B8"/>
    <w:rsid w:val="00DA06CC"/>
    <w:rsid w:val="00DA0761"/>
    <w:rsid w:val="00DA0EFA"/>
    <w:rsid w:val="00DA1861"/>
    <w:rsid w:val="00DA19DB"/>
    <w:rsid w:val="00DA1AF5"/>
    <w:rsid w:val="00DA1DED"/>
    <w:rsid w:val="00DA243B"/>
    <w:rsid w:val="00DA2597"/>
    <w:rsid w:val="00DA298D"/>
    <w:rsid w:val="00DA3121"/>
    <w:rsid w:val="00DA4174"/>
    <w:rsid w:val="00DA44DE"/>
    <w:rsid w:val="00DA50EC"/>
    <w:rsid w:val="00DA5698"/>
    <w:rsid w:val="00DA60CC"/>
    <w:rsid w:val="00DA6B54"/>
    <w:rsid w:val="00DA6BFB"/>
    <w:rsid w:val="00DA6DF1"/>
    <w:rsid w:val="00DA70EF"/>
    <w:rsid w:val="00DA712F"/>
    <w:rsid w:val="00DA7766"/>
    <w:rsid w:val="00DA7E6C"/>
    <w:rsid w:val="00DB0574"/>
    <w:rsid w:val="00DB0732"/>
    <w:rsid w:val="00DB0A0D"/>
    <w:rsid w:val="00DB0CC6"/>
    <w:rsid w:val="00DB10FF"/>
    <w:rsid w:val="00DB1288"/>
    <w:rsid w:val="00DB1573"/>
    <w:rsid w:val="00DB17B1"/>
    <w:rsid w:val="00DB19CB"/>
    <w:rsid w:val="00DB1F3E"/>
    <w:rsid w:val="00DB20E0"/>
    <w:rsid w:val="00DB254D"/>
    <w:rsid w:val="00DB268C"/>
    <w:rsid w:val="00DB2CDE"/>
    <w:rsid w:val="00DB311A"/>
    <w:rsid w:val="00DB3887"/>
    <w:rsid w:val="00DB3B68"/>
    <w:rsid w:val="00DB410C"/>
    <w:rsid w:val="00DB4590"/>
    <w:rsid w:val="00DB4DFD"/>
    <w:rsid w:val="00DB50C7"/>
    <w:rsid w:val="00DB657A"/>
    <w:rsid w:val="00DB6A20"/>
    <w:rsid w:val="00DB78F8"/>
    <w:rsid w:val="00DC05E4"/>
    <w:rsid w:val="00DC05EE"/>
    <w:rsid w:val="00DC0EB7"/>
    <w:rsid w:val="00DC15FF"/>
    <w:rsid w:val="00DC1D6F"/>
    <w:rsid w:val="00DC1F18"/>
    <w:rsid w:val="00DC1F5D"/>
    <w:rsid w:val="00DC1F8D"/>
    <w:rsid w:val="00DC262D"/>
    <w:rsid w:val="00DC3200"/>
    <w:rsid w:val="00DC3434"/>
    <w:rsid w:val="00DC3489"/>
    <w:rsid w:val="00DC36DA"/>
    <w:rsid w:val="00DC386F"/>
    <w:rsid w:val="00DC3A07"/>
    <w:rsid w:val="00DC3A7F"/>
    <w:rsid w:val="00DC41FC"/>
    <w:rsid w:val="00DC4642"/>
    <w:rsid w:val="00DC49C0"/>
    <w:rsid w:val="00DC4F01"/>
    <w:rsid w:val="00DC550C"/>
    <w:rsid w:val="00DC5851"/>
    <w:rsid w:val="00DC5D1C"/>
    <w:rsid w:val="00DC600C"/>
    <w:rsid w:val="00DC6642"/>
    <w:rsid w:val="00DC6810"/>
    <w:rsid w:val="00DC6AED"/>
    <w:rsid w:val="00DC6CC4"/>
    <w:rsid w:val="00DC6F4B"/>
    <w:rsid w:val="00DC7135"/>
    <w:rsid w:val="00DD0717"/>
    <w:rsid w:val="00DD0D92"/>
    <w:rsid w:val="00DD1663"/>
    <w:rsid w:val="00DD19E1"/>
    <w:rsid w:val="00DD1D0C"/>
    <w:rsid w:val="00DD1D99"/>
    <w:rsid w:val="00DD1E33"/>
    <w:rsid w:val="00DD298A"/>
    <w:rsid w:val="00DD2F43"/>
    <w:rsid w:val="00DD2FD9"/>
    <w:rsid w:val="00DD3A09"/>
    <w:rsid w:val="00DD3BC4"/>
    <w:rsid w:val="00DD4CCF"/>
    <w:rsid w:val="00DD525F"/>
    <w:rsid w:val="00DD5647"/>
    <w:rsid w:val="00DD5D41"/>
    <w:rsid w:val="00DD760F"/>
    <w:rsid w:val="00DD762D"/>
    <w:rsid w:val="00DD79CF"/>
    <w:rsid w:val="00DD7E4C"/>
    <w:rsid w:val="00DE1851"/>
    <w:rsid w:val="00DE23B1"/>
    <w:rsid w:val="00DE2EC4"/>
    <w:rsid w:val="00DE33C8"/>
    <w:rsid w:val="00DE366B"/>
    <w:rsid w:val="00DE404D"/>
    <w:rsid w:val="00DE4202"/>
    <w:rsid w:val="00DE47C5"/>
    <w:rsid w:val="00DE4D3C"/>
    <w:rsid w:val="00DE521D"/>
    <w:rsid w:val="00DE5297"/>
    <w:rsid w:val="00DE5DD9"/>
    <w:rsid w:val="00DE63A4"/>
    <w:rsid w:val="00DE71C2"/>
    <w:rsid w:val="00DE72C8"/>
    <w:rsid w:val="00DE7334"/>
    <w:rsid w:val="00DE7EB8"/>
    <w:rsid w:val="00DE7F80"/>
    <w:rsid w:val="00DF020E"/>
    <w:rsid w:val="00DF132C"/>
    <w:rsid w:val="00DF1831"/>
    <w:rsid w:val="00DF2073"/>
    <w:rsid w:val="00DF2530"/>
    <w:rsid w:val="00DF4519"/>
    <w:rsid w:val="00DF4A55"/>
    <w:rsid w:val="00DF4AA4"/>
    <w:rsid w:val="00DF5528"/>
    <w:rsid w:val="00DF58D2"/>
    <w:rsid w:val="00DF6746"/>
    <w:rsid w:val="00DF6BC0"/>
    <w:rsid w:val="00DF747E"/>
    <w:rsid w:val="00DF7754"/>
    <w:rsid w:val="00E003CD"/>
    <w:rsid w:val="00E008D4"/>
    <w:rsid w:val="00E01C47"/>
    <w:rsid w:val="00E02BBC"/>
    <w:rsid w:val="00E02C7F"/>
    <w:rsid w:val="00E03679"/>
    <w:rsid w:val="00E03BED"/>
    <w:rsid w:val="00E03DC5"/>
    <w:rsid w:val="00E04DC5"/>
    <w:rsid w:val="00E052CC"/>
    <w:rsid w:val="00E052F2"/>
    <w:rsid w:val="00E05578"/>
    <w:rsid w:val="00E05BBC"/>
    <w:rsid w:val="00E06101"/>
    <w:rsid w:val="00E0619C"/>
    <w:rsid w:val="00E068FC"/>
    <w:rsid w:val="00E06FC2"/>
    <w:rsid w:val="00E07502"/>
    <w:rsid w:val="00E10C25"/>
    <w:rsid w:val="00E11635"/>
    <w:rsid w:val="00E1187D"/>
    <w:rsid w:val="00E12AB6"/>
    <w:rsid w:val="00E1337E"/>
    <w:rsid w:val="00E1339B"/>
    <w:rsid w:val="00E142F5"/>
    <w:rsid w:val="00E146A8"/>
    <w:rsid w:val="00E147A2"/>
    <w:rsid w:val="00E1485C"/>
    <w:rsid w:val="00E149AE"/>
    <w:rsid w:val="00E149D6"/>
    <w:rsid w:val="00E15C29"/>
    <w:rsid w:val="00E15CE6"/>
    <w:rsid w:val="00E15DB3"/>
    <w:rsid w:val="00E1640F"/>
    <w:rsid w:val="00E16C0B"/>
    <w:rsid w:val="00E1767C"/>
    <w:rsid w:val="00E17D34"/>
    <w:rsid w:val="00E17E4B"/>
    <w:rsid w:val="00E17FF3"/>
    <w:rsid w:val="00E208C9"/>
    <w:rsid w:val="00E20C37"/>
    <w:rsid w:val="00E20E2A"/>
    <w:rsid w:val="00E20EE2"/>
    <w:rsid w:val="00E21079"/>
    <w:rsid w:val="00E22F75"/>
    <w:rsid w:val="00E23708"/>
    <w:rsid w:val="00E23841"/>
    <w:rsid w:val="00E23CF2"/>
    <w:rsid w:val="00E23E0E"/>
    <w:rsid w:val="00E23FB8"/>
    <w:rsid w:val="00E244B3"/>
    <w:rsid w:val="00E245DC"/>
    <w:rsid w:val="00E2690C"/>
    <w:rsid w:val="00E26D6E"/>
    <w:rsid w:val="00E272C6"/>
    <w:rsid w:val="00E274FC"/>
    <w:rsid w:val="00E27805"/>
    <w:rsid w:val="00E30001"/>
    <w:rsid w:val="00E302A8"/>
    <w:rsid w:val="00E30B76"/>
    <w:rsid w:val="00E30CBC"/>
    <w:rsid w:val="00E3152F"/>
    <w:rsid w:val="00E316C9"/>
    <w:rsid w:val="00E31948"/>
    <w:rsid w:val="00E3195D"/>
    <w:rsid w:val="00E32672"/>
    <w:rsid w:val="00E32B17"/>
    <w:rsid w:val="00E32E5A"/>
    <w:rsid w:val="00E3323F"/>
    <w:rsid w:val="00E334F4"/>
    <w:rsid w:val="00E33C11"/>
    <w:rsid w:val="00E33DC1"/>
    <w:rsid w:val="00E34B06"/>
    <w:rsid w:val="00E35009"/>
    <w:rsid w:val="00E350AA"/>
    <w:rsid w:val="00E353B1"/>
    <w:rsid w:val="00E35AC0"/>
    <w:rsid w:val="00E35EA7"/>
    <w:rsid w:val="00E36005"/>
    <w:rsid w:val="00E36CCF"/>
    <w:rsid w:val="00E36D73"/>
    <w:rsid w:val="00E36EB9"/>
    <w:rsid w:val="00E36EED"/>
    <w:rsid w:val="00E37F83"/>
    <w:rsid w:val="00E4092E"/>
    <w:rsid w:val="00E40A55"/>
    <w:rsid w:val="00E41F8A"/>
    <w:rsid w:val="00E41FB8"/>
    <w:rsid w:val="00E429B5"/>
    <w:rsid w:val="00E429E6"/>
    <w:rsid w:val="00E42F19"/>
    <w:rsid w:val="00E4351E"/>
    <w:rsid w:val="00E43D5A"/>
    <w:rsid w:val="00E43D95"/>
    <w:rsid w:val="00E43DE3"/>
    <w:rsid w:val="00E43ED7"/>
    <w:rsid w:val="00E4493B"/>
    <w:rsid w:val="00E44986"/>
    <w:rsid w:val="00E44FAE"/>
    <w:rsid w:val="00E45516"/>
    <w:rsid w:val="00E45A95"/>
    <w:rsid w:val="00E46037"/>
    <w:rsid w:val="00E46675"/>
    <w:rsid w:val="00E46C1A"/>
    <w:rsid w:val="00E46CE2"/>
    <w:rsid w:val="00E46D00"/>
    <w:rsid w:val="00E470A6"/>
    <w:rsid w:val="00E47644"/>
    <w:rsid w:val="00E50403"/>
    <w:rsid w:val="00E50ABF"/>
    <w:rsid w:val="00E50F48"/>
    <w:rsid w:val="00E512AC"/>
    <w:rsid w:val="00E515A2"/>
    <w:rsid w:val="00E51B91"/>
    <w:rsid w:val="00E524AA"/>
    <w:rsid w:val="00E5337F"/>
    <w:rsid w:val="00E53A87"/>
    <w:rsid w:val="00E5424C"/>
    <w:rsid w:val="00E5428F"/>
    <w:rsid w:val="00E542E9"/>
    <w:rsid w:val="00E54F60"/>
    <w:rsid w:val="00E54FB3"/>
    <w:rsid w:val="00E56250"/>
    <w:rsid w:val="00E56E7F"/>
    <w:rsid w:val="00E571B0"/>
    <w:rsid w:val="00E5733F"/>
    <w:rsid w:val="00E60293"/>
    <w:rsid w:val="00E60649"/>
    <w:rsid w:val="00E6084B"/>
    <w:rsid w:val="00E60B98"/>
    <w:rsid w:val="00E60EB8"/>
    <w:rsid w:val="00E613F4"/>
    <w:rsid w:val="00E61433"/>
    <w:rsid w:val="00E61726"/>
    <w:rsid w:val="00E61C3B"/>
    <w:rsid w:val="00E623AE"/>
    <w:rsid w:val="00E62FEC"/>
    <w:rsid w:val="00E6300F"/>
    <w:rsid w:val="00E631CA"/>
    <w:rsid w:val="00E63B4A"/>
    <w:rsid w:val="00E63C42"/>
    <w:rsid w:val="00E6471A"/>
    <w:rsid w:val="00E64A9E"/>
    <w:rsid w:val="00E64D57"/>
    <w:rsid w:val="00E64F83"/>
    <w:rsid w:val="00E64FEF"/>
    <w:rsid w:val="00E65D0C"/>
    <w:rsid w:val="00E66049"/>
    <w:rsid w:val="00E671AA"/>
    <w:rsid w:val="00E70480"/>
    <w:rsid w:val="00E707B7"/>
    <w:rsid w:val="00E71281"/>
    <w:rsid w:val="00E713BF"/>
    <w:rsid w:val="00E7163A"/>
    <w:rsid w:val="00E723C8"/>
    <w:rsid w:val="00E73F20"/>
    <w:rsid w:val="00E7458C"/>
    <w:rsid w:val="00E75041"/>
    <w:rsid w:val="00E75710"/>
    <w:rsid w:val="00E75A6E"/>
    <w:rsid w:val="00E75A6F"/>
    <w:rsid w:val="00E75EF5"/>
    <w:rsid w:val="00E76B45"/>
    <w:rsid w:val="00E76BA5"/>
    <w:rsid w:val="00E773DF"/>
    <w:rsid w:val="00E773F5"/>
    <w:rsid w:val="00E77788"/>
    <w:rsid w:val="00E77F74"/>
    <w:rsid w:val="00E80921"/>
    <w:rsid w:val="00E815C7"/>
    <w:rsid w:val="00E81655"/>
    <w:rsid w:val="00E817DC"/>
    <w:rsid w:val="00E820EF"/>
    <w:rsid w:val="00E8267A"/>
    <w:rsid w:val="00E84BDC"/>
    <w:rsid w:val="00E84D64"/>
    <w:rsid w:val="00E84F54"/>
    <w:rsid w:val="00E850CC"/>
    <w:rsid w:val="00E8544B"/>
    <w:rsid w:val="00E85DC5"/>
    <w:rsid w:val="00E85DF1"/>
    <w:rsid w:val="00E86124"/>
    <w:rsid w:val="00E866FF"/>
    <w:rsid w:val="00E867BD"/>
    <w:rsid w:val="00E87249"/>
    <w:rsid w:val="00E87405"/>
    <w:rsid w:val="00E8744F"/>
    <w:rsid w:val="00E87672"/>
    <w:rsid w:val="00E87A4A"/>
    <w:rsid w:val="00E902C6"/>
    <w:rsid w:val="00E9054A"/>
    <w:rsid w:val="00E91025"/>
    <w:rsid w:val="00E9108F"/>
    <w:rsid w:val="00E91359"/>
    <w:rsid w:val="00E91CF3"/>
    <w:rsid w:val="00E92437"/>
    <w:rsid w:val="00E92486"/>
    <w:rsid w:val="00E92917"/>
    <w:rsid w:val="00E93A6B"/>
    <w:rsid w:val="00E9450C"/>
    <w:rsid w:val="00E94701"/>
    <w:rsid w:val="00E94EA1"/>
    <w:rsid w:val="00E954B1"/>
    <w:rsid w:val="00E95862"/>
    <w:rsid w:val="00E9591E"/>
    <w:rsid w:val="00E96049"/>
    <w:rsid w:val="00E967FD"/>
    <w:rsid w:val="00E96DDA"/>
    <w:rsid w:val="00E97315"/>
    <w:rsid w:val="00E97DF1"/>
    <w:rsid w:val="00EA15BB"/>
    <w:rsid w:val="00EA16EF"/>
    <w:rsid w:val="00EA2496"/>
    <w:rsid w:val="00EA2581"/>
    <w:rsid w:val="00EA25E5"/>
    <w:rsid w:val="00EA2C6E"/>
    <w:rsid w:val="00EA31AC"/>
    <w:rsid w:val="00EA3A80"/>
    <w:rsid w:val="00EA3C5C"/>
    <w:rsid w:val="00EA4A24"/>
    <w:rsid w:val="00EA55AA"/>
    <w:rsid w:val="00EA564A"/>
    <w:rsid w:val="00EA6001"/>
    <w:rsid w:val="00EA6B1E"/>
    <w:rsid w:val="00EA7CED"/>
    <w:rsid w:val="00EB02F6"/>
    <w:rsid w:val="00EB117D"/>
    <w:rsid w:val="00EB1647"/>
    <w:rsid w:val="00EB1EDE"/>
    <w:rsid w:val="00EB2C3E"/>
    <w:rsid w:val="00EB3518"/>
    <w:rsid w:val="00EB474B"/>
    <w:rsid w:val="00EB4970"/>
    <w:rsid w:val="00EB4A2C"/>
    <w:rsid w:val="00EB4BDB"/>
    <w:rsid w:val="00EB5024"/>
    <w:rsid w:val="00EB5103"/>
    <w:rsid w:val="00EB558D"/>
    <w:rsid w:val="00EB5A13"/>
    <w:rsid w:val="00EB5AB8"/>
    <w:rsid w:val="00EB6070"/>
    <w:rsid w:val="00EB6DAB"/>
    <w:rsid w:val="00EB6F22"/>
    <w:rsid w:val="00EB775F"/>
    <w:rsid w:val="00EB78D7"/>
    <w:rsid w:val="00EB796B"/>
    <w:rsid w:val="00EC0911"/>
    <w:rsid w:val="00EC0A0C"/>
    <w:rsid w:val="00EC11DC"/>
    <w:rsid w:val="00EC1332"/>
    <w:rsid w:val="00EC171A"/>
    <w:rsid w:val="00EC2659"/>
    <w:rsid w:val="00EC29CC"/>
    <w:rsid w:val="00EC2EC8"/>
    <w:rsid w:val="00EC43BB"/>
    <w:rsid w:val="00EC4FA9"/>
    <w:rsid w:val="00EC50F8"/>
    <w:rsid w:val="00EC550D"/>
    <w:rsid w:val="00EC6089"/>
    <w:rsid w:val="00EC60DB"/>
    <w:rsid w:val="00EC63E6"/>
    <w:rsid w:val="00EC67FE"/>
    <w:rsid w:val="00EC6E42"/>
    <w:rsid w:val="00EC7C45"/>
    <w:rsid w:val="00ED001C"/>
    <w:rsid w:val="00ED0178"/>
    <w:rsid w:val="00ED0435"/>
    <w:rsid w:val="00ED0790"/>
    <w:rsid w:val="00ED093C"/>
    <w:rsid w:val="00ED14C3"/>
    <w:rsid w:val="00ED1636"/>
    <w:rsid w:val="00ED17EA"/>
    <w:rsid w:val="00ED1C68"/>
    <w:rsid w:val="00ED1C6C"/>
    <w:rsid w:val="00ED21FF"/>
    <w:rsid w:val="00ED2DED"/>
    <w:rsid w:val="00ED3121"/>
    <w:rsid w:val="00ED350A"/>
    <w:rsid w:val="00ED48A3"/>
    <w:rsid w:val="00ED4C66"/>
    <w:rsid w:val="00ED520F"/>
    <w:rsid w:val="00ED558F"/>
    <w:rsid w:val="00ED61C7"/>
    <w:rsid w:val="00ED7379"/>
    <w:rsid w:val="00EE00F3"/>
    <w:rsid w:val="00EE02C7"/>
    <w:rsid w:val="00EE1077"/>
    <w:rsid w:val="00EE1268"/>
    <w:rsid w:val="00EE164A"/>
    <w:rsid w:val="00EE1869"/>
    <w:rsid w:val="00EE1E47"/>
    <w:rsid w:val="00EE2141"/>
    <w:rsid w:val="00EE2325"/>
    <w:rsid w:val="00EE2809"/>
    <w:rsid w:val="00EE2B23"/>
    <w:rsid w:val="00EE30CF"/>
    <w:rsid w:val="00EE388E"/>
    <w:rsid w:val="00EE3A4F"/>
    <w:rsid w:val="00EE3CDF"/>
    <w:rsid w:val="00EE46AD"/>
    <w:rsid w:val="00EE4EFC"/>
    <w:rsid w:val="00EE5344"/>
    <w:rsid w:val="00EE5F51"/>
    <w:rsid w:val="00EE5F7C"/>
    <w:rsid w:val="00EE605D"/>
    <w:rsid w:val="00EE65F0"/>
    <w:rsid w:val="00EE667D"/>
    <w:rsid w:val="00EE6B41"/>
    <w:rsid w:val="00EF0181"/>
    <w:rsid w:val="00EF0AF9"/>
    <w:rsid w:val="00EF0F70"/>
    <w:rsid w:val="00EF1038"/>
    <w:rsid w:val="00EF1653"/>
    <w:rsid w:val="00EF1A08"/>
    <w:rsid w:val="00EF2157"/>
    <w:rsid w:val="00EF21C7"/>
    <w:rsid w:val="00EF21E4"/>
    <w:rsid w:val="00EF2C25"/>
    <w:rsid w:val="00EF340E"/>
    <w:rsid w:val="00EF38A9"/>
    <w:rsid w:val="00EF4026"/>
    <w:rsid w:val="00EF43EF"/>
    <w:rsid w:val="00EF4620"/>
    <w:rsid w:val="00EF47FF"/>
    <w:rsid w:val="00EF4C6B"/>
    <w:rsid w:val="00EF562C"/>
    <w:rsid w:val="00EF5A92"/>
    <w:rsid w:val="00EF5B92"/>
    <w:rsid w:val="00EF67D7"/>
    <w:rsid w:val="00EF70EB"/>
    <w:rsid w:val="00EF73AB"/>
    <w:rsid w:val="00EF74E2"/>
    <w:rsid w:val="00EF7E38"/>
    <w:rsid w:val="00F007B6"/>
    <w:rsid w:val="00F008B4"/>
    <w:rsid w:val="00F01092"/>
    <w:rsid w:val="00F01DBF"/>
    <w:rsid w:val="00F02830"/>
    <w:rsid w:val="00F028A0"/>
    <w:rsid w:val="00F02BC8"/>
    <w:rsid w:val="00F03078"/>
    <w:rsid w:val="00F0319E"/>
    <w:rsid w:val="00F033CF"/>
    <w:rsid w:val="00F0360F"/>
    <w:rsid w:val="00F03DA7"/>
    <w:rsid w:val="00F046FA"/>
    <w:rsid w:val="00F051CE"/>
    <w:rsid w:val="00F05495"/>
    <w:rsid w:val="00F05504"/>
    <w:rsid w:val="00F066EE"/>
    <w:rsid w:val="00F06C8C"/>
    <w:rsid w:val="00F0726D"/>
    <w:rsid w:val="00F07375"/>
    <w:rsid w:val="00F07DEF"/>
    <w:rsid w:val="00F10230"/>
    <w:rsid w:val="00F10B1F"/>
    <w:rsid w:val="00F130E1"/>
    <w:rsid w:val="00F1355F"/>
    <w:rsid w:val="00F13ECE"/>
    <w:rsid w:val="00F14ED2"/>
    <w:rsid w:val="00F15077"/>
    <w:rsid w:val="00F152C2"/>
    <w:rsid w:val="00F15312"/>
    <w:rsid w:val="00F15320"/>
    <w:rsid w:val="00F15F15"/>
    <w:rsid w:val="00F160D1"/>
    <w:rsid w:val="00F161AD"/>
    <w:rsid w:val="00F16270"/>
    <w:rsid w:val="00F165F7"/>
    <w:rsid w:val="00F1770E"/>
    <w:rsid w:val="00F20121"/>
    <w:rsid w:val="00F20B79"/>
    <w:rsid w:val="00F20BE0"/>
    <w:rsid w:val="00F20F52"/>
    <w:rsid w:val="00F215D7"/>
    <w:rsid w:val="00F21868"/>
    <w:rsid w:val="00F21C81"/>
    <w:rsid w:val="00F21F5B"/>
    <w:rsid w:val="00F220B8"/>
    <w:rsid w:val="00F22441"/>
    <w:rsid w:val="00F22EFD"/>
    <w:rsid w:val="00F230D6"/>
    <w:rsid w:val="00F23AFA"/>
    <w:rsid w:val="00F24B3F"/>
    <w:rsid w:val="00F25D70"/>
    <w:rsid w:val="00F26262"/>
    <w:rsid w:val="00F265E1"/>
    <w:rsid w:val="00F26903"/>
    <w:rsid w:val="00F275EE"/>
    <w:rsid w:val="00F27CFB"/>
    <w:rsid w:val="00F27E8A"/>
    <w:rsid w:val="00F301F8"/>
    <w:rsid w:val="00F30241"/>
    <w:rsid w:val="00F302DF"/>
    <w:rsid w:val="00F31CDD"/>
    <w:rsid w:val="00F32E77"/>
    <w:rsid w:val="00F32ECB"/>
    <w:rsid w:val="00F32FA8"/>
    <w:rsid w:val="00F33F90"/>
    <w:rsid w:val="00F3461B"/>
    <w:rsid w:val="00F346D5"/>
    <w:rsid w:val="00F35143"/>
    <w:rsid w:val="00F36561"/>
    <w:rsid w:val="00F3709D"/>
    <w:rsid w:val="00F373B4"/>
    <w:rsid w:val="00F3763B"/>
    <w:rsid w:val="00F41BC9"/>
    <w:rsid w:val="00F41BF5"/>
    <w:rsid w:val="00F420E4"/>
    <w:rsid w:val="00F44ED5"/>
    <w:rsid w:val="00F4564D"/>
    <w:rsid w:val="00F457F1"/>
    <w:rsid w:val="00F45EB3"/>
    <w:rsid w:val="00F46205"/>
    <w:rsid w:val="00F466BD"/>
    <w:rsid w:val="00F466F4"/>
    <w:rsid w:val="00F47492"/>
    <w:rsid w:val="00F50181"/>
    <w:rsid w:val="00F501A0"/>
    <w:rsid w:val="00F50DF5"/>
    <w:rsid w:val="00F50F09"/>
    <w:rsid w:val="00F51140"/>
    <w:rsid w:val="00F51C8A"/>
    <w:rsid w:val="00F52DB0"/>
    <w:rsid w:val="00F531E9"/>
    <w:rsid w:val="00F53584"/>
    <w:rsid w:val="00F540CB"/>
    <w:rsid w:val="00F540D1"/>
    <w:rsid w:val="00F54215"/>
    <w:rsid w:val="00F5433E"/>
    <w:rsid w:val="00F5456B"/>
    <w:rsid w:val="00F54770"/>
    <w:rsid w:val="00F54E9B"/>
    <w:rsid w:val="00F55BD7"/>
    <w:rsid w:val="00F569C5"/>
    <w:rsid w:val="00F56EBC"/>
    <w:rsid w:val="00F5726D"/>
    <w:rsid w:val="00F5771E"/>
    <w:rsid w:val="00F57996"/>
    <w:rsid w:val="00F57E55"/>
    <w:rsid w:val="00F60711"/>
    <w:rsid w:val="00F6085E"/>
    <w:rsid w:val="00F60C80"/>
    <w:rsid w:val="00F60C97"/>
    <w:rsid w:val="00F61A0F"/>
    <w:rsid w:val="00F627CF"/>
    <w:rsid w:val="00F628E5"/>
    <w:rsid w:val="00F62D63"/>
    <w:rsid w:val="00F63243"/>
    <w:rsid w:val="00F637B5"/>
    <w:rsid w:val="00F64CF0"/>
    <w:rsid w:val="00F64ECA"/>
    <w:rsid w:val="00F65642"/>
    <w:rsid w:val="00F65A04"/>
    <w:rsid w:val="00F6619B"/>
    <w:rsid w:val="00F66374"/>
    <w:rsid w:val="00F66401"/>
    <w:rsid w:val="00F667B9"/>
    <w:rsid w:val="00F66FCF"/>
    <w:rsid w:val="00F703FC"/>
    <w:rsid w:val="00F70ACD"/>
    <w:rsid w:val="00F711A8"/>
    <w:rsid w:val="00F716FD"/>
    <w:rsid w:val="00F72519"/>
    <w:rsid w:val="00F72740"/>
    <w:rsid w:val="00F733A9"/>
    <w:rsid w:val="00F7492D"/>
    <w:rsid w:val="00F74A36"/>
    <w:rsid w:val="00F75CE1"/>
    <w:rsid w:val="00F768EB"/>
    <w:rsid w:val="00F76A60"/>
    <w:rsid w:val="00F7756C"/>
    <w:rsid w:val="00F77845"/>
    <w:rsid w:val="00F77B59"/>
    <w:rsid w:val="00F77E03"/>
    <w:rsid w:val="00F77E68"/>
    <w:rsid w:val="00F8004A"/>
    <w:rsid w:val="00F80769"/>
    <w:rsid w:val="00F80B33"/>
    <w:rsid w:val="00F8188F"/>
    <w:rsid w:val="00F81F83"/>
    <w:rsid w:val="00F8262C"/>
    <w:rsid w:val="00F8340D"/>
    <w:rsid w:val="00F835BA"/>
    <w:rsid w:val="00F8445D"/>
    <w:rsid w:val="00F85B55"/>
    <w:rsid w:val="00F864A5"/>
    <w:rsid w:val="00F86A2D"/>
    <w:rsid w:val="00F86E13"/>
    <w:rsid w:val="00F8749A"/>
    <w:rsid w:val="00F90F69"/>
    <w:rsid w:val="00F90F82"/>
    <w:rsid w:val="00F91C8B"/>
    <w:rsid w:val="00F921D6"/>
    <w:rsid w:val="00F9226B"/>
    <w:rsid w:val="00F92AB0"/>
    <w:rsid w:val="00F92C2A"/>
    <w:rsid w:val="00F92FA0"/>
    <w:rsid w:val="00F934DA"/>
    <w:rsid w:val="00F93D47"/>
    <w:rsid w:val="00F9453B"/>
    <w:rsid w:val="00F94922"/>
    <w:rsid w:val="00F95298"/>
    <w:rsid w:val="00F9547E"/>
    <w:rsid w:val="00F964B6"/>
    <w:rsid w:val="00F968C9"/>
    <w:rsid w:val="00F96E6D"/>
    <w:rsid w:val="00F97455"/>
    <w:rsid w:val="00F97670"/>
    <w:rsid w:val="00F97872"/>
    <w:rsid w:val="00F97CCD"/>
    <w:rsid w:val="00FA000F"/>
    <w:rsid w:val="00FA09E1"/>
    <w:rsid w:val="00FA1B1F"/>
    <w:rsid w:val="00FA22E0"/>
    <w:rsid w:val="00FA2C1F"/>
    <w:rsid w:val="00FA2C42"/>
    <w:rsid w:val="00FA3E3A"/>
    <w:rsid w:val="00FA4C40"/>
    <w:rsid w:val="00FA4CC2"/>
    <w:rsid w:val="00FA51DD"/>
    <w:rsid w:val="00FA5717"/>
    <w:rsid w:val="00FA594E"/>
    <w:rsid w:val="00FA6B37"/>
    <w:rsid w:val="00FA6D4F"/>
    <w:rsid w:val="00FA6E80"/>
    <w:rsid w:val="00FA7381"/>
    <w:rsid w:val="00FA753B"/>
    <w:rsid w:val="00FA7679"/>
    <w:rsid w:val="00FA7778"/>
    <w:rsid w:val="00FB067D"/>
    <w:rsid w:val="00FB1881"/>
    <w:rsid w:val="00FB2632"/>
    <w:rsid w:val="00FB2713"/>
    <w:rsid w:val="00FB2A39"/>
    <w:rsid w:val="00FB2A52"/>
    <w:rsid w:val="00FB42BF"/>
    <w:rsid w:val="00FB4B1A"/>
    <w:rsid w:val="00FB4D01"/>
    <w:rsid w:val="00FB500C"/>
    <w:rsid w:val="00FB574A"/>
    <w:rsid w:val="00FB6320"/>
    <w:rsid w:val="00FB66FD"/>
    <w:rsid w:val="00FB67C4"/>
    <w:rsid w:val="00FB684A"/>
    <w:rsid w:val="00FB68D9"/>
    <w:rsid w:val="00FB6E42"/>
    <w:rsid w:val="00FB7336"/>
    <w:rsid w:val="00FC021A"/>
    <w:rsid w:val="00FC09F4"/>
    <w:rsid w:val="00FC250A"/>
    <w:rsid w:val="00FC2AFA"/>
    <w:rsid w:val="00FC3DA6"/>
    <w:rsid w:val="00FC53B4"/>
    <w:rsid w:val="00FC5507"/>
    <w:rsid w:val="00FC622B"/>
    <w:rsid w:val="00FC66B6"/>
    <w:rsid w:val="00FC69EC"/>
    <w:rsid w:val="00FC6E98"/>
    <w:rsid w:val="00FC6EDB"/>
    <w:rsid w:val="00FC71FB"/>
    <w:rsid w:val="00FC7C45"/>
    <w:rsid w:val="00FC7EFC"/>
    <w:rsid w:val="00FC7F97"/>
    <w:rsid w:val="00FD0CB9"/>
    <w:rsid w:val="00FD0D92"/>
    <w:rsid w:val="00FD11CE"/>
    <w:rsid w:val="00FD18E1"/>
    <w:rsid w:val="00FD1A1F"/>
    <w:rsid w:val="00FD1BF2"/>
    <w:rsid w:val="00FD2280"/>
    <w:rsid w:val="00FD22E8"/>
    <w:rsid w:val="00FD24F5"/>
    <w:rsid w:val="00FD3180"/>
    <w:rsid w:val="00FD3805"/>
    <w:rsid w:val="00FD43AE"/>
    <w:rsid w:val="00FD4533"/>
    <w:rsid w:val="00FD541E"/>
    <w:rsid w:val="00FD555C"/>
    <w:rsid w:val="00FD6012"/>
    <w:rsid w:val="00FD63AF"/>
    <w:rsid w:val="00FD69DC"/>
    <w:rsid w:val="00FD6C42"/>
    <w:rsid w:val="00FD766F"/>
    <w:rsid w:val="00FD77E5"/>
    <w:rsid w:val="00FD7938"/>
    <w:rsid w:val="00FE0D34"/>
    <w:rsid w:val="00FE15C6"/>
    <w:rsid w:val="00FE1CCE"/>
    <w:rsid w:val="00FE25CC"/>
    <w:rsid w:val="00FE3291"/>
    <w:rsid w:val="00FE36A7"/>
    <w:rsid w:val="00FE3738"/>
    <w:rsid w:val="00FE4000"/>
    <w:rsid w:val="00FE54C5"/>
    <w:rsid w:val="00FE58BC"/>
    <w:rsid w:val="00FE60C5"/>
    <w:rsid w:val="00FE6191"/>
    <w:rsid w:val="00FE6821"/>
    <w:rsid w:val="00FE6D94"/>
    <w:rsid w:val="00FE71D3"/>
    <w:rsid w:val="00FE7331"/>
    <w:rsid w:val="00FE7E83"/>
    <w:rsid w:val="00FE7EB1"/>
    <w:rsid w:val="00FF08A4"/>
    <w:rsid w:val="00FF18E0"/>
    <w:rsid w:val="00FF1D61"/>
    <w:rsid w:val="00FF24AF"/>
    <w:rsid w:val="00FF2769"/>
    <w:rsid w:val="00FF3D5F"/>
    <w:rsid w:val="00FF4730"/>
    <w:rsid w:val="00FF48A1"/>
    <w:rsid w:val="00FF547E"/>
    <w:rsid w:val="00FF57BC"/>
    <w:rsid w:val="00FF5DA0"/>
    <w:rsid w:val="00FF62CF"/>
    <w:rsid w:val="00FF6442"/>
    <w:rsid w:val="00FF7258"/>
    <w:rsid w:val="00FF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82B53B"/>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5F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4">
    <w:name w:val="heading 4"/>
    <w:basedOn w:val="Normal"/>
    <w:next w:val="Normal"/>
    <w:link w:val="Heading4Char"/>
    <w:uiPriority w:val="9"/>
    <w:semiHidden/>
    <w:unhideWhenUsed/>
    <w:qFormat/>
    <w:rsid w:val="001055E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uiPriority w:val="22"/>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rsid w:val="00497534"/>
  </w:style>
  <w:style w:type="paragraph" w:customStyle="1" w:styleId="xmsonormal">
    <w:name w:val="x_msonormal"/>
    <w:basedOn w:val="Normal"/>
    <w:rsid w:val="00FD1BF2"/>
    <w:rPr>
      <w:rFonts w:ascii="Calibri" w:eastAsiaTheme="minorEastAsia" w:hAnsi="Calibri" w:cs="Calibri"/>
      <w:sz w:val="22"/>
      <w:szCs w:val="22"/>
      <w:lang w:eastAsia="ko-KR"/>
    </w:rPr>
  </w:style>
  <w:style w:type="paragraph" w:customStyle="1" w:styleId="xmsolistparagraph">
    <w:name w:val="x_msolistparagraph"/>
    <w:basedOn w:val="Normal"/>
    <w:rsid w:val="00FD1BF2"/>
    <w:pPr>
      <w:ind w:left="720"/>
    </w:pPr>
    <w:rPr>
      <w:rFonts w:ascii="Calibri" w:eastAsiaTheme="minorEastAsia" w:hAnsi="Calibri" w:cs="Calibri"/>
      <w:sz w:val="22"/>
      <w:szCs w:val="22"/>
      <w:lang w:eastAsia="ko-KR"/>
    </w:rPr>
  </w:style>
  <w:style w:type="character" w:styleId="Emphasis">
    <w:name w:val="Emphasis"/>
    <w:basedOn w:val="DefaultParagraphFont"/>
    <w:uiPriority w:val="20"/>
    <w:qFormat/>
    <w:rsid w:val="00D05BD0"/>
    <w:rPr>
      <w:i/>
      <w:iCs/>
    </w:rPr>
  </w:style>
  <w:style w:type="character" w:styleId="UnresolvedMention">
    <w:name w:val="Unresolved Mention"/>
    <w:basedOn w:val="DefaultParagraphFont"/>
    <w:uiPriority w:val="99"/>
    <w:semiHidden/>
    <w:unhideWhenUsed/>
    <w:rsid w:val="0027115F"/>
    <w:rPr>
      <w:color w:val="605E5C"/>
      <w:shd w:val="clear" w:color="auto" w:fill="E1DFDD"/>
    </w:rPr>
  </w:style>
  <w:style w:type="table" w:styleId="PlainTable2">
    <w:name w:val="Plain Table 2"/>
    <w:basedOn w:val="TableNormal"/>
    <w:uiPriority w:val="42"/>
    <w:rsid w:val="008473F4"/>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semiHidden/>
    <w:rsid w:val="001055E9"/>
    <w:rPr>
      <w:rFonts w:asciiTheme="majorHAnsi" w:eastAsiaTheme="majorEastAsia" w:hAnsiTheme="majorHAnsi" w:cstheme="majorBidi"/>
      <w:i/>
      <w:iCs/>
      <w:color w:val="365F91" w:themeColor="accent1" w:themeShade="BF"/>
      <w:sz w:val="24"/>
    </w:rPr>
  </w:style>
  <w:style w:type="paragraph" w:customStyle="1" w:styleId="xmsonormal0">
    <w:name w:val="xmsonormal"/>
    <w:basedOn w:val="Normal"/>
    <w:rsid w:val="00645719"/>
    <w:pPr>
      <w:spacing w:before="100" w:beforeAutospacing="1" w:after="100" w:afterAutospacing="1"/>
    </w:pPr>
    <w:rPr>
      <w:rFonts w:ascii="Calibri" w:eastAsiaTheme="minorEastAsia" w:hAnsi="Calibri" w:cs="Calibr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3657">
      <w:bodyDiv w:val="1"/>
      <w:marLeft w:val="0"/>
      <w:marRight w:val="0"/>
      <w:marTop w:val="0"/>
      <w:marBottom w:val="0"/>
      <w:divBdr>
        <w:top w:val="none" w:sz="0" w:space="0" w:color="auto"/>
        <w:left w:val="none" w:sz="0" w:space="0" w:color="auto"/>
        <w:bottom w:val="none" w:sz="0" w:space="0" w:color="auto"/>
        <w:right w:val="none" w:sz="0" w:space="0" w:color="auto"/>
      </w:divBdr>
    </w:div>
    <w:div w:id="115758016">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26700856">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35627102">
      <w:bodyDiv w:val="1"/>
      <w:marLeft w:val="0"/>
      <w:marRight w:val="0"/>
      <w:marTop w:val="0"/>
      <w:marBottom w:val="0"/>
      <w:divBdr>
        <w:top w:val="none" w:sz="0" w:space="0" w:color="auto"/>
        <w:left w:val="none" w:sz="0" w:space="0" w:color="auto"/>
        <w:bottom w:val="none" w:sz="0" w:space="0" w:color="auto"/>
        <w:right w:val="none" w:sz="0" w:space="0" w:color="auto"/>
      </w:divBdr>
    </w:div>
    <w:div w:id="242036170">
      <w:bodyDiv w:val="1"/>
      <w:marLeft w:val="0"/>
      <w:marRight w:val="0"/>
      <w:marTop w:val="0"/>
      <w:marBottom w:val="0"/>
      <w:divBdr>
        <w:top w:val="none" w:sz="0" w:space="0" w:color="auto"/>
        <w:left w:val="none" w:sz="0" w:space="0" w:color="auto"/>
        <w:bottom w:val="none" w:sz="0" w:space="0" w:color="auto"/>
        <w:right w:val="none" w:sz="0" w:space="0" w:color="auto"/>
      </w:divBdr>
    </w:div>
    <w:div w:id="247689568">
      <w:bodyDiv w:val="1"/>
      <w:marLeft w:val="0"/>
      <w:marRight w:val="0"/>
      <w:marTop w:val="0"/>
      <w:marBottom w:val="0"/>
      <w:divBdr>
        <w:top w:val="none" w:sz="0" w:space="0" w:color="auto"/>
        <w:left w:val="none" w:sz="0" w:space="0" w:color="auto"/>
        <w:bottom w:val="none" w:sz="0" w:space="0" w:color="auto"/>
        <w:right w:val="none" w:sz="0" w:space="0" w:color="auto"/>
      </w:divBdr>
    </w:div>
    <w:div w:id="276647181">
      <w:bodyDiv w:val="1"/>
      <w:marLeft w:val="0"/>
      <w:marRight w:val="0"/>
      <w:marTop w:val="0"/>
      <w:marBottom w:val="0"/>
      <w:divBdr>
        <w:top w:val="none" w:sz="0" w:space="0" w:color="auto"/>
        <w:left w:val="none" w:sz="0" w:space="0" w:color="auto"/>
        <w:bottom w:val="none" w:sz="0" w:space="0" w:color="auto"/>
        <w:right w:val="none" w:sz="0" w:space="0" w:color="auto"/>
      </w:divBdr>
    </w:div>
    <w:div w:id="292298976">
      <w:bodyDiv w:val="1"/>
      <w:marLeft w:val="0"/>
      <w:marRight w:val="0"/>
      <w:marTop w:val="0"/>
      <w:marBottom w:val="0"/>
      <w:divBdr>
        <w:top w:val="none" w:sz="0" w:space="0" w:color="auto"/>
        <w:left w:val="none" w:sz="0" w:space="0" w:color="auto"/>
        <w:bottom w:val="none" w:sz="0" w:space="0" w:color="auto"/>
        <w:right w:val="none" w:sz="0" w:space="0" w:color="auto"/>
      </w:divBdr>
    </w:div>
    <w:div w:id="310869491">
      <w:bodyDiv w:val="1"/>
      <w:marLeft w:val="0"/>
      <w:marRight w:val="0"/>
      <w:marTop w:val="0"/>
      <w:marBottom w:val="0"/>
      <w:divBdr>
        <w:top w:val="none" w:sz="0" w:space="0" w:color="auto"/>
        <w:left w:val="none" w:sz="0" w:space="0" w:color="auto"/>
        <w:bottom w:val="none" w:sz="0" w:space="0" w:color="auto"/>
        <w:right w:val="none" w:sz="0" w:space="0" w:color="auto"/>
      </w:divBdr>
    </w:div>
    <w:div w:id="316226920">
      <w:bodyDiv w:val="1"/>
      <w:marLeft w:val="0"/>
      <w:marRight w:val="0"/>
      <w:marTop w:val="0"/>
      <w:marBottom w:val="0"/>
      <w:divBdr>
        <w:top w:val="none" w:sz="0" w:space="0" w:color="auto"/>
        <w:left w:val="none" w:sz="0" w:space="0" w:color="auto"/>
        <w:bottom w:val="none" w:sz="0" w:space="0" w:color="auto"/>
        <w:right w:val="none" w:sz="0" w:space="0" w:color="auto"/>
      </w:divBdr>
    </w:div>
    <w:div w:id="348724986">
      <w:bodyDiv w:val="1"/>
      <w:marLeft w:val="0"/>
      <w:marRight w:val="0"/>
      <w:marTop w:val="0"/>
      <w:marBottom w:val="0"/>
      <w:divBdr>
        <w:top w:val="none" w:sz="0" w:space="0" w:color="auto"/>
        <w:left w:val="none" w:sz="0" w:space="0" w:color="auto"/>
        <w:bottom w:val="none" w:sz="0" w:space="0" w:color="auto"/>
        <w:right w:val="none" w:sz="0" w:space="0" w:color="auto"/>
      </w:divBdr>
    </w:div>
    <w:div w:id="38648956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63472082">
      <w:bodyDiv w:val="1"/>
      <w:marLeft w:val="0"/>
      <w:marRight w:val="0"/>
      <w:marTop w:val="0"/>
      <w:marBottom w:val="0"/>
      <w:divBdr>
        <w:top w:val="none" w:sz="0" w:space="0" w:color="auto"/>
        <w:left w:val="none" w:sz="0" w:space="0" w:color="auto"/>
        <w:bottom w:val="none" w:sz="0" w:space="0" w:color="auto"/>
        <w:right w:val="none" w:sz="0" w:space="0" w:color="auto"/>
      </w:divBdr>
    </w:div>
    <w:div w:id="546601187">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38614814">
      <w:bodyDiv w:val="1"/>
      <w:marLeft w:val="0"/>
      <w:marRight w:val="0"/>
      <w:marTop w:val="0"/>
      <w:marBottom w:val="0"/>
      <w:divBdr>
        <w:top w:val="none" w:sz="0" w:space="0" w:color="auto"/>
        <w:left w:val="none" w:sz="0" w:space="0" w:color="auto"/>
        <w:bottom w:val="none" w:sz="0" w:space="0" w:color="auto"/>
        <w:right w:val="none" w:sz="0" w:space="0" w:color="auto"/>
      </w:divBdr>
    </w:div>
    <w:div w:id="642084553">
      <w:bodyDiv w:val="1"/>
      <w:marLeft w:val="0"/>
      <w:marRight w:val="0"/>
      <w:marTop w:val="0"/>
      <w:marBottom w:val="0"/>
      <w:divBdr>
        <w:top w:val="none" w:sz="0" w:space="0" w:color="auto"/>
        <w:left w:val="none" w:sz="0" w:space="0" w:color="auto"/>
        <w:bottom w:val="none" w:sz="0" w:space="0" w:color="auto"/>
        <w:right w:val="none" w:sz="0" w:space="0" w:color="auto"/>
      </w:divBdr>
    </w:div>
    <w:div w:id="658967906">
      <w:bodyDiv w:val="1"/>
      <w:marLeft w:val="0"/>
      <w:marRight w:val="0"/>
      <w:marTop w:val="0"/>
      <w:marBottom w:val="0"/>
      <w:divBdr>
        <w:top w:val="none" w:sz="0" w:space="0" w:color="auto"/>
        <w:left w:val="none" w:sz="0" w:space="0" w:color="auto"/>
        <w:bottom w:val="none" w:sz="0" w:space="0" w:color="auto"/>
        <w:right w:val="none" w:sz="0" w:space="0" w:color="auto"/>
      </w:divBdr>
    </w:div>
    <w:div w:id="666907417">
      <w:bodyDiv w:val="1"/>
      <w:marLeft w:val="0"/>
      <w:marRight w:val="0"/>
      <w:marTop w:val="0"/>
      <w:marBottom w:val="0"/>
      <w:divBdr>
        <w:top w:val="none" w:sz="0" w:space="0" w:color="auto"/>
        <w:left w:val="none" w:sz="0" w:space="0" w:color="auto"/>
        <w:bottom w:val="none" w:sz="0" w:space="0" w:color="auto"/>
        <w:right w:val="none" w:sz="0" w:space="0" w:color="auto"/>
      </w:divBdr>
    </w:div>
    <w:div w:id="697466671">
      <w:bodyDiv w:val="1"/>
      <w:marLeft w:val="0"/>
      <w:marRight w:val="0"/>
      <w:marTop w:val="0"/>
      <w:marBottom w:val="0"/>
      <w:divBdr>
        <w:top w:val="none" w:sz="0" w:space="0" w:color="auto"/>
        <w:left w:val="none" w:sz="0" w:space="0" w:color="auto"/>
        <w:bottom w:val="none" w:sz="0" w:space="0" w:color="auto"/>
        <w:right w:val="none" w:sz="0" w:space="0" w:color="auto"/>
      </w:divBdr>
    </w:div>
    <w:div w:id="708336921">
      <w:bodyDiv w:val="1"/>
      <w:marLeft w:val="0"/>
      <w:marRight w:val="0"/>
      <w:marTop w:val="0"/>
      <w:marBottom w:val="0"/>
      <w:divBdr>
        <w:top w:val="none" w:sz="0" w:space="0" w:color="auto"/>
        <w:left w:val="none" w:sz="0" w:space="0" w:color="auto"/>
        <w:bottom w:val="none" w:sz="0" w:space="0" w:color="auto"/>
        <w:right w:val="none" w:sz="0" w:space="0" w:color="auto"/>
      </w:divBdr>
    </w:div>
    <w:div w:id="723606072">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39525630">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41236402">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6426536">
      <w:bodyDiv w:val="1"/>
      <w:marLeft w:val="0"/>
      <w:marRight w:val="0"/>
      <w:marTop w:val="0"/>
      <w:marBottom w:val="0"/>
      <w:divBdr>
        <w:top w:val="none" w:sz="0" w:space="0" w:color="auto"/>
        <w:left w:val="none" w:sz="0" w:space="0" w:color="auto"/>
        <w:bottom w:val="none" w:sz="0" w:space="0" w:color="auto"/>
        <w:right w:val="none" w:sz="0" w:space="0" w:color="auto"/>
      </w:divBdr>
    </w:div>
    <w:div w:id="96943401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78399941">
      <w:bodyDiv w:val="1"/>
      <w:marLeft w:val="0"/>
      <w:marRight w:val="0"/>
      <w:marTop w:val="0"/>
      <w:marBottom w:val="0"/>
      <w:divBdr>
        <w:top w:val="none" w:sz="0" w:space="0" w:color="auto"/>
        <w:left w:val="none" w:sz="0" w:space="0" w:color="auto"/>
        <w:bottom w:val="none" w:sz="0" w:space="0" w:color="auto"/>
        <w:right w:val="none" w:sz="0" w:space="0" w:color="auto"/>
      </w:divBdr>
    </w:div>
    <w:div w:id="1120683322">
      <w:bodyDiv w:val="1"/>
      <w:marLeft w:val="0"/>
      <w:marRight w:val="0"/>
      <w:marTop w:val="0"/>
      <w:marBottom w:val="0"/>
      <w:divBdr>
        <w:top w:val="none" w:sz="0" w:space="0" w:color="auto"/>
        <w:left w:val="none" w:sz="0" w:space="0" w:color="auto"/>
        <w:bottom w:val="none" w:sz="0" w:space="0" w:color="auto"/>
        <w:right w:val="none" w:sz="0" w:space="0" w:color="auto"/>
      </w:divBdr>
      <w:divsChild>
        <w:div w:id="194587762">
          <w:marLeft w:val="0"/>
          <w:marRight w:val="0"/>
          <w:marTop w:val="0"/>
          <w:marBottom w:val="0"/>
          <w:divBdr>
            <w:top w:val="none" w:sz="0" w:space="0" w:color="auto"/>
            <w:left w:val="none" w:sz="0" w:space="0" w:color="auto"/>
            <w:bottom w:val="none" w:sz="0" w:space="0" w:color="auto"/>
            <w:right w:val="none" w:sz="0" w:space="0" w:color="auto"/>
          </w:divBdr>
        </w:div>
        <w:div w:id="939797428">
          <w:marLeft w:val="0"/>
          <w:marRight w:val="0"/>
          <w:marTop w:val="0"/>
          <w:marBottom w:val="0"/>
          <w:divBdr>
            <w:top w:val="none" w:sz="0" w:space="0" w:color="auto"/>
            <w:left w:val="none" w:sz="0" w:space="0" w:color="auto"/>
            <w:bottom w:val="none" w:sz="0" w:space="0" w:color="auto"/>
            <w:right w:val="none" w:sz="0" w:space="0" w:color="auto"/>
          </w:divBdr>
        </w:div>
        <w:div w:id="583731841">
          <w:marLeft w:val="0"/>
          <w:marRight w:val="0"/>
          <w:marTop w:val="0"/>
          <w:marBottom w:val="0"/>
          <w:divBdr>
            <w:top w:val="none" w:sz="0" w:space="0" w:color="auto"/>
            <w:left w:val="none" w:sz="0" w:space="0" w:color="auto"/>
            <w:bottom w:val="none" w:sz="0" w:space="0" w:color="auto"/>
            <w:right w:val="none" w:sz="0" w:space="0" w:color="auto"/>
          </w:divBdr>
        </w:div>
        <w:div w:id="174076700">
          <w:marLeft w:val="0"/>
          <w:marRight w:val="0"/>
          <w:marTop w:val="0"/>
          <w:marBottom w:val="0"/>
          <w:divBdr>
            <w:top w:val="none" w:sz="0" w:space="0" w:color="auto"/>
            <w:left w:val="none" w:sz="0" w:space="0" w:color="auto"/>
            <w:bottom w:val="none" w:sz="0" w:space="0" w:color="auto"/>
            <w:right w:val="none" w:sz="0" w:space="0" w:color="auto"/>
          </w:divBdr>
        </w:div>
      </w:divsChild>
    </w:div>
    <w:div w:id="1122113703">
      <w:bodyDiv w:val="1"/>
      <w:marLeft w:val="0"/>
      <w:marRight w:val="0"/>
      <w:marTop w:val="0"/>
      <w:marBottom w:val="0"/>
      <w:divBdr>
        <w:top w:val="none" w:sz="0" w:space="0" w:color="auto"/>
        <w:left w:val="none" w:sz="0" w:space="0" w:color="auto"/>
        <w:bottom w:val="none" w:sz="0" w:space="0" w:color="auto"/>
        <w:right w:val="none" w:sz="0" w:space="0" w:color="auto"/>
      </w:divBdr>
    </w:div>
    <w:div w:id="1174613575">
      <w:bodyDiv w:val="1"/>
      <w:marLeft w:val="0"/>
      <w:marRight w:val="0"/>
      <w:marTop w:val="0"/>
      <w:marBottom w:val="0"/>
      <w:divBdr>
        <w:top w:val="none" w:sz="0" w:space="0" w:color="auto"/>
        <w:left w:val="none" w:sz="0" w:space="0" w:color="auto"/>
        <w:bottom w:val="none" w:sz="0" w:space="0" w:color="auto"/>
        <w:right w:val="none" w:sz="0" w:space="0" w:color="auto"/>
      </w:divBdr>
    </w:div>
    <w:div w:id="1205366930">
      <w:bodyDiv w:val="1"/>
      <w:marLeft w:val="0"/>
      <w:marRight w:val="0"/>
      <w:marTop w:val="0"/>
      <w:marBottom w:val="0"/>
      <w:divBdr>
        <w:top w:val="none" w:sz="0" w:space="0" w:color="auto"/>
        <w:left w:val="none" w:sz="0" w:space="0" w:color="auto"/>
        <w:bottom w:val="none" w:sz="0" w:space="0" w:color="auto"/>
        <w:right w:val="none" w:sz="0" w:space="0" w:color="auto"/>
      </w:divBdr>
    </w:div>
    <w:div w:id="1248229087">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7969">
      <w:bodyDiv w:val="1"/>
      <w:marLeft w:val="0"/>
      <w:marRight w:val="0"/>
      <w:marTop w:val="0"/>
      <w:marBottom w:val="0"/>
      <w:divBdr>
        <w:top w:val="none" w:sz="0" w:space="0" w:color="auto"/>
        <w:left w:val="none" w:sz="0" w:space="0" w:color="auto"/>
        <w:bottom w:val="none" w:sz="0" w:space="0" w:color="auto"/>
        <w:right w:val="none" w:sz="0" w:space="0" w:color="auto"/>
      </w:divBdr>
    </w:div>
    <w:div w:id="1479154668">
      <w:bodyDiv w:val="1"/>
      <w:marLeft w:val="0"/>
      <w:marRight w:val="0"/>
      <w:marTop w:val="0"/>
      <w:marBottom w:val="0"/>
      <w:divBdr>
        <w:top w:val="none" w:sz="0" w:space="0" w:color="auto"/>
        <w:left w:val="none" w:sz="0" w:space="0" w:color="auto"/>
        <w:bottom w:val="none" w:sz="0" w:space="0" w:color="auto"/>
        <w:right w:val="none" w:sz="0" w:space="0" w:color="auto"/>
      </w:divBdr>
    </w:div>
    <w:div w:id="1487356215">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84608871">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818">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05125430">
      <w:bodyDiv w:val="1"/>
      <w:marLeft w:val="0"/>
      <w:marRight w:val="0"/>
      <w:marTop w:val="0"/>
      <w:marBottom w:val="0"/>
      <w:divBdr>
        <w:top w:val="none" w:sz="0" w:space="0" w:color="auto"/>
        <w:left w:val="none" w:sz="0" w:space="0" w:color="auto"/>
        <w:bottom w:val="none" w:sz="0" w:space="0" w:color="auto"/>
        <w:right w:val="none" w:sz="0" w:space="0" w:color="auto"/>
      </w:divBdr>
    </w:div>
    <w:div w:id="1813788491">
      <w:bodyDiv w:val="1"/>
      <w:marLeft w:val="0"/>
      <w:marRight w:val="0"/>
      <w:marTop w:val="0"/>
      <w:marBottom w:val="0"/>
      <w:divBdr>
        <w:top w:val="none" w:sz="0" w:space="0" w:color="auto"/>
        <w:left w:val="none" w:sz="0" w:space="0" w:color="auto"/>
        <w:bottom w:val="none" w:sz="0" w:space="0" w:color="auto"/>
        <w:right w:val="none" w:sz="0" w:space="0" w:color="auto"/>
      </w:divBdr>
    </w:div>
    <w:div w:id="1826045618">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41384083">
      <w:bodyDiv w:val="1"/>
      <w:marLeft w:val="0"/>
      <w:marRight w:val="0"/>
      <w:marTop w:val="0"/>
      <w:marBottom w:val="0"/>
      <w:divBdr>
        <w:top w:val="none" w:sz="0" w:space="0" w:color="auto"/>
        <w:left w:val="none" w:sz="0" w:space="0" w:color="auto"/>
        <w:bottom w:val="none" w:sz="0" w:space="0" w:color="auto"/>
        <w:right w:val="none" w:sz="0" w:space="0" w:color="auto"/>
      </w:divBdr>
    </w:div>
    <w:div w:id="1878935050">
      <w:bodyDiv w:val="1"/>
      <w:marLeft w:val="0"/>
      <w:marRight w:val="0"/>
      <w:marTop w:val="0"/>
      <w:marBottom w:val="0"/>
      <w:divBdr>
        <w:top w:val="none" w:sz="0" w:space="0" w:color="auto"/>
        <w:left w:val="none" w:sz="0" w:space="0" w:color="auto"/>
        <w:bottom w:val="none" w:sz="0" w:space="0" w:color="auto"/>
        <w:right w:val="none" w:sz="0" w:space="0" w:color="auto"/>
      </w:divBdr>
    </w:div>
    <w:div w:id="1901092928">
      <w:bodyDiv w:val="1"/>
      <w:marLeft w:val="0"/>
      <w:marRight w:val="0"/>
      <w:marTop w:val="0"/>
      <w:marBottom w:val="0"/>
      <w:divBdr>
        <w:top w:val="none" w:sz="0" w:space="0" w:color="auto"/>
        <w:left w:val="none" w:sz="0" w:space="0" w:color="auto"/>
        <w:bottom w:val="none" w:sz="0" w:space="0" w:color="auto"/>
        <w:right w:val="none" w:sz="0" w:space="0" w:color="auto"/>
      </w:divBdr>
    </w:div>
    <w:div w:id="190567756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28536495">
      <w:bodyDiv w:val="1"/>
      <w:marLeft w:val="0"/>
      <w:marRight w:val="0"/>
      <w:marTop w:val="0"/>
      <w:marBottom w:val="0"/>
      <w:divBdr>
        <w:top w:val="none" w:sz="0" w:space="0" w:color="auto"/>
        <w:left w:val="none" w:sz="0" w:space="0" w:color="auto"/>
        <w:bottom w:val="none" w:sz="0" w:space="0" w:color="auto"/>
        <w:right w:val="none" w:sz="0" w:space="0" w:color="auto"/>
      </w:divBdr>
    </w:div>
    <w:div w:id="1989967314">
      <w:bodyDiv w:val="1"/>
      <w:marLeft w:val="0"/>
      <w:marRight w:val="0"/>
      <w:marTop w:val="0"/>
      <w:marBottom w:val="0"/>
      <w:divBdr>
        <w:top w:val="none" w:sz="0" w:space="0" w:color="auto"/>
        <w:left w:val="none" w:sz="0" w:space="0" w:color="auto"/>
        <w:bottom w:val="none" w:sz="0" w:space="0" w:color="auto"/>
        <w:right w:val="none" w:sz="0" w:space="0" w:color="auto"/>
      </w:divBdr>
    </w:div>
    <w:div w:id="2040886974">
      <w:bodyDiv w:val="1"/>
      <w:marLeft w:val="0"/>
      <w:marRight w:val="0"/>
      <w:marTop w:val="0"/>
      <w:marBottom w:val="0"/>
      <w:divBdr>
        <w:top w:val="none" w:sz="0" w:space="0" w:color="auto"/>
        <w:left w:val="none" w:sz="0" w:space="0" w:color="auto"/>
        <w:bottom w:val="none" w:sz="0" w:space="0" w:color="auto"/>
        <w:right w:val="none" w:sz="0" w:space="0" w:color="auto"/>
      </w:divBdr>
    </w:div>
    <w:div w:id="2102022761">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 w:id="2129160425">
      <w:bodyDiv w:val="1"/>
      <w:marLeft w:val="0"/>
      <w:marRight w:val="0"/>
      <w:marTop w:val="0"/>
      <w:marBottom w:val="0"/>
      <w:divBdr>
        <w:top w:val="none" w:sz="0" w:space="0" w:color="auto"/>
        <w:left w:val="none" w:sz="0" w:space="0" w:color="auto"/>
        <w:bottom w:val="none" w:sz="0" w:space="0" w:color="auto"/>
        <w:right w:val="none" w:sz="0" w:space="0" w:color="auto"/>
      </w:divBdr>
    </w:div>
    <w:div w:id="21346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eattle.gov/iandraffairs/programs-and-services/covid-19-disaster-relief-fund-for-immigrants" TargetMode="External"/><Relationship Id="rId3" Type="http://schemas.openxmlformats.org/officeDocument/2006/relationships/hyperlink" Target="https://www.congress.gov/bill/117th-congress/house-bill/1319" TargetMode="External"/><Relationship Id="rId7" Type="http://schemas.openxmlformats.org/officeDocument/2006/relationships/hyperlink" Target="https://www.immigrantreliefwa.org/" TargetMode="External"/><Relationship Id="rId12" Type="http://schemas.openxmlformats.org/officeDocument/2006/relationships/hyperlink" Target="https://kingcounty.gov/depts/health/covid-19/~/media/depts/health/communicable-diseases/documents/C19/king-county-principles-vaccine-delivery.ashx" TargetMode="External"/><Relationship Id="rId2" Type="http://schemas.openxmlformats.org/officeDocument/2006/relationships/hyperlink" Target="https://www.congress.gov/bill/116th-congress/house-bill/133/text" TargetMode="External"/><Relationship Id="rId1" Type="http://schemas.openxmlformats.org/officeDocument/2006/relationships/hyperlink" Target="https://www.congress.gov/bill/116th-congress/house-bill/748" TargetMode="External"/><Relationship Id="rId6" Type="http://schemas.openxmlformats.org/officeDocument/2006/relationships/hyperlink" Target="https://kingcounty.gov/elected/executive/constantine/news/release/2021/June/22-renton-health-through-housing.aspx" TargetMode="External"/><Relationship Id="rId11" Type="http://schemas.openxmlformats.org/officeDocument/2006/relationships/hyperlink" Target="https://kingcounty.gov/depts/community-human-services/housing/consortium.aspx" TargetMode="External"/><Relationship Id="rId5" Type="http://schemas.openxmlformats.org/officeDocument/2006/relationships/hyperlink" Target="https://home.treasury.gov/system/files/136/FRF-Interim-Final-Rule.pdf" TargetMode="External"/><Relationship Id="rId10" Type="http://schemas.openxmlformats.org/officeDocument/2006/relationships/hyperlink" Target="https://kingcounty.gov/depts/community-human-services/housing/consortium.aspx" TargetMode="External"/><Relationship Id="rId4" Type="http://schemas.openxmlformats.org/officeDocument/2006/relationships/hyperlink" Target="http://mrsc.org/Home/Stay-Informed/MRSC-Insight/March-2021/The-Status-of-Drug-Possession-in-Washington-State.aspx" TargetMode="External"/><Relationship Id="rId9" Type="http://schemas.openxmlformats.org/officeDocument/2006/relationships/hyperlink" Target="https://laborcenter.berkeley.edu/putting-california-on-the-high-road-a-jobs-and-climate-action-plan-for-20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3" ma:contentTypeDescription="Create a new document." ma:contentTypeScope="" ma:versionID="46d82d13f0aefdedcd3f0bca2c25be26">
  <xsd:schema xmlns:xsd="http://www.w3.org/2001/XMLSchema" xmlns:xs="http://www.w3.org/2001/XMLSchema" xmlns:p="http://schemas.microsoft.com/office/2006/metadata/properties" xmlns:ns3="4aba5fda-01fb-42e4-a102-58659c678a77" xmlns:ns4="44c68773-943e-40d7-846d-7f522ddfc5d0" targetNamespace="http://schemas.microsoft.com/office/2006/metadata/properties" ma:root="true" ma:fieldsID="34593daee29c77df6991d0f9e2720c62" ns3:_="" ns4:_="">
    <xsd:import namespace="4aba5fda-01fb-42e4-a102-58659c678a77"/>
    <xsd:import namespace="44c68773-943e-40d7-846d-7f522ddfc5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68773-943e-40d7-846d-7f522ddfc5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C91F4-09F0-44AB-A5F7-60751E344584}">
  <ds:schemaRefs>
    <ds:schemaRef ds:uri="http://schemas.microsoft.com/sharepoint/v3/contenttype/forms"/>
  </ds:schemaRefs>
</ds:datastoreItem>
</file>

<file path=customXml/itemProps2.xml><?xml version="1.0" encoding="utf-8"?>
<ds:datastoreItem xmlns:ds="http://schemas.openxmlformats.org/officeDocument/2006/customXml" ds:itemID="{B99722C8-4B3C-45CC-A6B9-941D68418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44c68773-943e-40d7-846d-7f522ddfc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6993C-D2E8-40F7-82BE-A1B0096EA5F9}">
  <ds:schemaRefs>
    <ds:schemaRef ds:uri="http://schemas.openxmlformats.org/officeDocument/2006/bibliography"/>
  </ds:schemaRefs>
</ds:datastoreItem>
</file>

<file path=customXml/itemProps4.xml><?xml version="1.0" encoding="utf-8"?>
<ds:datastoreItem xmlns:ds="http://schemas.openxmlformats.org/officeDocument/2006/customXml" ds:itemID="{C85DBB18-957E-46DC-8CF5-BABA0C85BD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2051</TotalTime>
  <Pages>25</Pages>
  <Words>9440</Words>
  <Characters>53016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dc:creator>
  <cp:lastModifiedBy>Kim, Andrew</cp:lastModifiedBy>
  <cp:revision>172</cp:revision>
  <cp:lastPrinted>2015-03-13T15:09:00Z</cp:lastPrinted>
  <dcterms:created xsi:type="dcterms:W3CDTF">2021-07-07T17:50:00Z</dcterms:created>
  <dcterms:modified xsi:type="dcterms:W3CDTF">2021-07-16T16:09:00Z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