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41D2A" w14:textId="77777777" w:rsidR="00CA6C67" w:rsidRPr="00A46A5D" w:rsidRDefault="00CA6C67" w:rsidP="00CA6C67">
      <w:pPr>
        <w:pStyle w:val="Heading2"/>
        <w:jc w:val="both"/>
        <w:rPr>
          <w:b w:val="0"/>
          <w:sz w:val="24"/>
          <w:u w:val="none"/>
        </w:rPr>
      </w:pPr>
    </w:p>
    <w:p w14:paraId="19CFD25D" w14:textId="01BBC7CE" w:rsidR="00CA6C67" w:rsidRPr="00F71F8C" w:rsidRDefault="00CA6C67" w:rsidP="00EC6654">
      <w:pPr>
        <w:pStyle w:val="Heading2"/>
        <w:rPr>
          <w:rFonts w:ascii="Arial" w:hAnsi="Arial" w:cs="Arial"/>
          <w:sz w:val="24"/>
        </w:rPr>
      </w:pPr>
      <w:r w:rsidRPr="00F71F8C">
        <w:rPr>
          <w:rFonts w:ascii="Arial" w:hAnsi="Arial" w:cs="Arial"/>
          <w:sz w:val="24"/>
        </w:rPr>
        <w:t>STAFF REPORT</w:t>
      </w:r>
    </w:p>
    <w:p w14:paraId="54C6083C" w14:textId="77777777" w:rsidR="00CA6C67" w:rsidRPr="00F3508D" w:rsidRDefault="00CA6C67" w:rsidP="00CA6C67">
      <w:pPr>
        <w:jc w:val="both"/>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CA6C67" w:rsidRPr="009349D6" w14:paraId="492DE66D" w14:textId="77777777" w:rsidTr="0037234A">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C36C674" w14:textId="77777777" w:rsidR="00CA6C67" w:rsidRPr="009349D6" w:rsidRDefault="00CA6C67" w:rsidP="0037234A">
            <w:pPr>
              <w:spacing w:before="40" w:after="40"/>
              <w:jc w:val="both"/>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C68361E" w14:textId="3E3F255B" w:rsidR="00CA6C67" w:rsidRPr="009349D6" w:rsidRDefault="003F5297" w:rsidP="0037234A">
            <w:pPr>
              <w:spacing w:before="40" w:after="40"/>
              <w:jc w:val="both"/>
              <w:rPr>
                <w:rFonts w:ascii="Arial" w:hAnsi="Arial" w:cs="Arial"/>
              </w:rPr>
            </w:pPr>
            <w:r>
              <w:rPr>
                <w:rFonts w:ascii="Arial" w:hAnsi="Arial" w:cs="Arial"/>
              </w:rPr>
              <w:t>6 and 7</w:t>
            </w:r>
          </w:p>
        </w:tc>
        <w:tc>
          <w:tcPr>
            <w:tcW w:w="1170" w:type="dxa"/>
            <w:tcBorders>
              <w:top w:val="single" w:sz="4" w:space="0" w:color="auto"/>
              <w:left w:val="single" w:sz="4" w:space="0" w:color="auto"/>
              <w:bottom w:val="single" w:sz="4" w:space="0" w:color="auto"/>
              <w:right w:val="single" w:sz="4" w:space="0" w:color="auto"/>
            </w:tcBorders>
            <w:vAlign w:val="center"/>
          </w:tcPr>
          <w:p w14:paraId="74F0FEE7" w14:textId="77777777" w:rsidR="00CA6C67" w:rsidRPr="009349D6" w:rsidRDefault="00CA6C67" w:rsidP="0037234A">
            <w:pPr>
              <w:spacing w:before="40" w:after="40"/>
              <w:jc w:val="both"/>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C6FD43C" w14:textId="77777777" w:rsidR="00CA6C67" w:rsidRPr="009349D6" w:rsidRDefault="00CA6C67" w:rsidP="0037234A">
            <w:pPr>
              <w:spacing w:before="40" w:after="40"/>
              <w:jc w:val="both"/>
              <w:rPr>
                <w:rFonts w:ascii="Arial" w:hAnsi="Arial" w:cs="Arial"/>
              </w:rPr>
            </w:pPr>
            <w:r>
              <w:rPr>
                <w:rFonts w:ascii="Arial" w:hAnsi="Arial" w:cs="Arial"/>
              </w:rPr>
              <w:t>Mike Reed</w:t>
            </w:r>
          </w:p>
        </w:tc>
      </w:tr>
      <w:tr w:rsidR="00CA6C67" w:rsidRPr="009349D6" w14:paraId="31236DA6" w14:textId="77777777" w:rsidTr="0037234A">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0EDBB45" w14:textId="77777777" w:rsidR="00CA6C67" w:rsidRPr="009349D6" w:rsidRDefault="00CA6C67" w:rsidP="0037234A">
            <w:pPr>
              <w:spacing w:before="40" w:after="40"/>
              <w:jc w:val="both"/>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047DA32" w14:textId="7A85887B" w:rsidR="002066B4" w:rsidRDefault="00CA6C67" w:rsidP="0037234A">
            <w:pPr>
              <w:spacing w:before="40" w:after="40"/>
              <w:jc w:val="both"/>
              <w:rPr>
                <w:rFonts w:ascii="Arial" w:hAnsi="Arial" w:cs="Arial"/>
              </w:rPr>
            </w:pPr>
            <w:r>
              <w:rPr>
                <w:rFonts w:ascii="Arial" w:hAnsi="Arial" w:cs="Arial"/>
              </w:rPr>
              <w:t>202</w:t>
            </w:r>
            <w:r w:rsidR="008D259B">
              <w:rPr>
                <w:rFonts w:ascii="Arial" w:hAnsi="Arial" w:cs="Arial"/>
              </w:rPr>
              <w:t>1</w:t>
            </w:r>
            <w:r>
              <w:rPr>
                <w:rFonts w:ascii="Arial" w:hAnsi="Arial" w:cs="Arial"/>
              </w:rPr>
              <w:t>-018</w:t>
            </w:r>
            <w:r w:rsidR="008D259B">
              <w:rPr>
                <w:rFonts w:ascii="Arial" w:hAnsi="Arial" w:cs="Arial"/>
              </w:rPr>
              <w:t>7</w:t>
            </w:r>
          </w:p>
          <w:p w14:paraId="3B35E71C" w14:textId="258D1413" w:rsidR="00CA6C67" w:rsidRPr="009349D6" w:rsidRDefault="002066B4" w:rsidP="0037234A">
            <w:pPr>
              <w:spacing w:before="40" w:after="40"/>
              <w:jc w:val="both"/>
              <w:rPr>
                <w:rFonts w:ascii="Arial" w:hAnsi="Arial" w:cs="Arial"/>
              </w:rPr>
            </w:pPr>
            <w:r>
              <w:rPr>
                <w:rFonts w:ascii="Arial" w:hAnsi="Arial" w:cs="Arial"/>
              </w:rPr>
              <w:t>2021-0190</w:t>
            </w:r>
          </w:p>
        </w:tc>
        <w:tc>
          <w:tcPr>
            <w:tcW w:w="1170" w:type="dxa"/>
            <w:tcBorders>
              <w:top w:val="single" w:sz="4" w:space="0" w:color="auto"/>
              <w:left w:val="single" w:sz="4" w:space="0" w:color="auto"/>
              <w:bottom w:val="single" w:sz="4" w:space="0" w:color="auto"/>
              <w:right w:val="single" w:sz="4" w:space="0" w:color="auto"/>
            </w:tcBorders>
            <w:vAlign w:val="center"/>
          </w:tcPr>
          <w:p w14:paraId="1DEFFAFC" w14:textId="77777777" w:rsidR="00CA6C67" w:rsidRPr="009349D6" w:rsidRDefault="00CA6C67" w:rsidP="0037234A">
            <w:pPr>
              <w:spacing w:before="40" w:after="40"/>
              <w:ind w:right="-108"/>
              <w:jc w:val="both"/>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A7C6460" w14:textId="287A36F6" w:rsidR="00CA6C67" w:rsidRPr="009349D6" w:rsidRDefault="008D259B" w:rsidP="0037234A">
            <w:pPr>
              <w:spacing w:before="40" w:after="40"/>
              <w:jc w:val="both"/>
              <w:rPr>
                <w:rFonts w:ascii="Arial" w:hAnsi="Arial" w:cs="Arial"/>
              </w:rPr>
            </w:pPr>
            <w:r>
              <w:rPr>
                <w:rFonts w:ascii="Arial" w:hAnsi="Arial" w:cs="Arial"/>
              </w:rPr>
              <w:t>May 18, 2021</w:t>
            </w:r>
          </w:p>
        </w:tc>
      </w:tr>
    </w:tbl>
    <w:p w14:paraId="4650F600" w14:textId="77777777" w:rsidR="00CA6C67" w:rsidRPr="009864F8" w:rsidRDefault="00CA6C67" w:rsidP="00CA6C67">
      <w:pPr>
        <w:jc w:val="both"/>
        <w:rPr>
          <w:rFonts w:ascii="Arial" w:hAnsi="Arial" w:cs="Arial"/>
          <w:b/>
          <w:smallCaps/>
          <w:szCs w:val="24"/>
          <w:u w:val="single"/>
        </w:rPr>
      </w:pPr>
    </w:p>
    <w:p w14:paraId="2AFA416E" w14:textId="77777777" w:rsidR="00CA6C67" w:rsidRDefault="00CA6C67" w:rsidP="003F52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b/>
        </w:rPr>
      </w:pPr>
      <w:r w:rsidRPr="00046D57">
        <w:rPr>
          <w:rFonts w:ascii="Arial" w:hAnsi="Arial" w:cs="Arial"/>
          <w:b/>
          <w:u w:val="single"/>
        </w:rPr>
        <w:t>SUBJECT</w:t>
      </w:r>
      <w:r w:rsidRPr="00046D57">
        <w:rPr>
          <w:rFonts w:ascii="Arial" w:hAnsi="Arial" w:cs="Arial"/>
          <w:b/>
        </w:rPr>
        <w:t>:</w:t>
      </w:r>
      <w:r>
        <w:rPr>
          <w:rFonts w:ascii="Arial" w:hAnsi="Arial" w:cs="Arial"/>
          <w:b/>
        </w:rPr>
        <w:t xml:space="preserve">  </w:t>
      </w:r>
    </w:p>
    <w:p w14:paraId="5DACF439" w14:textId="77777777" w:rsidR="00CA6C67" w:rsidRDefault="00CA6C67" w:rsidP="003F52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rPr>
      </w:pPr>
    </w:p>
    <w:p w14:paraId="4F2211B0" w14:textId="35D2AD52" w:rsidR="00CA6C67" w:rsidRPr="00046D57" w:rsidRDefault="00CA6C67" w:rsidP="003F52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rPr>
      </w:pPr>
      <w:r>
        <w:rPr>
          <w:rFonts w:ascii="Arial" w:hAnsi="Arial" w:cs="Arial"/>
        </w:rPr>
        <w:t>The Executive Proposed 202</w:t>
      </w:r>
      <w:r w:rsidR="004879F0">
        <w:rPr>
          <w:rFonts w:ascii="Arial" w:hAnsi="Arial" w:cs="Arial"/>
        </w:rPr>
        <w:t>2</w:t>
      </w:r>
      <w:r>
        <w:rPr>
          <w:rFonts w:ascii="Arial" w:hAnsi="Arial" w:cs="Arial"/>
        </w:rPr>
        <w:t xml:space="preserve"> Sewer Rate and Capacity Charge</w:t>
      </w:r>
      <w:r w:rsidR="00AD752E">
        <w:rPr>
          <w:rFonts w:ascii="Arial" w:hAnsi="Arial" w:cs="Arial"/>
        </w:rPr>
        <w:t xml:space="preserve"> and</w:t>
      </w:r>
      <w:r w:rsidR="001B7827">
        <w:rPr>
          <w:rFonts w:ascii="Arial" w:hAnsi="Arial" w:cs="Arial"/>
        </w:rPr>
        <w:t xml:space="preserve"> </w:t>
      </w:r>
      <w:r w:rsidR="00F32486">
        <w:rPr>
          <w:rFonts w:ascii="Arial" w:hAnsi="Arial" w:cs="Arial"/>
        </w:rPr>
        <w:t xml:space="preserve">related </w:t>
      </w:r>
      <w:r w:rsidR="001B7827">
        <w:rPr>
          <w:rFonts w:ascii="Arial" w:hAnsi="Arial" w:cs="Arial"/>
        </w:rPr>
        <w:t>wastewater supplemental budget ordinance</w:t>
      </w:r>
      <w:r w:rsidR="00D42AE4">
        <w:rPr>
          <w:rFonts w:ascii="Arial" w:hAnsi="Arial" w:cs="Arial"/>
        </w:rPr>
        <w:t>.</w:t>
      </w:r>
    </w:p>
    <w:p w14:paraId="690D64C0" w14:textId="77777777" w:rsidR="00CA6C67" w:rsidRPr="00046D57" w:rsidRDefault="00CA6C67" w:rsidP="003F5297">
      <w:pPr>
        <w:pStyle w:val="Courier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szCs w:val="24"/>
        </w:rPr>
      </w:pPr>
    </w:p>
    <w:p w14:paraId="41DF1575" w14:textId="77777777" w:rsidR="00CA6C67" w:rsidRDefault="00CA6C67" w:rsidP="003F5297">
      <w:pPr>
        <w:spacing w:line="264" w:lineRule="auto"/>
        <w:jc w:val="both"/>
        <w:rPr>
          <w:rFonts w:ascii="Arial" w:hAnsi="Arial" w:cs="Arial"/>
        </w:rPr>
      </w:pPr>
      <w:r w:rsidRPr="00046D57">
        <w:rPr>
          <w:rFonts w:ascii="Arial" w:hAnsi="Arial" w:cs="Arial"/>
          <w:b/>
          <w:u w:val="single"/>
        </w:rPr>
        <w:t>SUMMARY</w:t>
      </w:r>
      <w:r w:rsidRPr="00046D57">
        <w:rPr>
          <w:rFonts w:ascii="Arial" w:hAnsi="Arial" w:cs="Arial"/>
          <w:b/>
        </w:rPr>
        <w:t>:</w:t>
      </w:r>
      <w:r w:rsidRPr="00046D57">
        <w:rPr>
          <w:rFonts w:ascii="Arial" w:hAnsi="Arial" w:cs="Arial"/>
        </w:rPr>
        <w:t xml:space="preserve">  </w:t>
      </w:r>
    </w:p>
    <w:p w14:paraId="2646FF13" w14:textId="77777777" w:rsidR="00CA6C67" w:rsidRDefault="00CA6C67" w:rsidP="003F5297">
      <w:pPr>
        <w:spacing w:line="264" w:lineRule="auto"/>
        <w:jc w:val="both"/>
        <w:rPr>
          <w:rFonts w:ascii="Arial" w:hAnsi="Arial" w:cs="Arial"/>
        </w:rPr>
      </w:pPr>
    </w:p>
    <w:p w14:paraId="0CB44004" w14:textId="1E8C66DF" w:rsidR="00CA6C67" w:rsidRPr="00046D57" w:rsidRDefault="00CA6C67" w:rsidP="003F5297">
      <w:pPr>
        <w:spacing w:line="264" w:lineRule="auto"/>
        <w:jc w:val="both"/>
        <w:rPr>
          <w:rFonts w:ascii="Arial" w:hAnsi="Arial" w:cs="Arial"/>
        </w:rPr>
      </w:pPr>
      <w:r>
        <w:rPr>
          <w:rFonts w:ascii="Arial" w:hAnsi="Arial" w:cs="Arial"/>
        </w:rPr>
        <w:t>King County's sewer rates are set for the following year by June 30 of each year, pursuant to contract with participating utilities.  The Executive has transmitted Proposed Ordinance 202</w:t>
      </w:r>
      <w:r w:rsidR="004879F0">
        <w:rPr>
          <w:rFonts w:ascii="Arial" w:hAnsi="Arial" w:cs="Arial"/>
        </w:rPr>
        <w:t>1</w:t>
      </w:r>
      <w:r>
        <w:rPr>
          <w:rFonts w:ascii="Arial" w:hAnsi="Arial" w:cs="Arial"/>
        </w:rPr>
        <w:t>-018</w:t>
      </w:r>
      <w:r w:rsidR="006B3C92">
        <w:rPr>
          <w:rFonts w:ascii="Arial" w:hAnsi="Arial" w:cs="Arial"/>
        </w:rPr>
        <w:t>7</w:t>
      </w:r>
      <w:r>
        <w:rPr>
          <w:rFonts w:ascii="Arial" w:hAnsi="Arial" w:cs="Arial"/>
        </w:rPr>
        <w:t xml:space="preserve"> setting the sewer rate and capacity charge for 202</w:t>
      </w:r>
      <w:r w:rsidR="006B3C92">
        <w:rPr>
          <w:rFonts w:ascii="Arial" w:hAnsi="Arial" w:cs="Arial"/>
        </w:rPr>
        <w:t>2</w:t>
      </w:r>
      <w:r>
        <w:rPr>
          <w:rFonts w:ascii="Arial" w:hAnsi="Arial" w:cs="Arial"/>
        </w:rPr>
        <w:t>.  The Proposed Ordinance would</w:t>
      </w:r>
      <w:r w:rsidRPr="00046D57">
        <w:rPr>
          <w:rFonts w:ascii="Arial" w:hAnsi="Arial" w:cs="Arial"/>
        </w:rPr>
        <w:t>:</w:t>
      </w:r>
    </w:p>
    <w:p w14:paraId="7A089132" w14:textId="77777777" w:rsidR="00CA6C67" w:rsidRPr="00046D57" w:rsidRDefault="00CA6C67" w:rsidP="003F5297">
      <w:pPr>
        <w:spacing w:line="264" w:lineRule="auto"/>
        <w:jc w:val="both"/>
        <w:rPr>
          <w:rFonts w:ascii="Arial" w:hAnsi="Arial" w:cs="Arial"/>
        </w:rPr>
      </w:pPr>
    </w:p>
    <w:p w14:paraId="35B730C3" w14:textId="710B23AC" w:rsidR="00CA6C67" w:rsidRPr="00A7535F" w:rsidRDefault="00CA6C67" w:rsidP="003F5297">
      <w:pPr>
        <w:numPr>
          <w:ilvl w:val="0"/>
          <w:numId w:val="1"/>
        </w:numPr>
        <w:spacing w:line="264" w:lineRule="auto"/>
        <w:jc w:val="both"/>
        <w:rPr>
          <w:rFonts w:ascii="Arial" w:hAnsi="Arial" w:cs="Arial"/>
        </w:rPr>
      </w:pPr>
      <w:r>
        <w:rPr>
          <w:rFonts w:ascii="Arial" w:hAnsi="Arial" w:cs="Arial"/>
        </w:rPr>
        <w:t xml:space="preserve">Increase the </w:t>
      </w:r>
      <w:r w:rsidRPr="00A7535F">
        <w:rPr>
          <w:rFonts w:ascii="Arial" w:hAnsi="Arial" w:cs="Arial"/>
          <w:b/>
        </w:rPr>
        <w:t xml:space="preserve">monthly sewer rate </w:t>
      </w:r>
      <w:r>
        <w:rPr>
          <w:rFonts w:ascii="Arial" w:hAnsi="Arial" w:cs="Arial"/>
        </w:rPr>
        <w:t>effective in 202</w:t>
      </w:r>
      <w:r w:rsidR="00363C1D">
        <w:rPr>
          <w:rFonts w:ascii="Arial" w:hAnsi="Arial" w:cs="Arial"/>
        </w:rPr>
        <w:t>2</w:t>
      </w:r>
      <w:r w:rsidR="00875AF1">
        <w:rPr>
          <w:rFonts w:ascii="Arial" w:hAnsi="Arial" w:cs="Arial"/>
        </w:rPr>
        <w:t xml:space="preserve"> by 4</w:t>
      </w:r>
      <w:r w:rsidR="00D42AE4">
        <w:rPr>
          <w:rFonts w:ascii="Arial" w:hAnsi="Arial" w:cs="Arial"/>
        </w:rPr>
        <w:t>.0</w:t>
      </w:r>
      <w:r w:rsidR="00875AF1">
        <w:rPr>
          <w:rFonts w:ascii="Arial" w:hAnsi="Arial" w:cs="Arial"/>
        </w:rPr>
        <w:t>%</w:t>
      </w:r>
      <w:r>
        <w:rPr>
          <w:rFonts w:ascii="Arial" w:hAnsi="Arial" w:cs="Arial"/>
        </w:rPr>
        <w:t xml:space="preserve"> to</w:t>
      </w:r>
      <w:r w:rsidRPr="00A7535F">
        <w:rPr>
          <w:rFonts w:ascii="Arial" w:hAnsi="Arial" w:cs="Arial"/>
          <w:b/>
        </w:rPr>
        <w:t xml:space="preserve"> $</w:t>
      </w:r>
      <w:r>
        <w:rPr>
          <w:rFonts w:ascii="Arial" w:hAnsi="Arial" w:cs="Arial"/>
          <w:b/>
        </w:rPr>
        <w:t>4</w:t>
      </w:r>
      <w:r w:rsidR="00875AF1">
        <w:rPr>
          <w:rFonts w:ascii="Arial" w:hAnsi="Arial" w:cs="Arial"/>
          <w:b/>
        </w:rPr>
        <w:t>9</w:t>
      </w:r>
      <w:r>
        <w:rPr>
          <w:rFonts w:ascii="Arial" w:hAnsi="Arial" w:cs="Arial"/>
          <w:b/>
        </w:rPr>
        <w:t>.</w:t>
      </w:r>
      <w:r w:rsidR="00057264">
        <w:rPr>
          <w:rFonts w:ascii="Arial" w:hAnsi="Arial" w:cs="Arial"/>
          <w:b/>
        </w:rPr>
        <w:t>27</w:t>
      </w:r>
      <w:r w:rsidRPr="00A7535F">
        <w:rPr>
          <w:rFonts w:ascii="Arial" w:hAnsi="Arial" w:cs="Arial"/>
        </w:rPr>
        <w:t xml:space="preserve"> per residential customer equi</w:t>
      </w:r>
      <w:r>
        <w:rPr>
          <w:rFonts w:ascii="Arial" w:hAnsi="Arial" w:cs="Arial"/>
        </w:rPr>
        <w:t>valent (RCE) per month;</w:t>
      </w:r>
      <w:r w:rsidR="00D42AE4">
        <w:rPr>
          <w:rFonts w:ascii="Arial" w:hAnsi="Arial" w:cs="Arial"/>
        </w:rPr>
        <w:t xml:space="preserve"> and</w:t>
      </w:r>
    </w:p>
    <w:p w14:paraId="4FD67D95" w14:textId="612631D6" w:rsidR="00CA6C67" w:rsidRDefault="00CA6C67" w:rsidP="003F5297">
      <w:pPr>
        <w:numPr>
          <w:ilvl w:val="0"/>
          <w:numId w:val="1"/>
        </w:numPr>
        <w:spacing w:line="264" w:lineRule="auto"/>
        <w:jc w:val="both"/>
        <w:rPr>
          <w:rFonts w:ascii="Arial" w:hAnsi="Arial" w:cs="Arial"/>
        </w:rPr>
      </w:pPr>
      <w:r w:rsidRPr="00A7535F">
        <w:rPr>
          <w:rFonts w:ascii="Arial" w:hAnsi="Arial" w:cs="Arial"/>
        </w:rPr>
        <w:t xml:space="preserve">Set the </w:t>
      </w:r>
      <w:r w:rsidRPr="00A7535F">
        <w:rPr>
          <w:rFonts w:ascii="Arial" w:hAnsi="Arial" w:cs="Arial"/>
          <w:b/>
        </w:rPr>
        <w:t>monthly capacity charge</w:t>
      </w:r>
      <w:r w:rsidRPr="00A7535F">
        <w:rPr>
          <w:rFonts w:ascii="Arial" w:hAnsi="Arial" w:cs="Arial"/>
        </w:rPr>
        <w:t xml:space="preserve"> for new connections to the regional system occurring in 20</w:t>
      </w:r>
      <w:r>
        <w:rPr>
          <w:rFonts w:ascii="Arial" w:hAnsi="Arial" w:cs="Arial"/>
        </w:rPr>
        <w:t>2</w:t>
      </w:r>
      <w:r w:rsidR="006B3C92">
        <w:rPr>
          <w:rFonts w:ascii="Arial" w:hAnsi="Arial" w:cs="Arial"/>
        </w:rPr>
        <w:t>2</w:t>
      </w:r>
      <w:r w:rsidRPr="00A7535F">
        <w:rPr>
          <w:rFonts w:ascii="Arial" w:hAnsi="Arial" w:cs="Arial"/>
        </w:rPr>
        <w:t xml:space="preserve"> </w:t>
      </w:r>
      <w:r w:rsidRPr="002B00F4">
        <w:rPr>
          <w:rFonts w:ascii="Arial" w:hAnsi="Arial" w:cs="Arial"/>
        </w:rPr>
        <w:t xml:space="preserve">at </w:t>
      </w:r>
      <w:r>
        <w:rPr>
          <w:rFonts w:ascii="Arial" w:hAnsi="Arial" w:cs="Arial"/>
          <w:b/>
        </w:rPr>
        <w:t>$</w:t>
      </w:r>
      <w:r w:rsidR="00347402">
        <w:rPr>
          <w:rFonts w:ascii="Arial" w:hAnsi="Arial" w:cs="Arial"/>
          <w:b/>
        </w:rPr>
        <w:t>70.39</w:t>
      </w:r>
      <w:r w:rsidR="006163F2">
        <w:rPr>
          <w:rFonts w:ascii="Arial" w:hAnsi="Arial" w:cs="Arial"/>
          <w:b/>
        </w:rPr>
        <w:t xml:space="preserve"> </w:t>
      </w:r>
      <w:r w:rsidR="006163F2">
        <w:rPr>
          <w:rFonts w:ascii="Arial" w:hAnsi="Arial" w:cs="Arial"/>
          <w:bCs/>
        </w:rPr>
        <w:t>per R</w:t>
      </w:r>
      <w:r w:rsidR="00C83DA6">
        <w:rPr>
          <w:rFonts w:ascii="Arial" w:hAnsi="Arial" w:cs="Arial"/>
          <w:bCs/>
        </w:rPr>
        <w:t>CE per month</w:t>
      </w:r>
      <w:r w:rsidRPr="00A7535F">
        <w:rPr>
          <w:rFonts w:ascii="Arial" w:hAnsi="Arial" w:cs="Arial"/>
        </w:rPr>
        <w:t xml:space="preserve">, which is a </w:t>
      </w:r>
      <w:r>
        <w:rPr>
          <w:rFonts w:ascii="Arial" w:hAnsi="Arial" w:cs="Arial"/>
        </w:rPr>
        <w:t>3.0% increase over the 202</w:t>
      </w:r>
      <w:r w:rsidR="006B3C92">
        <w:rPr>
          <w:rFonts w:ascii="Arial" w:hAnsi="Arial" w:cs="Arial"/>
        </w:rPr>
        <w:t>1</w:t>
      </w:r>
      <w:r w:rsidRPr="00A7535F">
        <w:rPr>
          <w:rFonts w:ascii="Arial" w:hAnsi="Arial" w:cs="Arial"/>
        </w:rPr>
        <w:t xml:space="preserve"> rate of </w:t>
      </w:r>
      <w:proofErr w:type="gramStart"/>
      <w:r w:rsidRPr="00A7535F">
        <w:rPr>
          <w:rFonts w:ascii="Arial" w:hAnsi="Arial" w:cs="Arial"/>
        </w:rPr>
        <w:t>$</w:t>
      </w:r>
      <w:r>
        <w:rPr>
          <w:rFonts w:ascii="Arial" w:hAnsi="Arial" w:cs="Arial"/>
        </w:rPr>
        <w:t>6</w:t>
      </w:r>
      <w:r w:rsidR="00FB0DFE">
        <w:rPr>
          <w:rFonts w:ascii="Arial" w:hAnsi="Arial" w:cs="Arial"/>
        </w:rPr>
        <w:t>8.34</w:t>
      </w:r>
      <w:r>
        <w:rPr>
          <w:rFonts w:ascii="Arial" w:hAnsi="Arial" w:cs="Arial"/>
        </w:rPr>
        <w:t>;</w:t>
      </w:r>
      <w:proofErr w:type="gramEnd"/>
      <w:r>
        <w:rPr>
          <w:rFonts w:ascii="Arial" w:hAnsi="Arial" w:cs="Arial"/>
        </w:rPr>
        <w:t xml:space="preserve"> </w:t>
      </w:r>
    </w:p>
    <w:p w14:paraId="729CA7AD" w14:textId="77777777" w:rsidR="00CA6C67" w:rsidRDefault="00CA6C67" w:rsidP="003F5297">
      <w:pPr>
        <w:spacing w:line="264" w:lineRule="auto"/>
        <w:ind w:right="-540"/>
        <w:jc w:val="both"/>
        <w:rPr>
          <w:rFonts w:ascii="Arial" w:hAnsi="Arial" w:cs="Arial"/>
        </w:rPr>
      </w:pPr>
    </w:p>
    <w:p w14:paraId="7ED97CEC" w14:textId="6E4FE240" w:rsidR="00CA6C67" w:rsidRDefault="00CA6C67" w:rsidP="003F5297">
      <w:pPr>
        <w:spacing w:line="264" w:lineRule="auto"/>
        <w:jc w:val="both"/>
        <w:rPr>
          <w:rFonts w:ascii="Arial" w:hAnsi="Arial" w:cs="Arial"/>
        </w:rPr>
      </w:pPr>
      <w:r>
        <w:rPr>
          <w:rFonts w:ascii="Arial" w:hAnsi="Arial" w:cs="Arial"/>
        </w:rPr>
        <w:t>By contract with partner cities and sewer districts, the county is to complete its consideration and action on the sewer rate to provide for an effective date for the legislation on or before June 30, 202</w:t>
      </w:r>
      <w:r w:rsidR="00310A6E">
        <w:rPr>
          <w:rFonts w:ascii="Arial" w:hAnsi="Arial" w:cs="Arial"/>
        </w:rPr>
        <w:t>1</w:t>
      </w:r>
      <w:r w:rsidR="00D42AE4">
        <w:rPr>
          <w:rFonts w:ascii="Arial" w:hAnsi="Arial" w:cs="Arial"/>
        </w:rPr>
        <w:t>.</w:t>
      </w:r>
      <w:r>
        <w:rPr>
          <w:rFonts w:ascii="Arial" w:hAnsi="Arial" w:cs="Arial"/>
        </w:rPr>
        <w:t xml:space="preserve"> (</w:t>
      </w:r>
      <w:r w:rsidR="00D42AE4" w:rsidRPr="00141E91">
        <w:rPr>
          <w:rFonts w:ascii="Arial" w:hAnsi="Arial" w:cs="Arial"/>
          <w:i/>
          <w:iCs/>
        </w:rPr>
        <w:t xml:space="preserve">Note: </w:t>
      </w:r>
      <w:r w:rsidRPr="00141E91">
        <w:rPr>
          <w:rFonts w:ascii="Arial" w:hAnsi="Arial" w:cs="Arial"/>
          <w:i/>
          <w:iCs/>
        </w:rPr>
        <w:t>partner city and sewer districts act after the county sets the sewer rate to establish their local rates, all of which go into effect on January 1, 202</w:t>
      </w:r>
      <w:r w:rsidR="00310A6E" w:rsidRPr="00141E91">
        <w:rPr>
          <w:rFonts w:ascii="Arial" w:hAnsi="Arial" w:cs="Arial"/>
          <w:i/>
          <w:iCs/>
        </w:rPr>
        <w:t>2</w:t>
      </w:r>
      <w:r>
        <w:rPr>
          <w:rFonts w:ascii="Arial" w:hAnsi="Arial" w:cs="Arial"/>
        </w:rPr>
        <w:t>)</w:t>
      </w:r>
    </w:p>
    <w:p w14:paraId="78D3CA00" w14:textId="6FF9698B" w:rsidR="006B4DBA" w:rsidRDefault="006B4DBA" w:rsidP="003F5297">
      <w:pPr>
        <w:spacing w:line="264" w:lineRule="auto"/>
        <w:jc w:val="both"/>
        <w:rPr>
          <w:rFonts w:ascii="Arial" w:hAnsi="Arial" w:cs="Arial"/>
        </w:rPr>
      </w:pPr>
    </w:p>
    <w:p w14:paraId="4E52E9F7" w14:textId="482187AA" w:rsidR="006B4DBA" w:rsidRDefault="006B4DBA" w:rsidP="003F5297">
      <w:pPr>
        <w:spacing w:line="264" w:lineRule="auto"/>
        <w:jc w:val="both"/>
        <w:rPr>
          <w:rFonts w:ascii="Arial" w:hAnsi="Arial" w:cs="Arial"/>
        </w:rPr>
      </w:pPr>
      <w:r>
        <w:rPr>
          <w:rFonts w:ascii="Arial" w:hAnsi="Arial" w:cs="Arial"/>
        </w:rPr>
        <w:t>The Executive has also transmitted Proposed Ordinance 2021-019</w:t>
      </w:r>
      <w:r w:rsidR="00F56D40">
        <w:rPr>
          <w:rFonts w:ascii="Arial" w:hAnsi="Arial" w:cs="Arial"/>
        </w:rPr>
        <w:t>0</w:t>
      </w:r>
      <w:r>
        <w:rPr>
          <w:rFonts w:ascii="Arial" w:hAnsi="Arial" w:cs="Arial"/>
        </w:rPr>
        <w:t xml:space="preserve">, which </w:t>
      </w:r>
      <w:r w:rsidR="0081545E">
        <w:rPr>
          <w:rFonts w:ascii="Arial" w:hAnsi="Arial" w:cs="Arial"/>
        </w:rPr>
        <w:t xml:space="preserve">is a supplemental </w:t>
      </w:r>
      <w:r w:rsidR="00576DD6">
        <w:rPr>
          <w:rFonts w:ascii="Arial" w:hAnsi="Arial" w:cs="Arial"/>
        </w:rPr>
        <w:t xml:space="preserve">appropriation </w:t>
      </w:r>
      <w:r w:rsidR="0081545E">
        <w:rPr>
          <w:rFonts w:ascii="Arial" w:hAnsi="Arial" w:cs="Arial"/>
        </w:rPr>
        <w:t xml:space="preserve">ordinance </w:t>
      </w:r>
      <w:r w:rsidR="00D42AE4">
        <w:rPr>
          <w:rFonts w:ascii="Arial" w:hAnsi="Arial" w:cs="Arial"/>
        </w:rPr>
        <w:t>that would</w:t>
      </w:r>
      <w:r w:rsidR="0081545E">
        <w:rPr>
          <w:rFonts w:ascii="Arial" w:hAnsi="Arial" w:cs="Arial"/>
        </w:rPr>
        <w:t xml:space="preserve"> </w:t>
      </w:r>
      <w:r w:rsidR="00576DD6">
        <w:rPr>
          <w:rFonts w:ascii="Arial" w:hAnsi="Arial" w:cs="Arial"/>
        </w:rPr>
        <w:t>authorize expenditures</w:t>
      </w:r>
      <w:r w:rsidR="0081545E">
        <w:rPr>
          <w:rFonts w:ascii="Arial" w:hAnsi="Arial" w:cs="Arial"/>
        </w:rPr>
        <w:t xml:space="preserve"> </w:t>
      </w:r>
      <w:r w:rsidR="000C7BD1">
        <w:rPr>
          <w:rFonts w:ascii="Arial" w:hAnsi="Arial" w:cs="Arial"/>
        </w:rPr>
        <w:t xml:space="preserve">to initiate project work on backlogged </w:t>
      </w:r>
      <w:r w:rsidR="00805A36">
        <w:rPr>
          <w:rFonts w:ascii="Arial" w:hAnsi="Arial" w:cs="Arial"/>
        </w:rPr>
        <w:t>Asset Management projects</w:t>
      </w:r>
      <w:r w:rsidR="00F75254">
        <w:rPr>
          <w:rFonts w:ascii="Arial" w:hAnsi="Arial" w:cs="Arial"/>
        </w:rPr>
        <w:t xml:space="preserve"> and to </w:t>
      </w:r>
      <w:r w:rsidR="006102FC">
        <w:rPr>
          <w:rFonts w:ascii="Arial" w:hAnsi="Arial" w:cs="Arial"/>
        </w:rPr>
        <w:t xml:space="preserve">fund costs for lease </w:t>
      </w:r>
      <w:r w:rsidR="007A3601">
        <w:rPr>
          <w:rFonts w:ascii="Arial" w:hAnsi="Arial" w:cs="Arial"/>
        </w:rPr>
        <w:t xml:space="preserve">of space to house </w:t>
      </w:r>
      <w:r w:rsidR="007B5888">
        <w:rPr>
          <w:rFonts w:ascii="Arial" w:hAnsi="Arial" w:cs="Arial"/>
        </w:rPr>
        <w:t>agency employees</w:t>
      </w:r>
      <w:r w:rsidR="00805A36">
        <w:rPr>
          <w:rFonts w:ascii="Arial" w:hAnsi="Arial" w:cs="Arial"/>
        </w:rPr>
        <w:t>.</w:t>
      </w:r>
      <w:r w:rsidR="003762CD">
        <w:rPr>
          <w:rFonts w:ascii="Arial" w:hAnsi="Arial" w:cs="Arial"/>
        </w:rPr>
        <w:t xml:space="preserve">  </w:t>
      </w:r>
      <w:r w:rsidR="004F6DFE">
        <w:rPr>
          <w:rFonts w:ascii="Arial" w:hAnsi="Arial" w:cs="Arial"/>
        </w:rPr>
        <w:t>The</w:t>
      </w:r>
      <w:r w:rsidR="000E5C08" w:rsidRPr="004F6DFE">
        <w:rPr>
          <w:rFonts w:ascii="Arial" w:hAnsi="Arial" w:cs="Arial"/>
        </w:rPr>
        <w:t xml:space="preserve"> </w:t>
      </w:r>
      <w:r w:rsidR="00EF7A24" w:rsidRPr="004F6DFE">
        <w:rPr>
          <w:rFonts w:ascii="Arial" w:hAnsi="Arial" w:cs="Arial"/>
        </w:rPr>
        <w:t>proposed</w:t>
      </w:r>
      <w:r w:rsidR="00576DD6" w:rsidRPr="004F6DFE">
        <w:rPr>
          <w:rFonts w:ascii="Arial" w:hAnsi="Arial" w:cs="Arial"/>
        </w:rPr>
        <w:t xml:space="preserve"> ordinance</w:t>
      </w:r>
      <w:r w:rsidR="000E5C08" w:rsidRPr="004F6DFE">
        <w:rPr>
          <w:rFonts w:ascii="Arial" w:hAnsi="Arial" w:cs="Arial"/>
        </w:rPr>
        <w:t xml:space="preserve"> </w:t>
      </w:r>
      <w:r w:rsidR="00EF7A24" w:rsidRPr="004F6DFE">
        <w:rPr>
          <w:rFonts w:ascii="Arial" w:hAnsi="Arial" w:cs="Arial"/>
        </w:rPr>
        <w:t>setting the sewer rate and capacity charge for 2022 would</w:t>
      </w:r>
      <w:r w:rsidR="000E5C08" w:rsidRPr="004F6DFE">
        <w:rPr>
          <w:rFonts w:ascii="Arial" w:hAnsi="Arial" w:cs="Arial"/>
        </w:rPr>
        <w:t xml:space="preserve"> provide the revenue base for these Asset Management </w:t>
      </w:r>
      <w:r w:rsidR="000047E1" w:rsidRPr="004F6DFE">
        <w:rPr>
          <w:rFonts w:ascii="Arial" w:hAnsi="Arial" w:cs="Arial"/>
        </w:rPr>
        <w:t xml:space="preserve">and lease </w:t>
      </w:r>
      <w:r w:rsidR="000E5C08" w:rsidRPr="004F6DFE">
        <w:rPr>
          <w:rFonts w:ascii="Arial" w:hAnsi="Arial" w:cs="Arial"/>
        </w:rPr>
        <w:t>projects</w:t>
      </w:r>
      <w:r w:rsidR="00EF7A24" w:rsidRPr="004F6DFE">
        <w:rPr>
          <w:rFonts w:ascii="Arial" w:hAnsi="Arial" w:cs="Arial"/>
        </w:rPr>
        <w:t>.</w:t>
      </w:r>
    </w:p>
    <w:p w14:paraId="789A6B48" w14:textId="77777777" w:rsidR="00CA6C67" w:rsidRPr="00272685" w:rsidRDefault="00CA6C67" w:rsidP="003F5297">
      <w:pPr>
        <w:spacing w:line="264" w:lineRule="auto"/>
        <w:jc w:val="both"/>
        <w:rPr>
          <w:rFonts w:ascii="Arial" w:hAnsi="Arial" w:cs="Arial"/>
        </w:rPr>
      </w:pPr>
    </w:p>
    <w:p w14:paraId="5712AB9B" w14:textId="77777777" w:rsidR="00CA6C67" w:rsidRPr="00AC709F" w:rsidRDefault="00CA6C67" w:rsidP="00141E91">
      <w:pPr>
        <w:keepNext/>
        <w:spacing w:line="264" w:lineRule="auto"/>
        <w:ind w:right="-540"/>
        <w:jc w:val="both"/>
        <w:rPr>
          <w:rFonts w:ascii="Arial" w:hAnsi="Arial" w:cs="Arial"/>
          <w:b/>
          <w:u w:val="single"/>
        </w:rPr>
      </w:pPr>
      <w:r w:rsidRPr="00AC709F">
        <w:rPr>
          <w:rFonts w:ascii="Arial" w:hAnsi="Arial" w:cs="Arial"/>
          <w:b/>
          <w:u w:val="single"/>
        </w:rPr>
        <w:lastRenderedPageBreak/>
        <w:t>BACKGROUND</w:t>
      </w:r>
    </w:p>
    <w:p w14:paraId="024E3C4B" w14:textId="77777777" w:rsidR="00CA6C67" w:rsidRPr="00AC709F" w:rsidRDefault="00CA6C67" w:rsidP="00141E91">
      <w:pPr>
        <w:pStyle w:val="Flush1CS1"/>
        <w:keepNext/>
        <w:tabs>
          <w:tab w:val="left" w:pos="720"/>
          <w:tab w:val="decimal" w:pos="7200"/>
        </w:tabs>
        <w:spacing w:line="264" w:lineRule="auto"/>
        <w:jc w:val="both"/>
        <w:rPr>
          <w:rFonts w:ascii="Arial" w:hAnsi="Arial" w:cs="Arial"/>
          <w:szCs w:val="24"/>
        </w:rPr>
      </w:pPr>
    </w:p>
    <w:p w14:paraId="55E63A5F" w14:textId="7128EC80" w:rsidR="00CA6C67" w:rsidRPr="00D42AE4" w:rsidRDefault="00CA6C67" w:rsidP="00141E91">
      <w:pPr>
        <w:keepNext/>
        <w:spacing w:line="264" w:lineRule="auto"/>
        <w:jc w:val="both"/>
        <w:rPr>
          <w:rFonts w:ascii="Arial" w:hAnsi="Arial" w:cs="Arial"/>
          <w:b/>
          <w:i/>
        </w:rPr>
      </w:pPr>
      <w:r w:rsidRPr="00141E91">
        <w:rPr>
          <w:rFonts w:ascii="Arial" w:hAnsi="Arial" w:cs="Arial"/>
          <w:b/>
          <w:iCs/>
        </w:rPr>
        <w:t>Monthly Sewer Rate</w:t>
      </w:r>
      <w:r w:rsidR="00D42AE4" w:rsidRPr="00141E91">
        <w:rPr>
          <w:rFonts w:ascii="Arial" w:hAnsi="Arial" w:cs="Arial"/>
          <w:b/>
          <w:iCs/>
        </w:rPr>
        <w:t>.</w:t>
      </w:r>
      <w:r w:rsidR="00D42AE4">
        <w:rPr>
          <w:rFonts w:ascii="Arial" w:hAnsi="Arial" w:cs="Arial"/>
          <w:b/>
          <w:i/>
        </w:rPr>
        <w:t xml:space="preserve">  </w:t>
      </w:r>
      <w:r w:rsidRPr="00AC709F">
        <w:rPr>
          <w:rFonts w:ascii="Arial" w:hAnsi="Arial" w:cs="Arial"/>
        </w:rPr>
        <w:t>King County provides wastewater treatment services for 17 municipalities and 17 sewer districts (including the Muckleshoot Tribe) in King County, southern Snohomish County</w:t>
      </w:r>
      <w:r w:rsidR="00554822">
        <w:rPr>
          <w:rFonts w:ascii="Arial" w:hAnsi="Arial" w:cs="Arial"/>
        </w:rPr>
        <w:t>,</w:t>
      </w:r>
      <w:r w:rsidRPr="00AC709F">
        <w:rPr>
          <w:rFonts w:ascii="Arial" w:hAnsi="Arial" w:cs="Arial"/>
        </w:rPr>
        <w:t xml:space="preserve"> and the northern tip of Pierce County.  </w:t>
      </w:r>
      <w:r>
        <w:rPr>
          <w:rFonts w:ascii="Arial" w:hAnsi="Arial" w:cs="Arial"/>
        </w:rPr>
        <w:t>The county provides sewer interceptor lines that receive wastewater collected from residences and businesses by the cities and sewer districts, who bill their customers directly for both county and local utility charges.  The sewer rate is charged by the county to the utilities to deliver, treat and discharge wastewater.</w:t>
      </w:r>
      <w:r>
        <w:rPr>
          <w:rStyle w:val="FootnoteReference"/>
          <w:rFonts w:ascii="Arial" w:hAnsi="Arial" w:cs="Arial"/>
        </w:rPr>
        <w:footnoteReference w:id="1"/>
      </w:r>
      <w:r w:rsidRPr="00AC709F">
        <w:rPr>
          <w:rFonts w:ascii="Arial" w:hAnsi="Arial" w:cs="Arial"/>
        </w:rPr>
        <w:t xml:space="preserve"> </w:t>
      </w:r>
    </w:p>
    <w:p w14:paraId="7C5A3B14" w14:textId="77777777" w:rsidR="00CA6C67" w:rsidRDefault="00CA6C67" w:rsidP="003F5297">
      <w:pPr>
        <w:tabs>
          <w:tab w:val="left" w:pos="720"/>
          <w:tab w:val="decimal" w:pos="7200"/>
        </w:tabs>
        <w:spacing w:line="264" w:lineRule="auto"/>
        <w:jc w:val="both"/>
        <w:rPr>
          <w:rFonts w:ascii="Arial" w:hAnsi="Arial" w:cs="Arial"/>
        </w:rPr>
      </w:pPr>
    </w:p>
    <w:p w14:paraId="2C99760A" w14:textId="77777777" w:rsidR="00CA6C67" w:rsidRDefault="00CA6C67" w:rsidP="003F5297">
      <w:pPr>
        <w:tabs>
          <w:tab w:val="left" w:pos="720"/>
          <w:tab w:val="decimal" w:pos="7200"/>
        </w:tabs>
        <w:spacing w:line="264" w:lineRule="auto"/>
        <w:jc w:val="both"/>
        <w:rPr>
          <w:rFonts w:ascii="Arial" w:hAnsi="Arial" w:cs="Arial"/>
        </w:rPr>
      </w:pPr>
      <w:r w:rsidRPr="00AC709F">
        <w:rPr>
          <w:rFonts w:ascii="Arial" w:hAnsi="Arial" w:cs="Arial"/>
        </w:rPr>
        <w:t xml:space="preserve">The monthly sewer rate collected by the county goes </w:t>
      </w:r>
      <w:r>
        <w:rPr>
          <w:rFonts w:ascii="Arial" w:hAnsi="Arial" w:cs="Arial"/>
        </w:rPr>
        <w:t>to support</w:t>
      </w:r>
      <w:r w:rsidRPr="00AC709F">
        <w:rPr>
          <w:rFonts w:ascii="Arial" w:hAnsi="Arial" w:cs="Arial"/>
        </w:rPr>
        <w:t xml:space="preserve"> all </w:t>
      </w:r>
      <w:r>
        <w:rPr>
          <w:rFonts w:ascii="Arial" w:hAnsi="Arial" w:cs="Arial"/>
        </w:rPr>
        <w:t>Wastewater Treatment Division (</w:t>
      </w:r>
      <w:r w:rsidRPr="00AC709F">
        <w:rPr>
          <w:rFonts w:ascii="Arial" w:hAnsi="Arial" w:cs="Arial"/>
        </w:rPr>
        <w:t>WTD</w:t>
      </w:r>
      <w:r>
        <w:rPr>
          <w:rFonts w:ascii="Arial" w:hAnsi="Arial" w:cs="Arial"/>
        </w:rPr>
        <w:t>)</w:t>
      </w:r>
      <w:r w:rsidRPr="00AC709F">
        <w:rPr>
          <w:rFonts w:ascii="Arial" w:hAnsi="Arial" w:cs="Arial"/>
        </w:rPr>
        <w:t xml:space="preserve"> expenses, including operating costs, debt service, and capital expenses.  The monthly sewer rate for both residential and commercial customers is calculated </w:t>
      </w:r>
      <w:proofErr w:type="gramStart"/>
      <w:r w:rsidRPr="00AC709F">
        <w:rPr>
          <w:rFonts w:ascii="Arial" w:hAnsi="Arial" w:cs="Arial"/>
        </w:rPr>
        <w:t>on the basis of</w:t>
      </w:r>
      <w:proofErr w:type="gramEnd"/>
      <w:r w:rsidRPr="00AC709F">
        <w:rPr>
          <w:rFonts w:ascii="Arial" w:hAnsi="Arial" w:cs="Arial"/>
        </w:rPr>
        <w:t xml:space="preserve"> Residen</w:t>
      </w:r>
      <w:r>
        <w:rPr>
          <w:rFonts w:ascii="Arial" w:hAnsi="Arial" w:cs="Arial"/>
        </w:rPr>
        <w:t>tial Customer Equivalents (“RCEs”)</w:t>
      </w:r>
      <w:r w:rsidRPr="00AC709F">
        <w:rPr>
          <w:rFonts w:ascii="Arial" w:hAnsi="Arial" w:cs="Arial"/>
        </w:rPr>
        <w:t>.</w:t>
      </w:r>
      <w:r>
        <w:rPr>
          <w:rStyle w:val="FootnoteReference"/>
          <w:rFonts w:ascii="Arial" w:hAnsi="Arial" w:cs="Arial"/>
        </w:rPr>
        <w:footnoteReference w:id="2"/>
      </w:r>
      <w:r w:rsidRPr="00AC709F">
        <w:rPr>
          <w:rFonts w:ascii="Arial" w:hAnsi="Arial" w:cs="Arial"/>
        </w:rPr>
        <w:t xml:space="preserve">  </w:t>
      </w:r>
    </w:p>
    <w:p w14:paraId="16521635" w14:textId="77777777" w:rsidR="00CA6C67" w:rsidRDefault="00CA6C67" w:rsidP="00CA6C67">
      <w:pPr>
        <w:jc w:val="both"/>
        <w:rPr>
          <w:rFonts w:ascii="Arial" w:hAnsi="Arial" w:cs="Arial"/>
        </w:rPr>
      </w:pPr>
    </w:p>
    <w:p w14:paraId="3484E098" w14:textId="77777777" w:rsidR="00E41BFB" w:rsidRDefault="00CA6C67" w:rsidP="00141E91">
      <w:pPr>
        <w:spacing w:line="264" w:lineRule="auto"/>
        <w:jc w:val="center"/>
        <w:rPr>
          <w:rFonts w:ascii="Arial" w:hAnsi="Arial" w:cs="Arial"/>
          <w:b/>
          <w:bCs/>
        </w:rPr>
      </w:pPr>
      <w:r>
        <w:rPr>
          <w:rFonts w:ascii="Arial" w:hAnsi="Arial" w:cs="Arial"/>
          <w:b/>
          <w:bCs/>
        </w:rPr>
        <w:t xml:space="preserve">Table 1. </w:t>
      </w:r>
    </w:p>
    <w:p w14:paraId="662AA80C" w14:textId="1ABEC4D9" w:rsidR="00CA6C67" w:rsidRDefault="00CA6C67" w:rsidP="00E41BFB">
      <w:pPr>
        <w:spacing w:line="264" w:lineRule="auto"/>
        <w:jc w:val="center"/>
        <w:rPr>
          <w:rFonts w:ascii="Arial" w:hAnsi="Arial" w:cs="Arial"/>
          <w:b/>
          <w:szCs w:val="24"/>
        </w:rPr>
      </w:pPr>
      <w:r>
        <w:rPr>
          <w:rFonts w:ascii="Arial" w:hAnsi="Arial" w:cs="Arial"/>
          <w:b/>
          <w:bCs/>
        </w:rPr>
        <w:t xml:space="preserve">Sewer Rate </w:t>
      </w:r>
      <w:r>
        <w:rPr>
          <w:rFonts w:ascii="Arial" w:hAnsi="Arial" w:cs="Arial"/>
          <w:b/>
          <w:szCs w:val="24"/>
        </w:rPr>
        <w:t>(2009-202</w:t>
      </w:r>
      <w:r w:rsidR="00310A6E">
        <w:rPr>
          <w:rFonts w:ascii="Arial" w:hAnsi="Arial" w:cs="Arial"/>
          <w:b/>
          <w:szCs w:val="24"/>
        </w:rPr>
        <w:t>1</w:t>
      </w:r>
      <w:r w:rsidRPr="003204CC">
        <w:rPr>
          <w:rFonts w:ascii="Arial" w:hAnsi="Arial" w:cs="Arial"/>
          <w:b/>
          <w:szCs w:val="24"/>
        </w:rPr>
        <w:t xml:space="preserve"> Actual; </w:t>
      </w:r>
      <w:r>
        <w:rPr>
          <w:rFonts w:ascii="Arial" w:hAnsi="Arial" w:cs="Arial"/>
          <w:b/>
          <w:szCs w:val="24"/>
        </w:rPr>
        <w:t>202</w:t>
      </w:r>
      <w:r w:rsidR="0012590D">
        <w:rPr>
          <w:rFonts w:ascii="Arial" w:hAnsi="Arial" w:cs="Arial"/>
          <w:b/>
          <w:szCs w:val="24"/>
        </w:rPr>
        <w:t>2</w:t>
      </w:r>
      <w:r>
        <w:rPr>
          <w:rFonts w:ascii="Arial" w:hAnsi="Arial" w:cs="Arial"/>
          <w:b/>
          <w:szCs w:val="24"/>
        </w:rPr>
        <w:t xml:space="preserve"> Proposed; </w:t>
      </w:r>
      <w:r w:rsidRPr="003204CC">
        <w:rPr>
          <w:rFonts w:ascii="Arial" w:hAnsi="Arial" w:cs="Arial"/>
          <w:b/>
          <w:szCs w:val="24"/>
        </w:rPr>
        <w:t>20</w:t>
      </w:r>
      <w:r>
        <w:rPr>
          <w:rFonts w:ascii="Arial" w:hAnsi="Arial" w:cs="Arial"/>
          <w:b/>
          <w:szCs w:val="24"/>
        </w:rPr>
        <w:t>2</w:t>
      </w:r>
      <w:r w:rsidR="0012590D">
        <w:rPr>
          <w:rFonts w:ascii="Arial" w:hAnsi="Arial" w:cs="Arial"/>
          <w:b/>
          <w:szCs w:val="24"/>
        </w:rPr>
        <w:t>3</w:t>
      </w:r>
      <w:r>
        <w:rPr>
          <w:rFonts w:ascii="Arial" w:hAnsi="Arial" w:cs="Arial"/>
          <w:b/>
          <w:szCs w:val="24"/>
        </w:rPr>
        <w:t>-2025</w:t>
      </w:r>
      <w:r w:rsidRPr="003204CC">
        <w:rPr>
          <w:rFonts w:ascii="Arial" w:hAnsi="Arial" w:cs="Arial"/>
          <w:b/>
          <w:szCs w:val="24"/>
        </w:rPr>
        <w:t xml:space="preserve"> Projected)</w:t>
      </w:r>
    </w:p>
    <w:p w14:paraId="36F57676" w14:textId="77777777" w:rsidR="00E41BFB" w:rsidRPr="003204CC" w:rsidRDefault="00E41BFB" w:rsidP="00141E91">
      <w:pPr>
        <w:spacing w:line="264" w:lineRule="auto"/>
        <w:jc w:val="center"/>
        <w:rPr>
          <w:rFonts w:ascii="Arial" w:hAnsi="Arial" w:cs="Arial"/>
          <w:b/>
          <w:szCs w:val="24"/>
        </w:rPr>
      </w:pPr>
    </w:p>
    <w:tbl>
      <w:tblPr>
        <w:tblW w:w="0" w:type="auto"/>
        <w:jc w:val="center"/>
        <w:tblCellMar>
          <w:left w:w="0" w:type="dxa"/>
          <w:right w:w="0" w:type="dxa"/>
        </w:tblCellMar>
        <w:tblLook w:val="04A0" w:firstRow="1" w:lastRow="0" w:firstColumn="1" w:lastColumn="0" w:noHBand="0" w:noVBand="1"/>
      </w:tblPr>
      <w:tblGrid>
        <w:gridCol w:w="1695"/>
        <w:gridCol w:w="1985"/>
        <w:gridCol w:w="1710"/>
      </w:tblGrid>
      <w:tr w:rsidR="00CA6C67" w14:paraId="7C22E736" w14:textId="77777777" w:rsidTr="0037234A">
        <w:trPr>
          <w:cantSplit/>
          <w:tblHeader/>
          <w:jc w:val="center"/>
        </w:trPr>
        <w:tc>
          <w:tcPr>
            <w:tcW w:w="1695"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bottom"/>
          </w:tcPr>
          <w:p w14:paraId="0D7DC86D" w14:textId="77777777" w:rsidR="00CA6C67" w:rsidRDefault="00CA6C67" w:rsidP="0037234A">
            <w:pPr>
              <w:jc w:val="center"/>
              <w:rPr>
                <w:rFonts w:ascii="Arial" w:hAnsi="Arial" w:cs="Arial"/>
                <w:b/>
                <w:bCs/>
              </w:rPr>
            </w:pPr>
          </w:p>
          <w:p w14:paraId="2D7EBEF0" w14:textId="77777777" w:rsidR="00CA6C67" w:rsidRDefault="00CA6C67" w:rsidP="0037234A">
            <w:pPr>
              <w:jc w:val="center"/>
              <w:rPr>
                <w:rFonts w:ascii="Arial" w:hAnsi="Arial" w:cs="Arial"/>
                <w:b/>
                <w:bCs/>
              </w:rPr>
            </w:pPr>
            <w:r>
              <w:rPr>
                <w:rFonts w:ascii="Arial" w:hAnsi="Arial" w:cs="Arial"/>
                <w:b/>
                <w:bCs/>
              </w:rPr>
              <w:t>Year(s)</w:t>
            </w:r>
          </w:p>
        </w:tc>
        <w:tc>
          <w:tcPr>
            <w:tcW w:w="1985"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hideMark/>
          </w:tcPr>
          <w:p w14:paraId="726FBFA5" w14:textId="77777777" w:rsidR="00CA6C67" w:rsidRDefault="00CA6C67" w:rsidP="0037234A">
            <w:pPr>
              <w:jc w:val="center"/>
              <w:rPr>
                <w:rFonts w:ascii="Arial" w:hAnsi="Arial" w:cs="Arial"/>
                <w:b/>
                <w:bCs/>
              </w:rPr>
            </w:pPr>
            <w:r>
              <w:rPr>
                <w:rFonts w:ascii="Arial" w:hAnsi="Arial" w:cs="Arial"/>
                <w:b/>
                <w:bCs/>
              </w:rPr>
              <w:t>Rate</w:t>
            </w:r>
          </w:p>
          <w:p w14:paraId="44182191" w14:textId="77777777" w:rsidR="00CA6C67" w:rsidRDefault="00CA6C67" w:rsidP="0037234A">
            <w:pPr>
              <w:jc w:val="center"/>
              <w:rPr>
                <w:rFonts w:ascii="Arial" w:hAnsi="Arial" w:cs="Arial"/>
                <w:b/>
                <w:bCs/>
              </w:rPr>
            </w:pPr>
            <w:r>
              <w:rPr>
                <w:rFonts w:ascii="Arial" w:hAnsi="Arial" w:cs="Arial"/>
                <w:b/>
                <w:bCs/>
              </w:rPr>
              <w:t>($/RCE/ Month)</w:t>
            </w:r>
          </w:p>
        </w:tc>
        <w:tc>
          <w:tcPr>
            <w:tcW w:w="1710"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hideMark/>
          </w:tcPr>
          <w:p w14:paraId="6CCC7EA1" w14:textId="77777777" w:rsidR="00CA6C67" w:rsidRDefault="00CA6C67" w:rsidP="0037234A">
            <w:pPr>
              <w:jc w:val="center"/>
              <w:rPr>
                <w:rFonts w:ascii="Arial" w:hAnsi="Arial" w:cs="Arial"/>
                <w:b/>
                <w:bCs/>
              </w:rPr>
            </w:pPr>
            <w:r>
              <w:rPr>
                <w:rFonts w:ascii="Arial" w:hAnsi="Arial" w:cs="Arial"/>
                <w:b/>
                <w:bCs/>
              </w:rPr>
              <w:t>% Increase</w:t>
            </w:r>
          </w:p>
        </w:tc>
      </w:tr>
      <w:tr w:rsidR="00CA6C67" w14:paraId="6D88CA14" w14:textId="77777777" w:rsidTr="0037234A">
        <w:trPr>
          <w:cantSplit/>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D0537" w14:textId="77777777" w:rsidR="00CA6C67" w:rsidRDefault="00CA6C67" w:rsidP="0037234A">
            <w:pPr>
              <w:jc w:val="center"/>
              <w:rPr>
                <w:rFonts w:ascii="Arial" w:hAnsi="Arial" w:cs="Arial"/>
              </w:rPr>
            </w:pPr>
            <w:r>
              <w:rPr>
                <w:rFonts w:ascii="Arial" w:hAnsi="Arial" w:cs="Arial"/>
              </w:rPr>
              <w:t>2009 – 2010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88DFFE6" w14:textId="534C614D" w:rsidR="00CA6C67" w:rsidRDefault="00E42A52" w:rsidP="0037234A">
            <w:pPr>
              <w:jc w:val="right"/>
              <w:rPr>
                <w:rFonts w:ascii="Arial" w:hAnsi="Arial" w:cs="Arial"/>
              </w:rPr>
            </w:pPr>
            <w:r>
              <w:rPr>
                <w:rFonts w:ascii="Arial" w:hAnsi="Arial" w:cs="Arial"/>
              </w:rPr>
              <w:t>$</w:t>
            </w:r>
            <w:r w:rsidR="00CA6C67">
              <w:rPr>
                <w:rFonts w:ascii="Arial" w:hAnsi="Arial" w:cs="Arial"/>
              </w:rPr>
              <w:t>31.90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A9EEA20" w14:textId="77777777" w:rsidR="00CA6C67" w:rsidRDefault="00CA6C67" w:rsidP="0037234A">
            <w:pPr>
              <w:jc w:val="right"/>
              <w:rPr>
                <w:rFonts w:ascii="Arial" w:hAnsi="Arial" w:cs="Arial"/>
              </w:rPr>
            </w:pPr>
            <w:r>
              <w:rPr>
                <w:rFonts w:ascii="Arial" w:hAnsi="Arial" w:cs="Arial"/>
              </w:rPr>
              <w:t>14.1%</w:t>
            </w:r>
          </w:p>
        </w:tc>
      </w:tr>
      <w:tr w:rsidR="00CA6C67" w14:paraId="50EA9454" w14:textId="77777777" w:rsidTr="0037234A">
        <w:trPr>
          <w:cantSplit/>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D5628" w14:textId="77777777" w:rsidR="00CA6C67" w:rsidRDefault="00CA6C67" w:rsidP="0037234A">
            <w:pPr>
              <w:jc w:val="center"/>
              <w:rPr>
                <w:rFonts w:ascii="Arial" w:hAnsi="Arial" w:cs="Arial"/>
              </w:rPr>
            </w:pPr>
            <w:r>
              <w:rPr>
                <w:rFonts w:ascii="Arial" w:hAnsi="Arial" w:cs="Arial"/>
              </w:rPr>
              <w:t>2011 – 2012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9EFDCC" w14:textId="343DAF6C" w:rsidR="00CA6C67" w:rsidRDefault="00E42A52" w:rsidP="0037234A">
            <w:pPr>
              <w:jc w:val="right"/>
              <w:rPr>
                <w:rFonts w:ascii="Arial" w:hAnsi="Arial" w:cs="Arial"/>
              </w:rPr>
            </w:pPr>
            <w:r>
              <w:rPr>
                <w:rFonts w:ascii="Arial" w:hAnsi="Arial" w:cs="Arial"/>
              </w:rPr>
              <w:t>$</w:t>
            </w:r>
            <w:r w:rsidR="00CA6C67">
              <w:rPr>
                <w:rFonts w:ascii="Arial" w:hAnsi="Arial" w:cs="Arial"/>
              </w:rPr>
              <w:t>36.10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B7B369A" w14:textId="77777777" w:rsidR="00CA6C67" w:rsidRDefault="00CA6C67" w:rsidP="0037234A">
            <w:pPr>
              <w:jc w:val="right"/>
              <w:rPr>
                <w:rFonts w:ascii="Arial" w:hAnsi="Arial" w:cs="Arial"/>
              </w:rPr>
            </w:pPr>
            <w:r>
              <w:rPr>
                <w:rFonts w:ascii="Arial" w:hAnsi="Arial" w:cs="Arial"/>
              </w:rPr>
              <w:t>13.2%</w:t>
            </w:r>
          </w:p>
        </w:tc>
      </w:tr>
      <w:tr w:rsidR="00CA6C67" w14:paraId="2FEA23E3" w14:textId="77777777" w:rsidTr="0037234A">
        <w:trPr>
          <w:cantSplit/>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92C69" w14:textId="77777777" w:rsidR="00CA6C67" w:rsidRDefault="00CA6C67" w:rsidP="0037234A">
            <w:pPr>
              <w:jc w:val="center"/>
              <w:rPr>
                <w:rFonts w:ascii="Arial" w:hAnsi="Arial" w:cs="Arial"/>
              </w:rPr>
            </w:pPr>
            <w:r>
              <w:rPr>
                <w:rFonts w:ascii="Arial" w:hAnsi="Arial" w:cs="Arial"/>
              </w:rPr>
              <w:t>2013 – 2014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C39A670" w14:textId="3D7FA404" w:rsidR="00CA6C67" w:rsidRDefault="00E42A52" w:rsidP="0037234A">
            <w:pPr>
              <w:jc w:val="right"/>
              <w:rPr>
                <w:rFonts w:ascii="Arial" w:hAnsi="Arial" w:cs="Arial"/>
              </w:rPr>
            </w:pPr>
            <w:r>
              <w:rPr>
                <w:rFonts w:ascii="Arial" w:hAnsi="Arial" w:cs="Arial"/>
              </w:rPr>
              <w:t>$</w:t>
            </w:r>
            <w:r w:rsidR="00CA6C67">
              <w:rPr>
                <w:rFonts w:ascii="Arial" w:hAnsi="Arial" w:cs="Arial"/>
              </w:rPr>
              <w:t>39.79</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AB2FEEA" w14:textId="77777777" w:rsidR="00CA6C67" w:rsidRDefault="00CA6C67" w:rsidP="0037234A">
            <w:pPr>
              <w:jc w:val="right"/>
              <w:rPr>
                <w:rFonts w:ascii="Arial" w:hAnsi="Arial" w:cs="Arial"/>
              </w:rPr>
            </w:pPr>
            <w:r>
              <w:rPr>
                <w:rFonts w:ascii="Arial" w:hAnsi="Arial" w:cs="Arial"/>
              </w:rPr>
              <w:t>10.4%</w:t>
            </w:r>
          </w:p>
        </w:tc>
      </w:tr>
      <w:tr w:rsidR="00CA6C67" w14:paraId="5D1BF405" w14:textId="77777777" w:rsidTr="0037234A">
        <w:trPr>
          <w:cantSplit/>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F7CE1" w14:textId="77777777" w:rsidR="00CA6C67" w:rsidRDefault="00CA6C67" w:rsidP="0037234A">
            <w:pPr>
              <w:jc w:val="center"/>
              <w:rPr>
                <w:rFonts w:ascii="Arial" w:hAnsi="Arial" w:cs="Arial"/>
              </w:rPr>
            </w:pPr>
            <w:r>
              <w:rPr>
                <w:rFonts w:ascii="Arial" w:hAnsi="Arial" w:cs="Arial"/>
              </w:rPr>
              <w:t>2015 – 2016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4168D2C" w14:textId="64C408DD" w:rsidR="00CA6C67" w:rsidRDefault="00E42A52" w:rsidP="0037234A">
            <w:pPr>
              <w:jc w:val="right"/>
              <w:rPr>
                <w:rFonts w:ascii="Arial" w:hAnsi="Arial" w:cs="Arial"/>
              </w:rPr>
            </w:pPr>
            <w:r>
              <w:rPr>
                <w:rFonts w:ascii="Arial" w:hAnsi="Arial" w:cs="Arial"/>
              </w:rPr>
              <w:t>$</w:t>
            </w:r>
            <w:r w:rsidR="00CA6C67">
              <w:rPr>
                <w:rFonts w:ascii="Arial" w:hAnsi="Arial" w:cs="Arial"/>
              </w:rPr>
              <w:t>42.03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03284C2" w14:textId="77777777" w:rsidR="00CA6C67" w:rsidRDefault="00CA6C67" w:rsidP="0037234A">
            <w:pPr>
              <w:jc w:val="right"/>
              <w:rPr>
                <w:rFonts w:ascii="Arial" w:hAnsi="Arial" w:cs="Arial"/>
              </w:rPr>
            </w:pPr>
            <w:r>
              <w:rPr>
                <w:rFonts w:ascii="Arial" w:hAnsi="Arial" w:cs="Arial"/>
              </w:rPr>
              <w:t>5.6%</w:t>
            </w:r>
          </w:p>
        </w:tc>
      </w:tr>
      <w:tr w:rsidR="00CA6C67" w14:paraId="7BCCEA46" w14:textId="77777777" w:rsidTr="0037234A">
        <w:trPr>
          <w:cantSplit/>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6D533D" w14:textId="77777777" w:rsidR="00CA6C67" w:rsidRPr="00C73B81" w:rsidRDefault="00CA6C67" w:rsidP="0037234A">
            <w:pPr>
              <w:jc w:val="center"/>
              <w:rPr>
                <w:rFonts w:ascii="Arial" w:hAnsi="Arial" w:cs="Arial"/>
                <w:bCs/>
              </w:rPr>
            </w:pPr>
            <w:r w:rsidRPr="00C73B81">
              <w:rPr>
                <w:rFonts w:ascii="Arial" w:hAnsi="Arial" w:cs="Arial"/>
                <w:bCs/>
              </w:rPr>
              <w:t>2017</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1F0275" w14:textId="4F94F734" w:rsidR="00CA6C67" w:rsidRPr="00C73B81" w:rsidRDefault="00E42A52" w:rsidP="0037234A">
            <w:pPr>
              <w:jc w:val="right"/>
              <w:rPr>
                <w:rFonts w:ascii="Arial" w:hAnsi="Arial" w:cs="Arial"/>
                <w:bCs/>
              </w:rPr>
            </w:pPr>
            <w:r>
              <w:rPr>
                <w:rFonts w:ascii="Arial" w:hAnsi="Arial" w:cs="Arial"/>
                <w:bCs/>
              </w:rPr>
              <w:t>$</w:t>
            </w:r>
            <w:r w:rsidR="00CA6C67" w:rsidRPr="00C73B81">
              <w:rPr>
                <w:rFonts w:ascii="Arial" w:hAnsi="Arial" w:cs="Arial"/>
                <w:bCs/>
              </w:rPr>
              <w:t>44.22</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AE1E4A" w14:textId="77777777" w:rsidR="00CA6C67" w:rsidRPr="00C73B81" w:rsidRDefault="00CA6C67" w:rsidP="0037234A">
            <w:pPr>
              <w:jc w:val="right"/>
              <w:rPr>
                <w:rFonts w:ascii="Arial" w:hAnsi="Arial" w:cs="Arial"/>
                <w:bCs/>
              </w:rPr>
            </w:pPr>
            <w:r w:rsidRPr="00C73B81">
              <w:rPr>
                <w:rFonts w:ascii="Arial" w:hAnsi="Arial" w:cs="Arial"/>
                <w:bCs/>
              </w:rPr>
              <w:t>5.2%</w:t>
            </w:r>
          </w:p>
        </w:tc>
      </w:tr>
      <w:tr w:rsidR="00CA6C67" w14:paraId="58D8E7CE" w14:textId="77777777" w:rsidTr="0037234A">
        <w:trPr>
          <w:cantSplit/>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44871F" w14:textId="77777777" w:rsidR="00CA6C67" w:rsidRDefault="00CA6C67" w:rsidP="0037234A">
            <w:pPr>
              <w:jc w:val="center"/>
              <w:rPr>
                <w:rFonts w:ascii="Arial" w:hAnsi="Arial" w:cs="Arial"/>
              </w:rPr>
            </w:pPr>
            <w:r>
              <w:rPr>
                <w:rFonts w:ascii="Arial" w:hAnsi="Arial" w:cs="Arial"/>
              </w:rPr>
              <w:t>2018</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00AEAB" w14:textId="20DC5577" w:rsidR="00CA6C67" w:rsidRDefault="00E42A52" w:rsidP="0037234A">
            <w:pPr>
              <w:jc w:val="right"/>
              <w:rPr>
                <w:rFonts w:ascii="Arial" w:hAnsi="Arial" w:cs="Arial"/>
              </w:rPr>
            </w:pPr>
            <w:r>
              <w:rPr>
                <w:rFonts w:ascii="Arial" w:hAnsi="Arial" w:cs="Arial"/>
              </w:rPr>
              <w:t>$</w:t>
            </w:r>
            <w:r w:rsidR="00CA6C67">
              <w:rPr>
                <w:rFonts w:ascii="Arial" w:hAnsi="Arial" w:cs="Arial"/>
              </w:rPr>
              <w:t>44.22</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399A15" w14:textId="77777777" w:rsidR="00CA6C67" w:rsidRDefault="00CA6C67" w:rsidP="0037234A">
            <w:pPr>
              <w:jc w:val="right"/>
              <w:rPr>
                <w:rFonts w:ascii="Arial" w:hAnsi="Arial" w:cs="Arial"/>
              </w:rPr>
            </w:pPr>
            <w:r>
              <w:rPr>
                <w:rFonts w:ascii="Arial" w:hAnsi="Arial" w:cs="Arial"/>
              </w:rPr>
              <w:t>0.0%</w:t>
            </w:r>
          </w:p>
        </w:tc>
      </w:tr>
      <w:tr w:rsidR="00CA6C67" w14:paraId="3B106151" w14:textId="77777777" w:rsidTr="0037234A">
        <w:trPr>
          <w:cantSplit/>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41A1F4" w14:textId="77777777" w:rsidR="00CA6C67" w:rsidRPr="007C5765" w:rsidRDefault="00CA6C67" w:rsidP="0037234A">
            <w:pPr>
              <w:jc w:val="center"/>
              <w:rPr>
                <w:rFonts w:ascii="Arial" w:hAnsi="Arial" w:cs="Arial"/>
              </w:rPr>
            </w:pPr>
            <w:r w:rsidRPr="007C5765">
              <w:rPr>
                <w:rFonts w:ascii="Arial" w:hAnsi="Arial" w:cs="Arial"/>
              </w:rPr>
              <w:t>2019</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EED87F" w14:textId="3FC78C53" w:rsidR="00CA6C67" w:rsidRPr="007C5765" w:rsidRDefault="00E42A52" w:rsidP="0037234A">
            <w:pPr>
              <w:jc w:val="right"/>
              <w:rPr>
                <w:rFonts w:ascii="Arial" w:hAnsi="Arial" w:cs="Arial"/>
              </w:rPr>
            </w:pPr>
            <w:r>
              <w:rPr>
                <w:rFonts w:ascii="Arial" w:hAnsi="Arial" w:cs="Arial"/>
              </w:rPr>
              <w:t>$</w:t>
            </w:r>
            <w:r w:rsidR="00CA6C67" w:rsidRPr="007C5765">
              <w:rPr>
                <w:rFonts w:ascii="Arial" w:hAnsi="Arial" w:cs="Arial"/>
              </w:rPr>
              <w:t>45.33</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F44538" w14:textId="77777777" w:rsidR="00CA6C67" w:rsidRPr="007C5765" w:rsidRDefault="00CA6C67" w:rsidP="0037234A">
            <w:pPr>
              <w:jc w:val="right"/>
              <w:rPr>
                <w:rFonts w:ascii="Arial" w:hAnsi="Arial" w:cs="Arial"/>
              </w:rPr>
            </w:pPr>
            <w:r w:rsidRPr="007C5765">
              <w:rPr>
                <w:rFonts w:ascii="Arial" w:hAnsi="Arial" w:cs="Arial"/>
              </w:rPr>
              <w:t>2.5%</w:t>
            </w:r>
          </w:p>
        </w:tc>
      </w:tr>
      <w:tr w:rsidR="00CA6C67" w14:paraId="11EF5451" w14:textId="77777777" w:rsidTr="0037234A">
        <w:trPr>
          <w:cantSplit/>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723072" w14:textId="77777777" w:rsidR="00CA6C67" w:rsidRPr="00344C55" w:rsidRDefault="00CA6C67" w:rsidP="0037234A">
            <w:pPr>
              <w:jc w:val="center"/>
              <w:rPr>
                <w:rFonts w:ascii="Arial" w:hAnsi="Arial" w:cs="Arial"/>
              </w:rPr>
            </w:pPr>
            <w:r w:rsidRPr="00344C55">
              <w:rPr>
                <w:rFonts w:ascii="Arial" w:hAnsi="Arial" w:cs="Arial"/>
              </w:rPr>
              <w:t>2020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B98550" w14:textId="655F1AAD" w:rsidR="00CA6C67" w:rsidRPr="00344C55" w:rsidRDefault="00E42A52" w:rsidP="0037234A">
            <w:pPr>
              <w:jc w:val="right"/>
              <w:rPr>
                <w:rFonts w:ascii="Arial" w:hAnsi="Arial" w:cs="Arial"/>
              </w:rPr>
            </w:pPr>
            <w:r>
              <w:rPr>
                <w:rFonts w:ascii="Arial" w:hAnsi="Arial" w:cs="Arial"/>
              </w:rPr>
              <w:t>$</w:t>
            </w:r>
            <w:r w:rsidR="00CA6C67" w:rsidRPr="00344C55">
              <w:rPr>
                <w:rFonts w:ascii="Arial" w:hAnsi="Arial" w:cs="Arial"/>
              </w:rPr>
              <w:t>45.33</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3C50A9" w14:textId="77777777" w:rsidR="00CA6C67" w:rsidRPr="00344C55" w:rsidRDefault="00CA6C67" w:rsidP="0037234A">
            <w:pPr>
              <w:jc w:val="right"/>
              <w:rPr>
                <w:rFonts w:ascii="Arial" w:hAnsi="Arial" w:cs="Arial"/>
              </w:rPr>
            </w:pPr>
            <w:r w:rsidRPr="00344C55">
              <w:rPr>
                <w:rFonts w:ascii="Arial" w:hAnsi="Arial" w:cs="Arial"/>
              </w:rPr>
              <w:t>0.0%</w:t>
            </w:r>
          </w:p>
        </w:tc>
      </w:tr>
      <w:tr w:rsidR="00CA6C67" w14:paraId="654B8E55" w14:textId="77777777" w:rsidTr="004C56B2">
        <w:trPr>
          <w:cantSplit/>
          <w:jc w:val="center"/>
        </w:trPr>
        <w:tc>
          <w:tcPr>
            <w:tcW w:w="169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258250A3" w14:textId="77777777" w:rsidR="00CA6C67" w:rsidRPr="00A44FE2" w:rsidRDefault="00CA6C67" w:rsidP="0037234A">
            <w:pPr>
              <w:jc w:val="center"/>
              <w:rPr>
                <w:rFonts w:ascii="Arial" w:hAnsi="Arial" w:cs="Arial"/>
                <w:bCs/>
              </w:rPr>
            </w:pPr>
            <w:r w:rsidRPr="00A44FE2">
              <w:rPr>
                <w:rFonts w:ascii="Arial" w:hAnsi="Arial" w:cs="Arial"/>
                <w:bCs/>
              </w:rPr>
              <w:t>2021</w:t>
            </w:r>
          </w:p>
        </w:tc>
        <w:tc>
          <w:tcPr>
            <w:tcW w:w="19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135C534F" w14:textId="0C8F467A" w:rsidR="00CA6C67" w:rsidRPr="00A44FE2" w:rsidRDefault="00E42A52" w:rsidP="0037234A">
            <w:pPr>
              <w:jc w:val="right"/>
              <w:rPr>
                <w:rFonts w:ascii="Arial" w:hAnsi="Arial" w:cs="Arial"/>
                <w:bCs/>
              </w:rPr>
            </w:pPr>
            <w:r>
              <w:rPr>
                <w:rFonts w:ascii="Arial" w:hAnsi="Arial" w:cs="Arial"/>
                <w:bCs/>
              </w:rPr>
              <w:t>$</w:t>
            </w:r>
            <w:r w:rsidR="00CA6C67" w:rsidRPr="00A44FE2">
              <w:rPr>
                <w:rFonts w:ascii="Arial" w:hAnsi="Arial" w:cs="Arial"/>
                <w:bCs/>
              </w:rPr>
              <w:t>47.37</w:t>
            </w:r>
          </w:p>
        </w:tc>
        <w:tc>
          <w:tcPr>
            <w:tcW w:w="171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57F4CC39" w14:textId="77777777" w:rsidR="00CA6C67" w:rsidRPr="00A44FE2" w:rsidRDefault="00CA6C67" w:rsidP="0037234A">
            <w:pPr>
              <w:jc w:val="right"/>
              <w:rPr>
                <w:rFonts w:ascii="Arial" w:hAnsi="Arial" w:cs="Arial"/>
                <w:bCs/>
              </w:rPr>
            </w:pPr>
            <w:r w:rsidRPr="00A44FE2">
              <w:rPr>
                <w:rFonts w:ascii="Arial" w:hAnsi="Arial" w:cs="Arial"/>
                <w:bCs/>
              </w:rPr>
              <w:t>4.5%</w:t>
            </w:r>
          </w:p>
        </w:tc>
      </w:tr>
      <w:tr w:rsidR="00CA6C67" w:rsidRPr="00C73B81" w14:paraId="6ECB60E4" w14:textId="77777777" w:rsidTr="0037234A">
        <w:trPr>
          <w:cantSplit/>
          <w:jc w:val="center"/>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EA034BD" w14:textId="77777777" w:rsidR="00CA6C67" w:rsidRPr="00A44FE2" w:rsidRDefault="00CA6C67" w:rsidP="0037234A">
            <w:pPr>
              <w:jc w:val="center"/>
              <w:rPr>
                <w:rFonts w:ascii="Arial" w:hAnsi="Arial" w:cs="Arial"/>
                <w:b/>
                <w:bCs/>
              </w:rPr>
            </w:pPr>
            <w:r w:rsidRPr="00A44FE2">
              <w:rPr>
                <w:rFonts w:ascii="Arial" w:hAnsi="Arial" w:cs="Arial"/>
                <w:b/>
                <w:bCs/>
              </w:rPr>
              <w:t>2022</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0313F2AF" w14:textId="6F8F71D0" w:rsidR="00CA6C67" w:rsidRPr="00A44FE2" w:rsidRDefault="00E42A52" w:rsidP="0037234A">
            <w:pPr>
              <w:jc w:val="right"/>
              <w:rPr>
                <w:rFonts w:ascii="Arial" w:hAnsi="Arial" w:cs="Arial"/>
                <w:b/>
                <w:bCs/>
              </w:rPr>
            </w:pPr>
            <w:r>
              <w:rPr>
                <w:rFonts w:ascii="Arial" w:hAnsi="Arial" w:cs="Arial"/>
                <w:b/>
                <w:bCs/>
              </w:rPr>
              <w:t>$</w:t>
            </w:r>
            <w:r w:rsidR="00CA6C67" w:rsidRPr="00A44FE2">
              <w:rPr>
                <w:rFonts w:ascii="Arial" w:hAnsi="Arial" w:cs="Arial"/>
                <w:b/>
                <w:bCs/>
              </w:rPr>
              <w:t>4</w:t>
            </w:r>
            <w:r w:rsidR="004C56B2">
              <w:rPr>
                <w:rFonts w:ascii="Arial" w:hAnsi="Arial" w:cs="Arial"/>
                <w:b/>
                <w:bCs/>
              </w:rPr>
              <w:t>9</w:t>
            </w:r>
            <w:r w:rsidR="00CA6C67" w:rsidRPr="00A44FE2">
              <w:rPr>
                <w:rFonts w:ascii="Arial" w:hAnsi="Arial" w:cs="Arial"/>
                <w:b/>
                <w:bCs/>
              </w:rPr>
              <w:t>.</w:t>
            </w:r>
            <w:r w:rsidR="004C56B2">
              <w:rPr>
                <w:rFonts w:ascii="Arial" w:hAnsi="Arial" w:cs="Arial"/>
                <w:b/>
                <w:bCs/>
              </w:rPr>
              <w:t>2</w:t>
            </w:r>
            <w:r w:rsidR="00CA6C67" w:rsidRPr="00A44FE2">
              <w:rPr>
                <w:rFonts w:ascii="Arial" w:hAnsi="Arial" w:cs="Arial"/>
                <w:b/>
                <w:bCs/>
              </w:rPr>
              <w:t>7</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F51C3A5" w14:textId="74F26D98" w:rsidR="00CA6C67" w:rsidRPr="00A44FE2" w:rsidRDefault="00A44FE2" w:rsidP="0037234A">
            <w:pPr>
              <w:jc w:val="right"/>
              <w:rPr>
                <w:rFonts w:ascii="Arial" w:hAnsi="Arial" w:cs="Arial"/>
                <w:b/>
                <w:bCs/>
              </w:rPr>
            </w:pPr>
            <w:r w:rsidRPr="00A44FE2">
              <w:rPr>
                <w:rFonts w:ascii="Arial" w:hAnsi="Arial" w:cs="Arial"/>
                <w:b/>
                <w:bCs/>
              </w:rPr>
              <w:t>4</w:t>
            </w:r>
            <w:r w:rsidR="00CA6C67" w:rsidRPr="00A44FE2">
              <w:rPr>
                <w:rFonts w:ascii="Arial" w:hAnsi="Arial" w:cs="Arial"/>
                <w:b/>
                <w:bCs/>
              </w:rPr>
              <w:t>.0%</w:t>
            </w:r>
          </w:p>
        </w:tc>
      </w:tr>
      <w:tr w:rsidR="00CA6C67" w:rsidRPr="00C73B81" w14:paraId="61387F69" w14:textId="77777777" w:rsidTr="0037234A">
        <w:trPr>
          <w:cantSplit/>
          <w:jc w:val="center"/>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B50F468" w14:textId="77777777" w:rsidR="00CA6C67" w:rsidRPr="00C73B81" w:rsidRDefault="00CA6C67" w:rsidP="0037234A">
            <w:pPr>
              <w:jc w:val="center"/>
              <w:rPr>
                <w:rFonts w:ascii="Arial" w:hAnsi="Arial" w:cs="Arial"/>
              </w:rPr>
            </w:pPr>
            <w:r w:rsidRPr="00C73B81">
              <w:rPr>
                <w:rFonts w:ascii="Arial" w:hAnsi="Arial" w:cs="Arial"/>
              </w:rPr>
              <w:t>2023</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BBCEAB6" w14:textId="6D0E1AF1" w:rsidR="00CA6C67" w:rsidRPr="00C73B81" w:rsidDel="00CE6442" w:rsidRDefault="00E42A52" w:rsidP="0037234A">
            <w:pPr>
              <w:jc w:val="right"/>
              <w:rPr>
                <w:rFonts w:ascii="Arial" w:hAnsi="Arial" w:cs="Arial"/>
              </w:rPr>
            </w:pPr>
            <w:r>
              <w:rPr>
                <w:rFonts w:ascii="Arial" w:hAnsi="Arial" w:cs="Arial"/>
              </w:rPr>
              <w:t>$</w:t>
            </w:r>
            <w:r w:rsidR="00CA6C67">
              <w:rPr>
                <w:rFonts w:ascii="Arial" w:hAnsi="Arial" w:cs="Arial"/>
              </w:rPr>
              <w:t>5</w:t>
            </w:r>
            <w:r w:rsidR="004C56B2">
              <w:rPr>
                <w:rFonts w:ascii="Arial" w:hAnsi="Arial" w:cs="Arial"/>
              </w:rPr>
              <w:t>1</w:t>
            </w:r>
            <w:r w:rsidR="00CA6C67">
              <w:rPr>
                <w:rFonts w:ascii="Arial" w:hAnsi="Arial" w:cs="Arial"/>
              </w:rPr>
              <w:t>.2</w:t>
            </w:r>
            <w:r w:rsidR="004C56B2">
              <w:rPr>
                <w:rFonts w:ascii="Arial" w:hAnsi="Arial" w:cs="Arial"/>
              </w:rPr>
              <w:t>5</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985130B" w14:textId="6C1F6938" w:rsidR="00CA6C67" w:rsidRPr="00FA4E2A" w:rsidDel="00CE6442" w:rsidRDefault="00A44FE2" w:rsidP="0037234A">
            <w:pPr>
              <w:jc w:val="right"/>
              <w:rPr>
                <w:rFonts w:ascii="Arial" w:hAnsi="Arial" w:cs="Arial"/>
              </w:rPr>
            </w:pPr>
            <w:r>
              <w:rPr>
                <w:rFonts w:ascii="Arial" w:hAnsi="Arial" w:cs="Arial"/>
              </w:rPr>
              <w:t>4.0</w:t>
            </w:r>
            <w:r w:rsidR="00CA6C67">
              <w:rPr>
                <w:rFonts w:ascii="Arial" w:hAnsi="Arial" w:cs="Arial"/>
              </w:rPr>
              <w:t>%</w:t>
            </w:r>
          </w:p>
        </w:tc>
      </w:tr>
      <w:tr w:rsidR="00CA6C67" w:rsidRPr="00C73B81" w14:paraId="04944E72" w14:textId="77777777" w:rsidTr="0037234A">
        <w:trPr>
          <w:cantSplit/>
          <w:jc w:val="center"/>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F7CC6FF" w14:textId="77777777" w:rsidR="00CA6C67" w:rsidRPr="00C73B81" w:rsidRDefault="00CA6C67" w:rsidP="0037234A">
            <w:pPr>
              <w:jc w:val="center"/>
              <w:rPr>
                <w:rFonts w:ascii="Arial" w:hAnsi="Arial" w:cs="Arial"/>
              </w:rPr>
            </w:pPr>
            <w:r w:rsidRPr="00C73B81">
              <w:rPr>
                <w:rFonts w:ascii="Arial" w:hAnsi="Arial" w:cs="Arial"/>
              </w:rPr>
              <w:t>2024</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0EAF50A" w14:textId="512C7C6C" w:rsidR="00CA6C67" w:rsidRPr="00C73B81" w:rsidDel="00CE6442" w:rsidRDefault="00E42A52" w:rsidP="0037234A">
            <w:pPr>
              <w:jc w:val="right"/>
              <w:rPr>
                <w:rFonts w:ascii="Arial" w:hAnsi="Arial" w:cs="Arial"/>
              </w:rPr>
            </w:pPr>
            <w:r>
              <w:rPr>
                <w:rFonts w:ascii="Arial" w:hAnsi="Arial" w:cs="Arial"/>
              </w:rPr>
              <w:t>$</w:t>
            </w:r>
            <w:r w:rsidR="00CA6C67">
              <w:rPr>
                <w:rFonts w:ascii="Arial" w:hAnsi="Arial" w:cs="Arial"/>
              </w:rPr>
              <w:t>5</w:t>
            </w:r>
            <w:r w:rsidR="004C56B2">
              <w:rPr>
                <w:rFonts w:ascii="Arial" w:hAnsi="Arial" w:cs="Arial"/>
              </w:rPr>
              <w:t>3</w:t>
            </w:r>
            <w:r w:rsidR="00CA6C67">
              <w:rPr>
                <w:rFonts w:ascii="Arial" w:hAnsi="Arial" w:cs="Arial"/>
              </w:rPr>
              <w:t>.</w:t>
            </w:r>
            <w:r w:rsidR="00B0437C">
              <w:rPr>
                <w:rFonts w:ascii="Arial" w:hAnsi="Arial" w:cs="Arial"/>
              </w:rPr>
              <w:t>30</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0C73049" w14:textId="78303335" w:rsidR="00CA6C67" w:rsidRPr="00FA4E2A" w:rsidDel="00CE6442" w:rsidRDefault="0053763B" w:rsidP="0037234A">
            <w:pPr>
              <w:jc w:val="right"/>
              <w:rPr>
                <w:rFonts w:ascii="Arial" w:hAnsi="Arial" w:cs="Arial"/>
              </w:rPr>
            </w:pPr>
            <w:r>
              <w:rPr>
                <w:rFonts w:ascii="Arial" w:hAnsi="Arial" w:cs="Arial"/>
              </w:rPr>
              <w:t>4.0</w:t>
            </w:r>
            <w:r w:rsidR="00CA6C67">
              <w:rPr>
                <w:rFonts w:ascii="Arial" w:hAnsi="Arial" w:cs="Arial"/>
              </w:rPr>
              <w:t>%</w:t>
            </w:r>
          </w:p>
        </w:tc>
      </w:tr>
      <w:tr w:rsidR="00CA6C67" w:rsidRPr="00C73B81" w14:paraId="03505DBA" w14:textId="77777777" w:rsidTr="0037234A">
        <w:trPr>
          <w:cantSplit/>
          <w:jc w:val="center"/>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89215E6" w14:textId="77777777" w:rsidR="00CA6C67" w:rsidRPr="00C73B81" w:rsidRDefault="00CA6C67" w:rsidP="0037234A">
            <w:pPr>
              <w:jc w:val="center"/>
              <w:rPr>
                <w:rFonts w:ascii="Arial" w:hAnsi="Arial" w:cs="Arial"/>
              </w:rPr>
            </w:pPr>
            <w:r>
              <w:rPr>
                <w:rFonts w:ascii="Arial" w:hAnsi="Arial" w:cs="Arial"/>
              </w:rPr>
              <w:t>2025</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75EF205" w14:textId="32AE123A" w:rsidR="00CA6C67" w:rsidRPr="00C73B81" w:rsidRDefault="00E42A52" w:rsidP="0037234A">
            <w:pPr>
              <w:jc w:val="right"/>
              <w:rPr>
                <w:rFonts w:ascii="Arial" w:hAnsi="Arial" w:cs="Arial"/>
              </w:rPr>
            </w:pPr>
            <w:r>
              <w:rPr>
                <w:rFonts w:ascii="Arial" w:hAnsi="Arial" w:cs="Arial"/>
              </w:rPr>
              <w:t>$</w:t>
            </w:r>
            <w:r w:rsidR="00CA6C67">
              <w:rPr>
                <w:rFonts w:ascii="Arial" w:hAnsi="Arial" w:cs="Arial"/>
              </w:rPr>
              <w:t>5</w:t>
            </w:r>
            <w:r w:rsidR="00B0437C">
              <w:rPr>
                <w:rFonts w:ascii="Arial" w:hAnsi="Arial" w:cs="Arial"/>
              </w:rPr>
              <w:t>5.44</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0777F04" w14:textId="42055E17" w:rsidR="00CA6C67" w:rsidRDefault="0053763B" w:rsidP="0037234A">
            <w:pPr>
              <w:jc w:val="right"/>
              <w:rPr>
                <w:rFonts w:ascii="Arial" w:hAnsi="Arial" w:cs="Arial"/>
              </w:rPr>
            </w:pPr>
            <w:r>
              <w:rPr>
                <w:rFonts w:ascii="Arial" w:hAnsi="Arial" w:cs="Arial"/>
              </w:rPr>
              <w:t>4.0</w:t>
            </w:r>
            <w:r w:rsidR="00CA6C67">
              <w:rPr>
                <w:rFonts w:ascii="Arial" w:hAnsi="Arial" w:cs="Arial"/>
              </w:rPr>
              <w:t>%</w:t>
            </w:r>
          </w:p>
        </w:tc>
      </w:tr>
    </w:tbl>
    <w:p w14:paraId="3D284E90" w14:textId="77777777" w:rsidR="00CA6C67" w:rsidRDefault="00CA6C67" w:rsidP="00CA6C67">
      <w:pPr>
        <w:jc w:val="both"/>
        <w:rPr>
          <w:rFonts w:ascii="Calibri" w:eastAsiaTheme="minorHAnsi" w:hAnsi="Calibri" w:cs="Calibri"/>
          <w:sz w:val="22"/>
          <w:szCs w:val="22"/>
        </w:rPr>
      </w:pPr>
    </w:p>
    <w:p w14:paraId="4E5AACCF" w14:textId="6691BC10" w:rsidR="00CA6C67" w:rsidRDefault="00CA6C67" w:rsidP="003F5297">
      <w:pPr>
        <w:spacing w:line="264" w:lineRule="auto"/>
        <w:jc w:val="both"/>
        <w:rPr>
          <w:rFonts w:ascii="Arial" w:hAnsi="Arial" w:cs="Arial"/>
        </w:rPr>
      </w:pPr>
      <w:r>
        <w:rPr>
          <w:rFonts w:ascii="Arial" w:hAnsi="Arial" w:cs="Arial"/>
        </w:rPr>
        <w:t xml:space="preserve">Table 1 above depicts the anticipated sewer rates through 2025 according to the transmittal.   Increases </w:t>
      </w:r>
      <w:r w:rsidR="00E64130">
        <w:rPr>
          <w:rFonts w:ascii="Arial" w:hAnsi="Arial" w:cs="Arial"/>
        </w:rPr>
        <w:t>have historically been</w:t>
      </w:r>
      <w:r>
        <w:rPr>
          <w:rFonts w:ascii="Arial" w:hAnsi="Arial" w:cs="Arial"/>
        </w:rPr>
        <w:t xml:space="preserve"> structured effectively as </w:t>
      </w:r>
      <w:r w:rsidR="00393863">
        <w:rPr>
          <w:rFonts w:ascii="Arial" w:hAnsi="Arial" w:cs="Arial"/>
        </w:rPr>
        <w:t>biennial</w:t>
      </w:r>
      <w:r>
        <w:rPr>
          <w:rFonts w:ascii="Arial" w:hAnsi="Arial" w:cs="Arial"/>
        </w:rPr>
        <w:t xml:space="preserve"> rates</w:t>
      </w:r>
      <w:r w:rsidR="00CE5C04">
        <w:rPr>
          <w:rFonts w:ascii="Arial" w:hAnsi="Arial" w:cs="Arial"/>
        </w:rPr>
        <w:t xml:space="preserve">, with </w:t>
      </w:r>
      <w:r w:rsidR="00370FBA">
        <w:rPr>
          <w:rFonts w:ascii="Arial" w:hAnsi="Arial" w:cs="Arial"/>
        </w:rPr>
        <w:lastRenderedPageBreak/>
        <w:t>rate</w:t>
      </w:r>
      <w:r w:rsidR="00A9178C">
        <w:rPr>
          <w:rFonts w:ascii="Arial" w:hAnsi="Arial" w:cs="Arial"/>
        </w:rPr>
        <w:t xml:space="preserve"> adjustments in alternating years.</w:t>
      </w:r>
      <w:r w:rsidR="00891D41">
        <w:rPr>
          <w:rFonts w:ascii="Arial" w:hAnsi="Arial" w:cs="Arial"/>
        </w:rPr>
        <w:t xml:space="preserve"> </w:t>
      </w:r>
      <w:r w:rsidR="00E41BFB">
        <w:rPr>
          <w:rFonts w:ascii="Arial" w:hAnsi="Arial" w:cs="Arial"/>
        </w:rPr>
        <w:t xml:space="preserve"> </w:t>
      </w:r>
      <w:r w:rsidR="00565FB7">
        <w:rPr>
          <w:rFonts w:ascii="Arial" w:hAnsi="Arial" w:cs="Arial"/>
        </w:rPr>
        <w:t>R</w:t>
      </w:r>
      <w:r w:rsidR="00302CDD">
        <w:rPr>
          <w:rFonts w:ascii="Arial" w:hAnsi="Arial" w:cs="Arial"/>
        </w:rPr>
        <w:t>ates going forward are projected to increase annually, rather than biennially</w:t>
      </w:r>
      <w:r w:rsidR="00517C0E">
        <w:rPr>
          <w:rFonts w:ascii="Arial" w:hAnsi="Arial" w:cs="Arial"/>
        </w:rPr>
        <w:t>.</w:t>
      </w:r>
      <w:r w:rsidR="00E64130">
        <w:rPr>
          <w:rFonts w:ascii="Arial" w:hAnsi="Arial" w:cs="Arial"/>
        </w:rPr>
        <w:t xml:space="preserve"> </w:t>
      </w:r>
      <w:r w:rsidR="00E41BFB">
        <w:rPr>
          <w:rFonts w:ascii="Arial" w:hAnsi="Arial" w:cs="Arial"/>
        </w:rPr>
        <w:t xml:space="preserve"> </w:t>
      </w:r>
      <w:r w:rsidR="00297ACF">
        <w:rPr>
          <w:rFonts w:ascii="Arial" w:hAnsi="Arial" w:cs="Arial"/>
        </w:rPr>
        <w:t xml:space="preserve">This recommendation comes after </w:t>
      </w:r>
      <w:r>
        <w:rPr>
          <w:rFonts w:ascii="Arial" w:hAnsi="Arial" w:cs="Arial"/>
        </w:rPr>
        <w:t xml:space="preserve">extensive engagement with the Metropolitan Water Pollution Abatement Advisory Committee (MWPAAC).   </w:t>
      </w:r>
    </w:p>
    <w:p w14:paraId="7A43598F" w14:textId="04CFB0B9" w:rsidR="000C5D62" w:rsidRDefault="000C5D62" w:rsidP="003F5297">
      <w:pPr>
        <w:spacing w:line="264" w:lineRule="auto"/>
        <w:jc w:val="both"/>
        <w:rPr>
          <w:rFonts w:ascii="Arial" w:hAnsi="Arial" w:cs="Arial"/>
        </w:rPr>
      </w:pPr>
    </w:p>
    <w:p w14:paraId="657AB043" w14:textId="7FE89325" w:rsidR="000C5D62" w:rsidRDefault="00DB3E3F" w:rsidP="003F5297">
      <w:pPr>
        <w:spacing w:line="264" w:lineRule="auto"/>
        <w:ind w:right="50"/>
        <w:rPr>
          <w:rFonts w:ascii="Arial" w:hAnsi="Arial" w:cs="Arial"/>
        </w:rPr>
      </w:pPr>
      <w:r w:rsidRPr="00DB3E3F">
        <w:rPr>
          <w:rFonts w:ascii="Arial" w:hAnsi="Arial" w:cs="Arial"/>
        </w:rPr>
        <w:t>T</w:t>
      </w:r>
      <w:r w:rsidR="000C5D62" w:rsidRPr="00DB3E3F">
        <w:rPr>
          <w:rFonts w:ascii="Arial" w:hAnsi="Arial" w:cs="Arial"/>
        </w:rPr>
        <w:t xml:space="preserve">he Executive transmittal has referenced </w:t>
      </w:r>
      <w:proofErr w:type="gramStart"/>
      <w:r w:rsidR="000C5D62" w:rsidRPr="00DB3E3F">
        <w:rPr>
          <w:rFonts w:ascii="Arial" w:hAnsi="Arial" w:cs="Arial"/>
        </w:rPr>
        <w:t>a number of</w:t>
      </w:r>
      <w:proofErr w:type="gramEnd"/>
      <w:r w:rsidR="000C5D62" w:rsidRPr="00DB3E3F">
        <w:rPr>
          <w:rFonts w:ascii="Arial" w:hAnsi="Arial" w:cs="Arial"/>
        </w:rPr>
        <w:t xml:space="preserve"> rate drivers that impact this 2022 proposal (Attachment 6 to the Staff Report): </w:t>
      </w:r>
    </w:p>
    <w:p w14:paraId="1861E16A" w14:textId="77777777" w:rsidR="00E41BFB" w:rsidRPr="00DB3E3F" w:rsidRDefault="00E41BFB" w:rsidP="003F5297">
      <w:pPr>
        <w:spacing w:line="264" w:lineRule="auto"/>
        <w:ind w:right="50"/>
        <w:rPr>
          <w:rFonts w:ascii="Arial" w:hAnsi="Arial" w:cs="Arial"/>
        </w:rPr>
      </w:pPr>
    </w:p>
    <w:p w14:paraId="2EC8DB60" w14:textId="1886C4D2" w:rsidR="000C5D62" w:rsidRDefault="000C5D62" w:rsidP="003F5297">
      <w:pPr>
        <w:pStyle w:val="ListParagraph"/>
        <w:numPr>
          <w:ilvl w:val="0"/>
          <w:numId w:val="11"/>
        </w:numPr>
        <w:spacing w:after="5" w:line="264" w:lineRule="auto"/>
        <w:ind w:right="50"/>
        <w:jc w:val="both"/>
        <w:rPr>
          <w:rFonts w:ascii="Arial" w:hAnsi="Arial" w:cs="Arial"/>
        </w:rPr>
      </w:pPr>
      <w:r w:rsidRPr="00141E91">
        <w:rPr>
          <w:rFonts w:ascii="Arial" w:hAnsi="Arial" w:cs="Arial"/>
          <w:i/>
          <w:iCs/>
        </w:rPr>
        <w:t>West Point Treatment Plant power reliability investments.</w:t>
      </w:r>
      <w:r w:rsidRPr="00DB3E3F">
        <w:rPr>
          <w:rFonts w:ascii="Arial" w:hAnsi="Arial" w:cs="Arial"/>
        </w:rPr>
        <w:t xml:space="preserve">  Council approved legislation in February </w:t>
      </w:r>
      <w:r w:rsidR="00E41BFB">
        <w:rPr>
          <w:rFonts w:ascii="Arial" w:hAnsi="Arial" w:cs="Arial"/>
        </w:rPr>
        <w:t xml:space="preserve">2021 </w:t>
      </w:r>
      <w:r w:rsidRPr="00DB3E3F">
        <w:rPr>
          <w:rFonts w:ascii="Arial" w:hAnsi="Arial" w:cs="Arial"/>
        </w:rPr>
        <w:t xml:space="preserve">continuing an Emergency Declaration to respond to a Department of Ecology administrative order requiring an undertaking to address the reliability of the power supply at West Point Treatment Plant.  WTD is beginning work to address “voltage sags” that have historically impacted operations at the plant during storm-driven wind and rain events. </w:t>
      </w:r>
    </w:p>
    <w:p w14:paraId="79BA9E71" w14:textId="77777777" w:rsidR="00E41BFB" w:rsidRPr="00DB3E3F" w:rsidRDefault="00E41BFB" w:rsidP="00141E91">
      <w:pPr>
        <w:pStyle w:val="ListParagraph"/>
        <w:spacing w:after="5" w:line="264" w:lineRule="auto"/>
        <w:ind w:left="1065" w:right="50"/>
        <w:jc w:val="both"/>
        <w:rPr>
          <w:rFonts w:ascii="Arial" w:hAnsi="Arial" w:cs="Arial"/>
        </w:rPr>
      </w:pPr>
    </w:p>
    <w:p w14:paraId="6A94ADF7" w14:textId="04D7CC96" w:rsidR="000C5D62" w:rsidRDefault="000C5D62" w:rsidP="003F5297">
      <w:pPr>
        <w:pStyle w:val="ListParagraph"/>
        <w:numPr>
          <w:ilvl w:val="0"/>
          <w:numId w:val="11"/>
        </w:numPr>
        <w:spacing w:after="5" w:line="264" w:lineRule="auto"/>
        <w:ind w:right="50"/>
        <w:jc w:val="both"/>
        <w:rPr>
          <w:rFonts w:ascii="Arial" w:hAnsi="Arial" w:cs="Arial"/>
        </w:rPr>
      </w:pPr>
      <w:r w:rsidRPr="00141E91">
        <w:rPr>
          <w:rFonts w:ascii="Arial" w:hAnsi="Arial" w:cs="Arial"/>
          <w:i/>
          <w:iCs/>
        </w:rPr>
        <w:t xml:space="preserve">Combined Sewer Overflow </w:t>
      </w:r>
      <w:r w:rsidR="00E41BFB">
        <w:rPr>
          <w:rFonts w:ascii="Arial" w:hAnsi="Arial" w:cs="Arial"/>
          <w:i/>
          <w:iCs/>
        </w:rPr>
        <w:t xml:space="preserve">(CSO) </w:t>
      </w:r>
      <w:r w:rsidRPr="00141E91">
        <w:rPr>
          <w:rFonts w:ascii="Arial" w:hAnsi="Arial" w:cs="Arial"/>
          <w:i/>
          <w:iCs/>
        </w:rPr>
        <w:t>cost estimates.</w:t>
      </w:r>
      <w:r w:rsidRPr="00DB3E3F">
        <w:rPr>
          <w:rFonts w:ascii="Arial" w:hAnsi="Arial" w:cs="Arial"/>
        </w:rPr>
        <w:t xml:space="preserve">  Newly-available estimates for the cost of completing CSO projects are incorporated into the proposed rate; negotiations are currently underway with the Environmental Protection Agency and the Department of Ecology to extend the required completion date for those projects from 2030 to 2040.  The proposed rate extends those costs to 2040, on the assumption of</w:t>
      </w:r>
      <w:r w:rsidR="00EC3489">
        <w:rPr>
          <w:rFonts w:ascii="Arial" w:hAnsi="Arial" w:cs="Arial"/>
        </w:rPr>
        <w:t xml:space="preserve"> a</w:t>
      </w:r>
      <w:r w:rsidRPr="00DB3E3F">
        <w:rPr>
          <w:rFonts w:ascii="Arial" w:hAnsi="Arial" w:cs="Arial"/>
        </w:rPr>
        <w:t xml:space="preserve"> favorable outcome to negotiations. </w:t>
      </w:r>
    </w:p>
    <w:p w14:paraId="1ED69BD1" w14:textId="77777777" w:rsidR="00E41BFB" w:rsidRPr="00DB3E3F" w:rsidRDefault="00E41BFB" w:rsidP="00141E91">
      <w:pPr>
        <w:pStyle w:val="ListParagraph"/>
        <w:spacing w:after="5" w:line="264" w:lineRule="auto"/>
        <w:ind w:left="1065" w:right="50"/>
        <w:jc w:val="both"/>
        <w:rPr>
          <w:rFonts w:ascii="Arial" w:hAnsi="Arial" w:cs="Arial"/>
        </w:rPr>
      </w:pPr>
    </w:p>
    <w:p w14:paraId="64E2D07E" w14:textId="50955AE1" w:rsidR="000C5D62" w:rsidRDefault="000C5D62" w:rsidP="003F5297">
      <w:pPr>
        <w:pStyle w:val="ListParagraph"/>
        <w:numPr>
          <w:ilvl w:val="0"/>
          <w:numId w:val="11"/>
        </w:numPr>
        <w:spacing w:after="5" w:line="264" w:lineRule="auto"/>
        <w:ind w:right="50"/>
        <w:jc w:val="both"/>
        <w:rPr>
          <w:rFonts w:ascii="Arial" w:hAnsi="Arial" w:cs="Arial"/>
        </w:rPr>
      </w:pPr>
      <w:r w:rsidRPr="00141E91">
        <w:rPr>
          <w:rFonts w:ascii="Arial" w:hAnsi="Arial" w:cs="Arial"/>
          <w:i/>
          <w:iCs/>
        </w:rPr>
        <w:t>Asset Management Catch-Up.</w:t>
      </w:r>
      <w:r w:rsidRPr="00DB3E3F">
        <w:rPr>
          <w:rFonts w:ascii="Arial" w:hAnsi="Arial" w:cs="Arial"/>
        </w:rPr>
        <w:t xml:space="preserve">  </w:t>
      </w:r>
      <w:r w:rsidR="00270B8F">
        <w:rPr>
          <w:rFonts w:ascii="Arial" w:hAnsi="Arial" w:cs="Arial"/>
        </w:rPr>
        <w:t xml:space="preserve">The </w:t>
      </w:r>
      <w:r w:rsidR="00F91971">
        <w:rPr>
          <w:rFonts w:ascii="Arial" w:hAnsi="Arial" w:cs="Arial"/>
        </w:rPr>
        <w:t>physical plant, including</w:t>
      </w:r>
      <w:r w:rsidR="0071529B">
        <w:rPr>
          <w:rFonts w:ascii="Arial" w:hAnsi="Arial" w:cs="Arial"/>
        </w:rPr>
        <w:t xml:space="preserve"> many of</w:t>
      </w:r>
      <w:r w:rsidR="00F91971">
        <w:rPr>
          <w:rFonts w:ascii="Arial" w:hAnsi="Arial" w:cs="Arial"/>
        </w:rPr>
        <w:t xml:space="preserve"> the conveyance pipelines </w:t>
      </w:r>
      <w:r w:rsidR="004F29C8">
        <w:rPr>
          <w:rFonts w:ascii="Arial" w:hAnsi="Arial" w:cs="Arial"/>
        </w:rPr>
        <w:t xml:space="preserve">as well as </w:t>
      </w:r>
      <w:r w:rsidR="00756DD8">
        <w:rPr>
          <w:rFonts w:ascii="Arial" w:hAnsi="Arial" w:cs="Arial"/>
        </w:rPr>
        <w:t>the West Point and South</w:t>
      </w:r>
      <w:r w:rsidR="00F91971">
        <w:rPr>
          <w:rFonts w:ascii="Arial" w:hAnsi="Arial" w:cs="Arial"/>
        </w:rPr>
        <w:t xml:space="preserve"> treatment plant</w:t>
      </w:r>
      <w:r w:rsidR="0071529B">
        <w:rPr>
          <w:rFonts w:ascii="Arial" w:hAnsi="Arial" w:cs="Arial"/>
        </w:rPr>
        <w:t>s</w:t>
      </w:r>
      <w:r w:rsidR="00F91971">
        <w:rPr>
          <w:rFonts w:ascii="Arial" w:hAnsi="Arial" w:cs="Arial"/>
        </w:rPr>
        <w:t>, are</w:t>
      </w:r>
      <w:r w:rsidR="0071529B">
        <w:rPr>
          <w:rFonts w:ascii="Arial" w:hAnsi="Arial" w:cs="Arial"/>
        </w:rPr>
        <w:t xml:space="preserve"> over 50 years old, and </w:t>
      </w:r>
      <w:r w:rsidR="00276C1B">
        <w:rPr>
          <w:rFonts w:ascii="Arial" w:hAnsi="Arial" w:cs="Arial"/>
        </w:rPr>
        <w:t xml:space="preserve">are experiencing significant </w:t>
      </w:r>
      <w:r w:rsidR="00207DEE">
        <w:rPr>
          <w:rFonts w:ascii="Arial" w:hAnsi="Arial" w:cs="Arial"/>
        </w:rPr>
        <w:t xml:space="preserve">upgrade, </w:t>
      </w:r>
      <w:proofErr w:type="gramStart"/>
      <w:r w:rsidR="00207DEE">
        <w:rPr>
          <w:rFonts w:ascii="Arial" w:hAnsi="Arial" w:cs="Arial"/>
        </w:rPr>
        <w:t>repair</w:t>
      </w:r>
      <w:proofErr w:type="gramEnd"/>
      <w:r w:rsidR="00207DEE">
        <w:rPr>
          <w:rFonts w:ascii="Arial" w:hAnsi="Arial" w:cs="Arial"/>
        </w:rPr>
        <w:t xml:space="preserve"> or replacem</w:t>
      </w:r>
      <w:r w:rsidR="001F5D55">
        <w:rPr>
          <w:rFonts w:ascii="Arial" w:hAnsi="Arial" w:cs="Arial"/>
        </w:rPr>
        <w:t>ent needs.</w:t>
      </w:r>
      <w:r w:rsidR="00276C1B">
        <w:rPr>
          <w:rFonts w:ascii="Arial" w:hAnsi="Arial" w:cs="Arial"/>
        </w:rPr>
        <w:t xml:space="preserve"> </w:t>
      </w:r>
      <w:r w:rsidR="00E41BFB">
        <w:rPr>
          <w:rFonts w:ascii="Arial" w:hAnsi="Arial" w:cs="Arial"/>
        </w:rPr>
        <w:t xml:space="preserve"> </w:t>
      </w:r>
      <w:r w:rsidR="00BC0B9C">
        <w:rPr>
          <w:rFonts w:ascii="Arial" w:hAnsi="Arial" w:cs="Arial"/>
        </w:rPr>
        <w:t xml:space="preserve">The </w:t>
      </w:r>
      <w:r w:rsidR="00590740">
        <w:rPr>
          <w:rFonts w:ascii="Arial" w:hAnsi="Arial" w:cs="Arial"/>
        </w:rPr>
        <w:t xml:space="preserve">Council was briefed </w:t>
      </w:r>
      <w:r w:rsidR="00E41BFB">
        <w:rPr>
          <w:rFonts w:ascii="Arial" w:hAnsi="Arial" w:cs="Arial"/>
        </w:rPr>
        <w:t xml:space="preserve">during </w:t>
      </w:r>
      <w:r w:rsidR="00590740">
        <w:rPr>
          <w:rFonts w:ascii="Arial" w:hAnsi="Arial" w:cs="Arial"/>
        </w:rPr>
        <w:t>the 202</w:t>
      </w:r>
      <w:r w:rsidR="00E41BFB">
        <w:rPr>
          <w:rFonts w:ascii="Arial" w:hAnsi="Arial" w:cs="Arial"/>
        </w:rPr>
        <w:t>1-2022</w:t>
      </w:r>
      <w:r w:rsidR="00590740">
        <w:rPr>
          <w:rFonts w:ascii="Arial" w:hAnsi="Arial" w:cs="Arial"/>
        </w:rPr>
        <w:t xml:space="preserve"> budget process regarding a backlog of asset management projects</w:t>
      </w:r>
      <w:r w:rsidR="002853D8">
        <w:rPr>
          <w:rFonts w:ascii="Arial" w:hAnsi="Arial" w:cs="Arial"/>
        </w:rPr>
        <w:t xml:space="preserve"> that, if unaddressed, can affect the performance of the system.</w:t>
      </w:r>
      <w:r w:rsidR="004315E2">
        <w:rPr>
          <w:rFonts w:ascii="Arial" w:hAnsi="Arial" w:cs="Arial"/>
        </w:rPr>
        <w:t xml:space="preserve">  T</w:t>
      </w:r>
      <w:r w:rsidRPr="00DB3E3F">
        <w:rPr>
          <w:rFonts w:ascii="Arial" w:hAnsi="Arial" w:cs="Arial"/>
        </w:rPr>
        <w:t xml:space="preserve">his rate proposal provides for a “catch-up” process which would complete all the </w:t>
      </w:r>
      <w:r w:rsidR="00225657">
        <w:rPr>
          <w:rFonts w:ascii="Arial" w:hAnsi="Arial" w:cs="Arial"/>
        </w:rPr>
        <w:t xml:space="preserve">asset management </w:t>
      </w:r>
      <w:r w:rsidRPr="00DB3E3F">
        <w:rPr>
          <w:rFonts w:ascii="Arial" w:hAnsi="Arial" w:cs="Arial"/>
        </w:rPr>
        <w:t xml:space="preserve">projects by 2033.  It includes an asset management “strike team” to support progress on the asset management catch-up. </w:t>
      </w:r>
      <w:r w:rsidR="00B870BD">
        <w:rPr>
          <w:rFonts w:ascii="Arial" w:hAnsi="Arial" w:cs="Arial"/>
        </w:rPr>
        <w:t xml:space="preserve"> (Proposed Ordinance 2021-0190, summarized </w:t>
      </w:r>
      <w:r w:rsidR="00013436">
        <w:rPr>
          <w:rFonts w:ascii="Arial" w:hAnsi="Arial" w:cs="Arial"/>
        </w:rPr>
        <w:t xml:space="preserve">at the end of this staff report, </w:t>
      </w:r>
      <w:r w:rsidR="00E42A52">
        <w:rPr>
          <w:rFonts w:ascii="Arial" w:hAnsi="Arial" w:cs="Arial"/>
        </w:rPr>
        <w:t xml:space="preserve">would </w:t>
      </w:r>
      <w:r w:rsidR="00013436">
        <w:rPr>
          <w:rFonts w:ascii="Arial" w:hAnsi="Arial" w:cs="Arial"/>
        </w:rPr>
        <w:t xml:space="preserve">provide  </w:t>
      </w:r>
      <w:r w:rsidR="00576DD6">
        <w:rPr>
          <w:rFonts w:ascii="Arial" w:hAnsi="Arial" w:cs="Arial"/>
        </w:rPr>
        <w:t>expenditure authority</w:t>
      </w:r>
      <w:r w:rsidR="00013436">
        <w:rPr>
          <w:rFonts w:ascii="Arial" w:hAnsi="Arial" w:cs="Arial"/>
        </w:rPr>
        <w:t xml:space="preserve"> to support </w:t>
      </w:r>
      <w:r w:rsidR="0024752F">
        <w:rPr>
          <w:rFonts w:ascii="Arial" w:hAnsi="Arial" w:cs="Arial"/>
        </w:rPr>
        <w:t xml:space="preserve">the early phase-in of this “strike team” as well as </w:t>
      </w:r>
      <w:r w:rsidR="00FB1042">
        <w:rPr>
          <w:rFonts w:ascii="Arial" w:hAnsi="Arial" w:cs="Arial"/>
        </w:rPr>
        <w:t xml:space="preserve">for a number of priority Asset Management projects delayed from last </w:t>
      </w:r>
      <w:r w:rsidR="00A25F0C">
        <w:rPr>
          <w:rFonts w:ascii="Arial" w:hAnsi="Arial" w:cs="Arial"/>
        </w:rPr>
        <w:t>year’s rate consideration.)</w:t>
      </w:r>
    </w:p>
    <w:p w14:paraId="504AD3A1" w14:textId="77777777" w:rsidR="00E41BFB" w:rsidRPr="00DB3E3F" w:rsidRDefault="00E41BFB" w:rsidP="00141E91">
      <w:pPr>
        <w:pStyle w:val="ListParagraph"/>
        <w:spacing w:after="5" w:line="264" w:lineRule="auto"/>
        <w:ind w:left="1065" w:right="50"/>
        <w:jc w:val="both"/>
        <w:rPr>
          <w:rFonts w:ascii="Arial" w:hAnsi="Arial" w:cs="Arial"/>
        </w:rPr>
      </w:pPr>
    </w:p>
    <w:p w14:paraId="6C6563F6" w14:textId="23636CF4" w:rsidR="000C5D62" w:rsidRPr="00DB3E3F" w:rsidRDefault="000C5D62" w:rsidP="003F5297">
      <w:pPr>
        <w:pStyle w:val="ListParagraph"/>
        <w:numPr>
          <w:ilvl w:val="0"/>
          <w:numId w:val="11"/>
        </w:numPr>
        <w:spacing w:after="5" w:line="264" w:lineRule="auto"/>
        <w:ind w:right="50"/>
        <w:jc w:val="both"/>
        <w:rPr>
          <w:rFonts w:ascii="Arial" w:hAnsi="Arial" w:cs="Arial"/>
        </w:rPr>
      </w:pPr>
      <w:r w:rsidRPr="00141E91">
        <w:rPr>
          <w:rFonts w:ascii="Arial" w:hAnsi="Arial" w:cs="Arial"/>
          <w:i/>
          <w:iCs/>
        </w:rPr>
        <w:t>Covid-19 impacts.</w:t>
      </w:r>
      <w:r w:rsidRPr="00DB3E3F">
        <w:rPr>
          <w:rFonts w:ascii="Arial" w:hAnsi="Arial" w:cs="Arial"/>
        </w:rPr>
        <w:t xml:space="preserve">  The agency anticipates a reduction in sewer rate revenue for 2021 associated with the </w:t>
      </w:r>
      <w:r w:rsidR="00E42A52" w:rsidRPr="00DB3E3F">
        <w:rPr>
          <w:rFonts w:ascii="Arial" w:hAnsi="Arial" w:cs="Arial"/>
        </w:rPr>
        <w:t>C</w:t>
      </w:r>
      <w:r w:rsidR="00E42A52">
        <w:rPr>
          <w:rFonts w:ascii="Arial" w:hAnsi="Arial" w:cs="Arial"/>
        </w:rPr>
        <w:t>OVID</w:t>
      </w:r>
      <w:r w:rsidRPr="00DB3E3F">
        <w:rPr>
          <w:rFonts w:ascii="Arial" w:hAnsi="Arial" w:cs="Arial"/>
        </w:rPr>
        <w:t xml:space="preserve">-19 economic slowdown; that reduction will impact 2022 revenues due to the billing structure of the agency, which bills for current services in future quarters.  The revenue reductions are expected to be offset by savings from record-low interest rates impacting the cost of new borrowing and refinancing of existing debt. </w:t>
      </w:r>
    </w:p>
    <w:p w14:paraId="40F1ED3B" w14:textId="77777777" w:rsidR="00CA6C67" w:rsidRDefault="00CA6C67" w:rsidP="003F5297">
      <w:pPr>
        <w:spacing w:line="264" w:lineRule="auto"/>
        <w:jc w:val="both"/>
        <w:rPr>
          <w:rFonts w:ascii="Arial" w:hAnsi="Arial" w:cs="Arial"/>
        </w:rPr>
      </w:pPr>
    </w:p>
    <w:p w14:paraId="1C26D4FD" w14:textId="77777777" w:rsidR="00CA6C67" w:rsidRPr="003204CC" w:rsidRDefault="00CA6C67" w:rsidP="00141E91">
      <w:pPr>
        <w:keepNext/>
        <w:spacing w:line="264" w:lineRule="auto"/>
        <w:jc w:val="both"/>
        <w:rPr>
          <w:rFonts w:ascii="Arial" w:hAnsi="Arial" w:cs="Arial"/>
          <w:b/>
          <w:i/>
        </w:rPr>
      </w:pPr>
      <w:r w:rsidRPr="003204CC">
        <w:rPr>
          <w:rFonts w:ascii="Arial" w:hAnsi="Arial" w:cs="Arial"/>
          <w:b/>
          <w:i/>
        </w:rPr>
        <w:lastRenderedPageBreak/>
        <w:t>Capacity Charge</w:t>
      </w:r>
    </w:p>
    <w:p w14:paraId="18C5BE9C" w14:textId="77777777" w:rsidR="00CA6C67" w:rsidRPr="00AC709F" w:rsidRDefault="00CA6C67" w:rsidP="00141E91">
      <w:pPr>
        <w:keepNext/>
        <w:spacing w:line="264" w:lineRule="auto"/>
        <w:jc w:val="both"/>
        <w:rPr>
          <w:rFonts w:ascii="Arial" w:hAnsi="Arial" w:cs="Arial"/>
        </w:rPr>
      </w:pPr>
      <w:r w:rsidRPr="00AC709F">
        <w:rPr>
          <w:rFonts w:ascii="Arial" w:hAnsi="Arial" w:cs="Arial"/>
        </w:rPr>
        <w:t xml:space="preserve">New connections to the regional wastewater system </w:t>
      </w:r>
      <w:r>
        <w:rPr>
          <w:rFonts w:ascii="Arial" w:hAnsi="Arial" w:cs="Arial"/>
        </w:rPr>
        <w:t>are assessed a capacity charge, based on the policy of “growth pays for growth”</w:t>
      </w:r>
      <w:r>
        <w:rPr>
          <w:rStyle w:val="FootnoteReference"/>
          <w:rFonts w:ascii="Arial" w:hAnsi="Arial" w:cs="Arial"/>
        </w:rPr>
        <w:footnoteReference w:id="3"/>
      </w:r>
      <w:r>
        <w:rPr>
          <w:rFonts w:ascii="Arial" w:hAnsi="Arial" w:cs="Arial"/>
        </w:rPr>
        <w:t>.</w:t>
      </w:r>
      <w:r w:rsidRPr="00AC709F">
        <w:rPr>
          <w:rFonts w:ascii="Arial" w:hAnsi="Arial" w:cs="Arial"/>
        </w:rPr>
        <w:t xml:space="preserve"> Payment may be made in a lump sum or paid over a 15 year period.  T</w:t>
      </w:r>
      <w:r>
        <w:rPr>
          <w:rFonts w:ascii="Arial" w:hAnsi="Arial" w:cs="Arial"/>
        </w:rPr>
        <w:t xml:space="preserve">able 2 presents the </w:t>
      </w:r>
      <w:r w:rsidRPr="00AC709F">
        <w:rPr>
          <w:rFonts w:ascii="Arial" w:hAnsi="Arial" w:cs="Arial"/>
        </w:rPr>
        <w:t xml:space="preserve">proposed charge as the monthly payment over 15 years.   </w:t>
      </w:r>
    </w:p>
    <w:p w14:paraId="6A3FFD9B" w14:textId="4750DCE4" w:rsidR="00FF1EF6" w:rsidRDefault="00CA6C67" w:rsidP="00E42A52">
      <w:pPr>
        <w:spacing w:line="264" w:lineRule="auto"/>
        <w:jc w:val="both"/>
        <w:rPr>
          <w:rFonts w:ascii="Arial" w:hAnsi="Arial" w:cs="Arial"/>
        </w:rPr>
      </w:pPr>
      <w:r w:rsidRPr="00AC709F">
        <w:rPr>
          <w:rFonts w:ascii="Arial" w:hAnsi="Arial" w:cs="Arial"/>
        </w:rPr>
        <w:t xml:space="preserve">  </w:t>
      </w:r>
    </w:p>
    <w:p w14:paraId="639F3BFF" w14:textId="77777777" w:rsidR="00E42A52" w:rsidRDefault="00CA6C67" w:rsidP="004F6DFE">
      <w:pPr>
        <w:jc w:val="center"/>
        <w:rPr>
          <w:rFonts w:ascii="Arial" w:hAnsi="Arial" w:cs="Arial"/>
          <w:b/>
          <w:szCs w:val="24"/>
        </w:rPr>
      </w:pPr>
      <w:r w:rsidRPr="003204CC">
        <w:rPr>
          <w:rFonts w:ascii="Arial" w:hAnsi="Arial" w:cs="Arial"/>
          <w:b/>
          <w:szCs w:val="24"/>
        </w:rPr>
        <w:t>Tabl</w:t>
      </w:r>
      <w:r>
        <w:rPr>
          <w:rFonts w:ascii="Arial" w:hAnsi="Arial" w:cs="Arial"/>
          <w:b/>
          <w:szCs w:val="24"/>
        </w:rPr>
        <w:t xml:space="preserve">e 2. </w:t>
      </w:r>
    </w:p>
    <w:p w14:paraId="0848ABF7" w14:textId="005F2C8F" w:rsidR="00CA6C67" w:rsidRDefault="00CA6C67" w:rsidP="004F6DFE">
      <w:pPr>
        <w:jc w:val="center"/>
        <w:rPr>
          <w:rFonts w:ascii="Arial" w:hAnsi="Arial" w:cs="Arial"/>
          <w:b/>
          <w:szCs w:val="24"/>
        </w:rPr>
      </w:pPr>
      <w:r>
        <w:rPr>
          <w:rFonts w:ascii="Arial" w:hAnsi="Arial" w:cs="Arial"/>
          <w:b/>
          <w:szCs w:val="24"/>
        </w:rPr>
        <w:t>Capacity Charge (2012-2020</w:t>
      </w:r>
      <w:r w:rsidRPr="003204CC">
        <w:rPr>
          <w:rFonts w:ascii="Arial" w:hAnsi="Arial" w:cs="Arial"/>
          <w:b/>
          <w:szCs w:val="24"/>
        </w:rPr>
        <w:t xml:space="preserve"> Actual; </w:t>
      </w:r>
      <w:r>
        <w:rPr>
          <w:rFonts w:ascii="Arial" w:hAnsi="Arial" w:cs="Arial"/>
          <w:b/>
          <w:szCs w:val="24"/>
        </w:rPr>
        <w:t xml:space="preserve">2021 Proposed; </w:t>
      </w:r>
      <w:r w:rsidRPr="003204CC">
        <w:rPr>
          <w:rFonts w:ascii="Arial" w:hAnsi="Arial" w:cs="Arial"/>
          <w:b/>
          <w:szCs w:val="24"/>
        </w:rPr>
        <w:t>20</w:t>
      </w:r>
      <w:r>
        <w:rPr>
          <w:rFonts w:ascii="Arial" w:hAnsi="Arial" w:cs="Arial"/>
          <w:b/>
          <w:szCs w:val="24"/>
        </w:rPr>
        <w:t>22-2025</w:t>
      </w:r>
      <w:r w:rsidRPr="003204CC">
        <w:rPr>
          <w:rFonts w:ascii="Arial" w:hAnsi="Arial" w:cs="Arial"/>
          <w:b/>
          <w:szCs w:val="24"/>
        </w:rPr>
        <w:t xml:space="preserve"> Projected)</w:t>
      </w:r>
    </w:p>
    <w:p w14:paraId="5E3D1089" w14:textId="77777777" w:rsidR="004F6DFE" w:rsidRPr="003204CC" w:rsidRDefault="004F6DFE" w:rsidP="004F6DFE">
      <w:pPr>
        <w:jc w:val="center"/>
        <w:rPr>
          <w:rFonts w:ascii="Arial"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2096"/>
        <w:gridCol w:w="1495"/>
      </w:tblGrid>
      <w:tr w:rsidR="00CA6C67" w:rsidRPr="00046D57" w14:paraId="40D823D2" w14:textId="77777777" w:rsidTr="0037234A">
        <w:trPr>
          <w:jc w:val="center"/>
        </w:trPr>
        <w:tc>
          <w:tcPr>
            <w:tcW w:w="1534" w:type="dxa"/>
            <w:shd w:val="clear" w:color="auto" w:fill="000000" w:themeFill="text1"/>
            <w:vAlign w:val="bottom"/>
          </w:tcPr>
          <w:p w14:paraId="66F9E9AF" w14:textId="77777777" w:rsidR="00CA6C67" w:rsidRPr="00046D57" w:rsidRDefault="00CA6C67" w:rsidP="0037234A">
            <w:pPr>
              <w:jc w:val="center"/>
              <w:rPr>
                <w:rFonts w:ascii="Arial" w:hAnsi="Arial" w:cs="Arial"/>
                <w:szCs w:val="24"/>
              </w:rPr>
            </w:pPr>
            <w:r w:rsidRPr="00046D57">
              <w:rPr>
                <w:rFonts w:ascii="Arial" w:hAnsi="Arial" w:cs="Arial"/>
                <w:szCs w:val="24"/>
              </w:rPr>
              <w:br w:type="page"/>
            </w:r>
          </w:p>
          <w:p w14:paraId="1C86DF4E" w14:textId="77777777" w:rsidR="00CA6C67" w:rsidRPr="00046D57" w:rsidRDefault="00CA6C67" w:rsidP="0037234A">
            <w:pPr>
              <w:jc w:val="center"/>
              <w:rPr>
                <w:rFonts w:ascii="Arial" w:hAnsi="Arial" w:cs="Arial"/>
                <w:b/>
                <w:szCs w:val="24"/>
              </w:rPr>
            </w:pPr>
            <w:r w:rsidRPr="00046D57">
              <w:rPr>
                <w:rFonts w:ascii="Arial" w:hAnsi="Arial" w:cs="Arial"/>
                <w:b/>
                <w:szCs w:val="24"/>
              </w:rPr>
              <w:t>Year</w:t>
            </w:r>
          </w:p>
        </w:tc>
        <w:tc>
          <w:tcPr>
            <w:tcW w:w="2096" w:type="dxa"/>
            <w:shd w:val="clear" w:color="auto" w:fill="000000" w:themeFill="text1"/>
            <w:vAlign w:val="bottom"/>
          </w:tcPr>
          <w:p w14:paraId="7D31690E" w14:textId="77777777" w:rsidR="00CA6C67" w:rsidRPr="00046D57" w:rsidRDefault="00CA6C67" w:rsidP="0037234A">
            <w:pPr>
              <w:jc w:val="center"/>
              <w:rPr>
                <w:rFonts w:ascii="Arial" w:hAnsi="Arial" w:cs="Arial"/>
                <w:b/>
                <w:szCs w:val="24"/>
              </w:rPr>
            </w:pPr>
            <w:r>
              <w:rPr>
                <w:rFonts w:ascii="Arial" w:hAnsi="Arial" w:cs="Arial"/>
                <w:b/>
                <w:szCs w:val="24"/>
              </w:rPr>
              <w:t>Rate</w:t>
            </w:r>
            <w:r w:rsidRPr="00046D57">
              <w:rPr>
                <w:rFonts w:ascii="Arial" w:hAnsi="Arial" w:cs="Arial"/>
                <w:b/>
                <w:szCs w:val="24"/>
              </w:rPr>
              <w:t>/M</w:t>
            </w:r>
            <w:r>
              <w:rPr>
                <w:rFonts w:ascii="Arial" w:hAnsi="Arial" w:cs="Arial"/>
                <w:b/>
                <w:szCs w:val="24"/>
              </w:rPr>
              <w:t>onth/RCE</w:t>
            </w:r>
          </w:p>
          <w:p w14:paraId="6B98475A" w14:textId="77777777" w:rsidR="00CA6C67" w:rsidRPr="00046D57" w:rsidRDefault="00CA6C67" w:rsidP="0037234A">
            <w:pPr>
              <w:jc w:val="center"/>
              <w:rPr>
                <w:rFonts w:ascii="Arial" w:hAnsi="Arial" w:cs="Arial"/>
                <w:b/>
                <w:szCs w:val="24"/>
              </w:rPr>
            </w:pPr>
            <w:r w:rsidRPr="00046D57">
              <w:rPr>
                <w:rFonts w:ascii="Arial" w:hAnsi="Arial" w:cs="Arial"/>
                <w:b/>
                <w:szCs w:val="24"/>
              </w:rPr>
              <w:t>15-yr. duration</w:t>
            </w:r>
          </w:p>
        </w:tc>
        <w:tc>
          <w:tcPr>
            <w:tcW w:w="1495" w:type="dxa"/>
            <w:shd w:val="clear" w:color="auto" w:fill="000000" w:themeFill="text1"/>
            <w:vAlign w:val="bottom"/>
          </w:tcPr>
          <w:p w14:paraId="4BF63EE8" w14:textId="77777777" w:rsidR="00CA6C67" w:rsidRPr="00046D57" w:rsidRDefault="00CA6C67" w:rsidP="0037234A">
            <w:pPr>
              <w:jc w:val="center"/>
              <w:rPr>
                <w:rFonts w:ascii="Arial" w:hAnsi="Arial" w:cs="Arial"/>
                <w:b/>
                <w:szCs w:val="24"/>
              </w:rPr>
            </w:pPr>
            <w:r>
              <w:rPr>
                <w:rFonts w:ascii="Arial" w:hAnsi="Arial" w:cs="Arial"/>
                <w:b/>
                <w:szCs w:val="24"/>
              </w:rPr>
              <w:t>% Increase</w:t>
            </w:r>
          </w:p>
        </w:tc>
      </w:tr>
      <w:tr w:rsidR="00CA6C67" w:rsidRPr="00630D00" w14:paraId="682EE787" w14:textId="77777777" w:rsidTr="0037234A">
        <w:trPr>
          <w:jc w:val="center"/>
        </w:trPr>
        <w:tc>
          <w:tcPr>
            <w:tcW w:w="1534" w:type="dxa"/>
            <w:shd w:val="clear" w:color="auto" w:fill="auto"/>
          </w:tcPr>
          <w:p w14:paraId="3EE30B74" w14:textId="77777777" w:rsidR="00CA6C67" w:rsidRPr="00630D00" w:rsidRDefault="00CA6C67" w:rsidP="0037234A">
            <w:pPr>
              <w:jc w:val="center"/>
              <w:rPr>
                <w:rFonts w:ascii="Arial" w:hAnsi="Arial" w:cs="Arial"/>
                <w:szCs w:val="24"/>
              </w:rPr>
            </w:pPr>
            <w:r w:rsidRPr="00630D00">
              <w:rPr>
                <w:rFonts w:ascii="Arial" w:hAnsi="Arial" w:cs="Arial"/>
                <w:szCs w:val="24"/>
              </w:rPr>
              <w:t>2012</w:t>
            </w:r>
          </w:p>
        </w:tc>
        <w:tc>
          <w:tcPr>
            <w:tcW w:w="2096" w:type="dxa"/>
            <w:shd w:val="clear" w:color="auto" w:fill="auto"/>
          </w:tcPr>
          <w:p w14:paraId="273B24A7" w14:textId="6ECD80D3" w:rsidR="00CA6C67" w:rsidRPr="00577F09" w:rsidRDefault="00E42A52" w:rsidP="0037234A">
            <w:pPr>
              <w:jc w:val="right"/>
              <w:rPr>
                <w:rFonts w:ascii="Arial" w:hAnsi="Arial" w:cs="Arial"/>
                <w:szCs w:val="24"/>
              </w:rPr>
            </w:pPr>
            <w:r>
              <w:rPr>
                <w:rFonts w:ascii="Arial" w:hAnsi="Arial" w:cs="Arial"/>
                <w:szCs w:val="24"/>
              </w:rPr>
              <w:t>$</w:t>
            </w:r>
            <w:r w:rsidR="00CA6C67" w:rsidRPr="00577F09">
              <w:rPr>
                <w:rFonts w:ascii="Arial" w:hAnsi="Arial" w:cs="Arial"/>
                <w:szCs w:val="24"/>
              </w:rPr>
              <w:t>51.95</w:t>
            </w:r>
          </w:p>
        </w:tc>
        <w:tc>
          <w:tcPr>
            <w:tcW w:w="1495" w:type="dxa"/>
            <w:shd w:val="clear" w:color="auto" w:fill="auto"/>
          </w:tcPr>
          <w:p w14:paraId="22F9E766" w14:textId="77777777" w:rsidR="00CA6C67" w:rsidRPr="00577F09" w:rsidRDefault="00CA6C67" w:rsidP="0037234A">
            <w:pPr>
              <w:jc w:val="right"/>
              <w:rPr>
                <w:rFonts w:ascii="Arial" w:hAnsi="Arial" w:cs="Arial"/>
                <w:szCs w:val="24"/>
              </w:rPr>
            </w:pPr>
            <w:r w:rsidRPr="00577F09">
              <w:rPr>
                <w:rFonts w:ascii="Arial" w:hAnsi="Arial" w:cs="Arial"/>
                <w:szCs w:val="24"/>
              </w:rPr>
              <w:t>3.0%</w:t>
            </w:r>
          </w:p>
        </w:tc>
      </w:tr>
      <w:tr w:rsidR="00CA6C67" w:rsidRPr="00577F09" w14:paraId="02C70CBC" w14:textId="77777777" w:rsidTr="0037234A">
        <w:trPr>
          <w:jc w:val="center"/>
        </w:trPr>
        <w:tc>
          <w:tcPr>
            <w:tcW w:w="1534" w:type="dxa"/>
            <w:shd w:val="clear" w:color="auto" w:fill="auto"/>
          </w:tcPr>
          <w:p w14:paraId="6A751E13" w14:textId="77777777" w:rsidR="00CA6C67" w:rsidRPr="0010081A" w:rsidRDefault="00CA6C67" w:rsidP="0037234A">
            <w:pPr>
              <w:jc w:val="center"/>
              <w:rPr>
                <w:rFonts w:ascii="Arial" w:hAnsi="Arial" w:cs="Arial"/>
                <w:szCs w:val="24"/>
              </w:rPr>
            </w:pPr>
            <w:r w:rsidRPr="0010081A">
              <w:rPr>
                <w:rFonts w:ascii="Arial" w:hAnsi="Arial" w:cs="Arial"/>
                <w:szCs w:val="24"/>
              </w:rPr>
              <w:t>2013</w:t>
            </w:r>
          </w:p>
        </w:tc>
        <w:tc>
          <w:tcPr>
            <w:tcW w:w="2096" w:type="dxa"/>
            <w:shd w:val="clear" w:color="auto" w:fill="auto"/>
          </w:tcPr>
          <w:p w14:paraId="2A0FBEA8" w14:textId="5CD411AA" w:rsidR="00CA6C67" w:rsidRPr="0010081A" w:rsidRDefault="00E42A52" w:rsidP="0037234A">
            <w:pPr>
              <w:jc w:val="right"/>
              <w:rPr>
                <w:rFonts w:ascii="Arial" w:hAnsi="Arial" w:cs="Arial"/>
                <w:szCs w:val="24"/>
              </w:rPr>
            </w:pPr>
            <w:r>
              <w:rPr>
                <w:rFonts w:ascii="Arial" w:hAnsi="Arial" w:cs="Arial"/>
                <w:szCs w:val="24"/>
              </w:rPr>
              <w:t>$</w:t>
            </w:r>
            <w:r w:rsidR="00CA6C67" w:rsidRPr="0010081A">
              <w:rPr>
                <w:rFonts w:ascii="Arial" w:hAnsi="Arial" w:cs="Arial"/>
                <w:szCs w:val="24"/>
              </w:rPr>
              <w:t>53.50</w:t>
            </w:r>
          </w:p>
        </w:tc>
        <w:tc>
          <w:tcPr>
            <w:tcW w:w="1495" w:type="dxa"/>
            <w:shd w:val="clear" w:color="auto" w:fill="auto"/>
          </w:tcPr>
          <w:p w14:paraId="39120142" w14:textId="77777777" w:rsidR="00CA6C67" w:rsidRPr="0010081A" w:rsidRDefault="00CA6C67" w:rsidP="0037234A">
            <w:pPr>
              <w:jc w:val="right"/>
              <w:rPr>
                <w:rFonts w:ascii="Arial" w:hAnsi="Arial" w:cs="Arial"/>
                <w:szCs w:val="24"/>
              </w:rPr>
            </w:pPr>
            <w:r w:rsidRPr="0010081A">
              <w:rPr>
                <w:rFonts w:ascii="Arial" w:hAnsi="Arial" w:cs="Arial"/>
                <w:szCs w:val="24"/>
              </w:rPr>
              <w:t>3.0%</w:t>
            </w:r>
          </w:p>
        </w:tc>
      </w:tr>
      <w:tr w:rsidR="00CA6C67" w:rsidRPr="00645CBC" w14:paraId="009F9942" w14:textId="77777777" w:rsidTr="0037234A">
        <w:trPr>
          <w:jc w:val="center"/>
        </w:trPr>
        <w:tc>
          <w:tcPr>
            <w:tcW w:w="1534" w:type="dxa"/>
            <w:shd w:val="clear" w:color="auto" w:fill="auto"/>
          </w:tcPr>
          <w:p w14:paraId="29402DEA" w14:textId="77777777" w:rsidR="00CA6C67" w:rsidRPr="00E62916" w:rsidRDefault="00CA6C67" w:rsidP="0037234A">
            <w:pPr>
              <w:jc w:val="center"/>
              <w:rPr>
                <w:rFonts w:ascii="Arial" w:hAnsi="Arial" w:cs="Arial"/>
                <w:szCs w:val="24"/>
              </w:rPr>
            </w:pPr>
            <w:r w:rsidRPr="00E62916">
              <w:rPr>
                <w:rFonts w:ascii="Arial" w:hAnsi="Arial" w:cs="Arial"/>
                <w:szCs w:val="24"/>
              </w:rPr>
              <w:t>2014</w:t>
            </w:r>
          </w:p>
        </w:tc>
        <w:tc>
          <w:tcPr>
            <w:tcW w:w="2096" w:type="dxa"/>
            <w:shd w:val="clear" w:color="auto" w:fill="auto"/>
          </w:tcPr>
          <w:p w14:paraId="1E2E2488" w14:textId="4EB6A011" w:rsidR="00CA6C67" w:rsidRPr="00E62916" w:rsidRDefault="00E42A52" w:rsidP="0037234A">
            <w:pPr>
              <w:jc w:val="right"/>
              <w:rPr>
                <w:rFonts w:ascii="Arial" w:hAnsi="Arial" w:cs="Arial"/>
                <w:szCs w:val="24"/>
              </w:rPr>
            </w:pPr>
            <w:r>
              <w:rPr>
                <w:rFonts w:ascii="Arial" w:hAnsi="Arial" w:cs="Arial"/>
                <w:szCs w:val="24"/>
              </w:rPr>
              <w:t>$</w:t>
            </w:r>
            <w:r w:rsidR="00CA6C67" w:rsidRPr="00E62916">
              <w:rPr>
                <w:rFonts w:ascii="Arial" w:hAnsi="Arial" w:cs="Arial"/>
                <w:szCs w:val="24"/>
              </w:rPr>
              <w:t>55.35</w:t>
            </w:r>
          </w:p>
        </w:tc>
        <w:tc>
          <w:tcPr>
            <w:tcW w:w="1495" w:type="dxa"/>
            <w:shd w:val="clear" w:color="auto" w:fill="auto"/>
          </w:tcPr>
          <w:p w14:paraId="6B3C3A90" w14:textId="77777777" w:rsidR="00CA6C67" w:rsidRPr="00E62916" w:rsidRDefault="00CA6C67" w:rsidP="0037234A">
            <w:pPr>
              <w:jc w:val="right"/>
              <w:rPr>
                <w:rFonts w:ascii="Arial" w:hAnsi="Arial" w:cs="Arial"/>
                <w:szCs w:val="24"/>
              </w:rPr>
            </w:pPr>
            <w:r w:rsidRPr="00E62916">
              <w:rPr>
                <w:rFonts w:ascii="Arial" w:hAnsi="Arial" w:cs="Arial"/>
                <w:szCs w:val="24"/>
              </w:rPr>
              <w:t>3.5%</w:t>
            </w:r>
          </w:p>
        </w:tc>
      </w:tr>
      <w:tr w:rsidR="00CA6C67" w:rsidRPr="00645CBC" w14:paraId="444722BD" w14:textId="77777777" w:rsidTr="0037234A">
        <w:trPr>
          <w:jc w:val="center"/>
        </w:trPr>
        <w:tc>
          <w:tcPr>
            <w:tcW w:w="1534" w:type="dxa"/>
            <w:shd w:val="clear" w:color="auto" w:fill="auto"/>
          </w:tcPr>
          <w:p w14:paraId="05C71EAB" w14:textId="77777777" w:rsidR="00CA6C67" w:rsidRPr="00D510EA" w:rsidRDefault="00CA6C67" w:rsidP="0037234A">
            <w:pPr>
              <w:jc w:val="center"/>
              <w:rPr>
                <w:rFonts w:ascii="Arial" w:hAnsi="Arial" w:cs="Arial"/>
                <w:szCs w:val="24"/>
              </w:rPr>
            </w:pPr>
            <w:r w:rsidRPr="00D510EA">
              <w:rPr>
                <w:rFonts w:ascii="Arial" w:hAnsi="Arial" w:cs="Arial"/>
                <w:szCs w:val="24"/>
              </w:rPr>
              <w:t>2015</w:t>
            </w:r>
          </w:p>
        </w:tc>
        <w:tc>
          <w:tcPr>
            <w:tcW w:w="2096" w:type="dxa"/>
            <w:shd w:val="clear" w:color="auto" w:fill="auto"/>
          </w:tcPr>
          <w:p w14:paraId="42F0479C" w14:textId="4F2788F0" w:rsidR="00CA6C67" w:rsidRPr="00D510EA" w:rsidRDefault="00E42A52" w:rsidP="0037234A">
            <w:pPr>
              <w:jc w:val="right"/>
              <w:rPr>
                <w:rFonts w:ascii="Arial" w:hAnsi="Arial" w:cs="Arial"/>
                <w:szCs w:val="24"/>
              </w:rPr>
            </w:pPr>
            <w:r>
              <w:rPr>
                <w:rFonts w:ascii="Arial" w:hAnsi="Arial" w:cs="Arial"/>
                <w:szCs w:val="24"/>
              </w:rPr>
              <w:t>$</w:t>
            </w:r>
            <w:r w:rsidR="00CA6C67" w:rsidRPr="00D510EA">
              <w:rPr>
                <w:rFonts w:ascii="Arial" w:hAnsi="Arial" w:cs="Arial"/>
                <w:szCs w:val="24"/>
              </w:rPr>
              <w:t>57.00</w:t>
            </w:r>
          </w:p>
        </w:tc>
        <w:tc>
          <w:tcPr>
            <w:tcW w:w="1495" w:type="dxa"/>
            <w:shd w:val="clear" w:color="auto" w:fill="auto"/>
          </w:tcPr>
          <w:p w14:paraId="16F80792" w14:textId="77777777" w:rsidR="00CA6C67" w:rsidRPr="00D510EA" w:rsidRDefault="00CA6C67" w:rsidP="0037234A">
            <w:pPr>
              <w:jc w:val="right"/>
              <w:rPr>
                <w:rFonts w:ascii="Arial" w:hAnsi="Arial" w:cs="Arial"/>
                <w:szCs w:val="24"/>
              </w:rPr>
            </w:pPr>
            <w:r w:rsidRPr="00D510EA">
              <w:rPr>
                <w:rFonts w:ascii="Arial" w:hAnsi="Arial" w:cs="Arial"/>
                <w:szCs w:val="24"/>
              </w:rPr>
              <w:t>3.0%</w:t>
            </w:r>
          </w:p>
        </w:tc>
      </w:tr>
      <w:tr w:rsidR="00CA6C67" w:rsidRPr="00046D57" w14:paraId="2B975255" w14:textId="77777777" w:rsidTr="0037234A">
        <w:trPr>
          <w:jc w:val="center"/>
        </w:trPr>
        <w:tc>
          <w:tcPr>
            <w:tcW w:w="1534" w:type="dxa"/>
            <w:shd w:val="clear" w:color="auto" w:fill="auto"/>
          </w:tcPr>
          <w:p w14:paraId="780C7710" w14:textId="77777777" w:rsidR="00CA6C67" w:rsidRDefault="00CA6C67" w:rsidP="0037234A">
            <w:pPr>
              <w:jc w:val="center"/>
              <w:rPr>
                <w:rFonts w:ascii="Arial" w:hAnsi="Arial" w:cs="Arial"/>
                <w:szCs w:val="24"/>
              </w:rPr>
            </w:pPr>
            <w:r>
              <w:rPr>
                <w:rFonts w:ascii="Arial" w:hAnsi="Arial" w:cs="Arial"/>
                <w:szCs w:val="24"/>
              </w:rPr>
              <w:t>2016</w:t>
            </w:r>
          </w:p>
        </w:tc>
        <w:tc>
          <w:tcPr>
            <w:tcW w:w="2096" w:type="dxa"/>
            <w:shd w:val="clear" w:color="auto" w:fill="auto"/>
          </w:tcPr>
          <w:p w14:paraId="114088D1" w14:textId="3ABD3415" w:rsidR="00CA6C67" w:rsidRPr="00325CDC" w:rsidRDefault="00E42A52" w:rsidP="0037234A">
            <w:pPr>
              <w:jc w:val="right"/>
              <w:rPr>
                <w:rFonts w:ascii="Arial" w:hAnsi="Arial" w:cs="Arial"/>
                <w:szCs w:val="24"/>
              </w:rPr>
            </w:pPr>
            <w:r>
              <w:rPr>
                <w:rFonts w:ascii="Arial" w:hAnsi="Arial" w:cs="Arial"/>
                <w:szCs w:val="24"/>
              </w:rPr>
              <w:t>$</w:t>
            </w:r>
            <w:r w:rsidR="00CA6C67">
              <w:rPr>
                <w:rFonts w:ascii="Arial" w:hAnsi="Arial" w:cs="Arial"/>
                <w:szCs w:val="24"/>
              </w:rPr>
              <w:t>58.72</w:t>
            </w:r>
          </w:p>
        </w:tc>
        <w:tc>
          <w:tcPr>
            <w:tcW w:w="1495" w:type="dxa"/>
            <w:shd w:val="clear" w:color="auto" w:fill="auto"/>
          </w:tcPr>
          <w:p w14:paraId="73CD71E5" w14:textId="77777777" w:rsidR="00CA6C67" w:rsidRPr="00325CDC" w:rsidRDefault="00CA6C67" w:rsidP="0037234A">
            <w:pPr>
              <w:jc w:val="right"/>
              <w:rPr>
                <w:rFonts w:ascii="Arial" w:hAnsi="Arial" w:cs="Arial"/>
                <w:szCs w:val="24"/>
              </w:rPr>
            </w:pPr>
            <w:r>
              <w:rPr>
                <w:rFonts w:ascii="Arial" w:hAnsi="Arial" w:cs="Arial"/>
                <w:szCs w:val="24"/>
              </w:rPr>
              <w:t>3.0%</w:t>
            </w:r>
          </w:p>
        </w:tc>
      </w:tr>
      <w:tr w:rsidR="00CA6C67" w:rsidRPr="00046D57" w14:paraId="70743026" w14:textId="77777777" w:rsidTr="0037234A">
        <w:trPr>
          <w:jc w:val="center"/>
        </w:trPr>
        <w:tc>
          <w:tcPr>
            <w:tcW w:w="1534" w:type="dxa"/>
            <w:shd w:val="clear" w:color="auto" w:fill="auto"/>
          </w:tcPr>
          <w:p w14:paraId="673E4F55" w14:textId="77777777" w:rsidR="00CA6C67" w:rsidRPr="00C73B81" w:rsidRDefault="00CA6C67" w:rsidP="0037234A">
            <w:pPr>
              <w:jc w:val="center"/>
              <w:rPr>
                <w:rFonts w:ascii="Arial" w:hAnsi="Arial" w:cs="Arial"/>
                <w:szCs w:val="24"/>
              </w:rPr>
            </w:pPr>
            <w:r w:rsidRPr="00C73B81">
              <w:rPr>
                <w:rFonts w:ascii="Arial" w:hAnsi="Arial" w:cs="Arial"/>
                <w:szCs w:val="24"/>
              </w:rPr>
              <w:t>2017</w:t>
            </w:r>
          </w:p>
        </w:tc>
        <w:tc>
          <w:tcPr>
            <w:tcW w:w="2096" w:type="dxa"/>
            <w:shd w:val="clear" w:color="auto" w:fill="auto"/>
          </w:tcPr>
          <w:p w14:paraId="5C766285" w14:textId="0783DBC1" w:rsidR="00CA6C67" w:rsidRPr="00C73B81" w:rsidRDefault="00E42A52" w:rsidP="0037234A">
            <w:pPr>
              <w:jc w:val="right"/>
              <w:rPr>
                <w:rFonts w:ascii="Arial" w:hAnsi="Arial" w:cs="Arial"/>
                <w:szCs w:val="24"/>
              </w:rPr>
            </w:pPr>
            <w:r>
              <w:rPr>
                <w:rFonts w:ascii="Arial" w:hAnsi="Arial" w:cs="Arial"/>
                <w:szCs w:val="24"/>
              </w:rPr>
              <w:t>$</w:t>
            </w:r>
            <w:r w:rsidR="00CA6C67" w:rsidRPr="00C73B81">
              <w:rPr>
                <w:rFonts w:ascii="Arial" w:hAnsi="Arial" w:cs="Arial"/>
                <w:szCs w:val="24"/>
              </w:rPr>
              <w:t>60.80</w:t>
            </w:r>
          </w:p>
        </w:tc>
        <w:tc>
          <w:tcPr>
            <w:tcW w:w="1495" w:type="dxa"/>
            <w:shd w:val="clear" w:color="auto" w:fill="auto"/>
          </w:tcPr>
          <w:p w14:paraId="44AE5EB5" w14:textId="77777777" w:rsidR="00CA6C67" w:rsidRPr="00C73B81" w:rsidRDefault="00CA6C67" w:rsidP="0037234A">
            <w:pPr>
              <w:jc w:val="right"/>
              <w:rPr>
                <w:rFonts w:ascii="Arial" w:hAnsi="Arial" w:cs="Arial"/>
                <w:szCs w:val="24"/>
              </w:rPr>
            </w:pPr>
            <w:r w:rsidRPr="00C73B81">
              <w:rPr>
                <w:rFonts w:ascii="Arial" w:hAnsi="Arial" w:cs="Arial"/>
                <w:szCs w:val="24"/>
              </w:rPr>
              <w:t>3.6%</w:t>
            </w:r>
          </w:p>
        </w:tc>
      </w:tr>
      <w:tr w:rsidR="00CA6C67" w:rsidRPr="00046D57" w14:paraId="4DF8983B" w14:textId="77777777" w:rsidTr="0037234A">
        <w:trPr>
          <w:jc w:val="center"/>
        </w:trPr>
        <w:tc>
          <w:tcPr>
            <w:tcW w:w="1534" w:type="dxa"/>
            <w:shd w:val="clear" w:color="auto" w:fill="auto"/>
          </w:tcPr>
          <w:p w14:paraId="34681F50" w14:textId="77777777" w:rsidR="00CA6C67" w:rsidRPr="00C73B81" w:rsidRDefault="00CA6C67" w:rsidP="0037234A">
            <w:pPr>
              <w:jc w:val="center"/>
              <w:rPr>
                <w:rFonts w:ascii="Arial" w:hAnsi="Arial" w:cs="Arial"/>
                <w:szCs w:val="24"/>
              </w:rPr>
            </w:pPr>
            <w:r w:rsidRPr="00C73B81">
              <w:rPr>
                <w:rFonts w:ascii="Arial" w:hAnsi="Arial" w:cs="Arial"/>
                <w:szCs w:val="24"/>
              </w:rPr>
              <w:t>2018</w:t>
            </w:r>
          </w:p>
        </w:tc>
        <w:tc>
          <w:tcPr>
            <w:tcW w:w="2096" w:type="dxa"/>
            <w:shd w:val="clear" w:color="auto" w:fill="auto"/>
          </w:tcPr>
          <w:p w14:paraId="1985FD22" w14:textId="68923196" w:rsidR="00CA6C67" w:rsidRPr="00C73B81" w:rsidRDefault="00E42A52" w:rsidP="0037234A">
            <w:pPr>
              <w:jc w:val="right"/>
              <w:rPr>
                <w:rFonts w:ascii="Arial" w:hAnsi="Arial" w:cs="Arial"/>
                <w:szCs w:val="24"/>
              </w:rPr>
            </w:pPr>
            <w:r>
              <w:rPr>
                <w:rFonts w:ascii="Arial" w:hAnsi="Arial" w:cs="Arial"/>
                <w:szCs w:val="24"/>
              </w:rPr>
              <w:t>$</w:t>
            </w:r>
            <w:r w:rsidR="00CA6C67" w:rsidRPr="00C73B81">
              <w:rPr>
                <w:rFonts w:ascii="Arial" w:hAnsi="Arial" w:cs="Arial"/>
                <w:szCs w:val="24"/>
              </w:rPr>
              <w:t>62.60</w:t>
            </w:r>
          </w:p>
        </w:tc>
        <w:tc>
          <w:tcPr>
            <w:tcW w:w="1495" w:type="dxa"/>
            <w:shd w:val="clear" w:color="auto" w:fill="auto"/>
          </w:tcPr>
          <w:p w14:paraId="444CB640" w14:textId="77777777" w:rsidR="00CA6C67" w:rsidRPr="00C73B81" w:rsidRDefault="00CA6C67" w:rsidP="0037234A">
            <w:pPr>
              <w:jc w:val="right"/>
              <w:rPr>
                <w:rFonts w:ascii="Arial" w:hAnsi="Arial" w:cs="Arial"/>
                <w:szCs w:val="24"/>
              </w:rPr>
            </w:pPr>
            <w:r w:rsidRPr="00C73B81">
              <w:rPr>
                <w:rFonts w:ascii="Arial" w:hAnsi="Arial" w:cs="Arial"/>
                <w:szCs w:val="24"/>
              </w:rPr>
              <w:t>3.0%</w:t>
            </w:r>
          </w:p>
        </w:tc>
      </w:tr>
      <w:tr w:rsidR="00CA6C67" w:rsidRPr="00046D57" w14:paraId="08DA047F" w14:textId="77777777" w:rsidTr="0037234A">
        <w:trPr>
          <w:jc w:val="center"/>
        </w:trPr>
        <w:tc>
          <w:tcPr>
            <w:tcW w:w="1534" w:type="dxa"/>
            <w:tcBorders>
              <w:bottom w:val="single" w:sz="4" w:space="0" w:color="auto"/>
            </w:tcBorders>
            <w:shd w:val="clear" w:color="auto" w:fill="auto"/>
          </w:tcPr>
          <w:p w14:paraId="54F4E740" w14:textId="77777777" w:rsidR="00CA6C67" w:rsidRPr="00936064" w:rsidRDefault="00CA6C67" w:rsidP="0037234A">
            <w:pPr>
              <w:jc w:val="center"/>
              <w:rPr>
                <w:rFonts w:ascii="Arial" w:hAnsi="Arial" w:cs="Arial"/>
                <w:szCs w:val="24"/>
              </w:rPr>
            </w:pPr>
            <w:r w:rsidRPr="00936064">
              <w:rPr>
                <w:rFonts w:ascii="Arial" w:hAnsi="Arial" w:cs="Arial"/>
                <w:szCs w:val="24"/>
              </w:rPr>
              <w:t>2019</w:t>
            </w:r>
          </w:p>
        </w:tc>
        <w:tc>
          <w:tcPr>
            <w:tcW w:w="2096" w:type="dxa"/>
            <w:tcBorders>
              <w:bottom w:val="single" w:sz="4" w:space="0" w:color="auto"/>
            </w:tcBorders>
            <w:shd w:val="clear" w:color="auto" w:fill="auto"/>
          </w:tcPr>
          <w:p w14:paraId="52585798" w14:textId="4B85235B" w:rsidR="00CA6C67" w:rsidRPr="00936064" w:rsidRDefault="00E42A52" w:rsidP="0037234A">
            <w:pPr>
              <w:jc w:val="right"/>
              <w:rPr>
                <w:rFonts w:ascii="Arial" w:hAnsi="Arial" w:cs="Arial"/>
                <w:szCs w:val="24"/>
              </w:rPr>
            </w:pPr>
            <w:r>
              <w:rPr>
                <w:rFonts w:ascii="Arial" w:hAnsi="Arial" w:cs="Arial"/>
                <w:szCs w:val="24"/>
              </w:rPr>
              <w:t>$</w:t>
            </w:r>
            <w:r w:rsidR="00CA6C67" w:rsidRPr="00936064">
              <w:rPr>
                <w:rFonts w:ascii="Arial" w:hAnsi="Arial" w:cs="Arial"/>
                <w:szCs w:val="24"/>
              </w:rPr>
              <w:t>64.50</w:t>
            </w:r>
          </w:p>
        </w:tc>
        <w:tc>
          <w:tcPr>
            <w:tcW w:w="1495" w:type="dxa"/>
            <w:tcBorders>
              <w:bottom w:val="single" w:sz="4" w:space="0" w:color="auto"/>
            </w:tcBorders>
            <w:shd w:val="clear" w:color="auto" w:fill="auto"/>
          </w:tcPr>
          <w:p w14:paraId="222537CA" w14:textId="77777777" w:rsidR="00CA6C67" w:rsidRPr="00936064" w:rsidRDefault="00CA6C67" w:rsidP="0037234A">
            <w:pPr>
              <w:jc w:val="right"/>
              <w:rPr>
                <w:rFonts w:ascii="Arial" w:hAnsi="Arial" w:cs="Arial"/>
                <w:szCs w:val="24"/>
              </w:rPr>
            </w:pPr>
            <w:r w:rsidRPr="00936064">
              <w:rPr>
                <w:rFonts w:ascii="Arial" w:hAnsi="Arial" w:cs="Arial"/>
                <w:szCs w:val="24"/>
              </w:rPr>
              <w:t>3.0%</w:t>
            </w:r>
          </w:p>
        </w:tc>
      </w:tr>
      <w:tr w:rsidR="00CA6C67" w:rsidRPr="00046D57" w14:paraId="545CAD39" w14:textId="77777777" w:rsidTr="0037234A">
        <w:trPr>
          <w:jc w:val="center"/>
        </w:trPr>
        <w:tc>
          <w:tcPr>
            <w:tcW w:w="1534" w:type="dxa"/>
            <w:shd w:val="clear" w:color="auto" w:fill="auto"/>
          </w:tcPr>
          <w:p w14:paraId="2EEB33E2" w14:textId="77777777" w:rsidR="00CA6C67" w:rsidRPr="00C77B5D" w:rsidRDefault="00CA6C67" w:rsidP="0037234A">
            <w:pPr>
              <w:jc w:val="center"/>
              <w:rPr>
                <w:rFonts w:ascii="Arial" w:hAnsi="Arial" w:cs="Arial"/>
                <w:szCs w:val="24"/>
              </w:rPr>
            </w:pPr>
            <w:r w:rsidRPr="00C77B5D">
              <w:rPr>
                <w:rFonts w:ascii="Arial" w:hAnsi="Arial" w:cs="Arial"/>
                <w:szCs w:val="24"/>
              </w:rPr>
              <w:t>2020</w:t>
            </w:r>
          </w:p>
        </w:tc>
        <w:tc>
          <w:tcPr>
            <w:tcW w:w="2096" w:type="dxa"/>
            <w:shd w:val="clear" w:color="auto" w:fill="auto"/>
          </w:tcPr>
          <w:p w14:paraId="10324457" w14:textId="4DAA280F" w:rsidR="00CA6C67" w:rsidRPr="00C77B5D" w:rsidRDefault="00E42A52" w:rsidP="0037234A">
            <w:pPr>
              <w:jc w:val="right"/>
              <w:rPr>
                <w:rFonts w:ascii="Arial" w:hAnsi="Arial" w:cs="Arial"/>
                <w:szCs w:val="24"/>
              </w:rPr>
            </w:pPr>
            <w:r>
              <w:rPr>
                <w:rFonts w:ascii="Arial" w:hAnsi="Arial" w:cs="Arial"/>
                <w:szCs w:val="24"/>
              </w:rPr>
              <w:t>$</w:t>
            </w:r>
            <w:r w:rsidR="00CA6C67" w:rsidRPr="00C77B5D">
              <w:rPr>
                <w:rFonts w:ascii="Arial" w:hAnsi="Arial" w:cs="Arial"/>
                <w:szCs w:val="24"/>
              </w:rPr>
              <w:t>66.35</w:t>
            </w:r>
          </w:p>
        </w:tc>
        <w:tc>
          <w:tcPr>
            <w:tcW w:w="1495" w:type="dxa"/>
            <w:shd w:val="clear" w:color="auto" w:fill="auto"/>
          </w:tcPr>
          <w:p w14:paraId="73746BE9" w14:textId="77777777" w:rsidR="00CA6C67" w:rsidRPr="00C77B5D" w:rsidRDefault="00CA6C67" w:rsidP="0037234A">
            <w:pPr>
              <w:jc w:val="right"/>
              <w:rPr>
                <w:rFonts w:ascii="Arial" w:hAnsi="Arial" w:cs="Arial"/>
                <w:szCs w:val="24"/>
              </w:rPr>
            </w:pPr>
            <w:r w:rsidRPr="00C77B5D">
              <w:rPr>
                <w:rFonts w:ascii="Arial" w:hAnsi="Arial" w:cs="Arial"/>
                <w:szCs w:val="24"/>
              </w:rPr>
              <w:t>2.9%</w:t>
            </w:r>
          </w:p>
        </w:tc>
      </w:tr>
      <w:tr w:rsidR="00CA6C67" w:rsidRPr="00046D57" w14:paraId="7436701B" w14:textId="77777777" w:rsidTr="006948DF">
        <w:trPr>
          <w:jc w:val="center"/>
        </w:trPr>
        <w:tc>
          <w:tcPr>
            <w:tcW w:w="1534" w:type="dxa"/>
            <w:shd w:val="clear" w:color="auto" w:fill="auto"/>
          </w:tcPr>
          <w:p w14:paraId="026E4CFC" w14:textId="77777777" w:rsidR="00CA6C67" w:rsidRPr="00225657" w:rsidRDefault="00CA6C67" w:rsidP="0037234A">
            <w:pPr>
              <w:jc w:val="center"/>
              <w:rPr>
                <w:rFonts w:ascii="Arial" w:hAnsi="Arial" w:cs="Arial"/>
                <w:bCs/>
                <w:szCs w:val="24"/>
              </w:rPr>
            </w:pPr>
            <w:r w:rsidRPr="00225657">
              <w:rPr>
                <w:rFonts w:ascii="Arial" w:hAnsi="Arial" w:cs="Arial"/>
                <w:bCs/>
                <w:szCs w:val="24"/>
              </w:rPr>
              <w:t>2021</w:t>
            </w:r>
          </w:p>
        </w:tc>
        <w:tc>
          <w:tcPr>
            <w:tcW w:w="2096" w:type="dxa"/>
            <w:shd w:val="clear" w:color="auto" w:fill="auto"/>
          </w:tcPr>
          <w:p w14:paraId="5C8C1AE3" w14:textId="13CFA4AA" w:rsidR="00CA6C67" w:rsidRPr="00225657" w:rsidRDefault="00E42A52" w:rsidP="0037234A">
            <w:pPr>
              <w:jc w:val="right"/>
              <w:rPr>
                <w:rFonts w:ascii="Arial" w:hAnsi="Arial" w:cs="Arial"/>
                <w:bCs/>
                <w:szCs w:val="24"/>
              </w:rPr>
            </w:pPr>
            <w:r>
              <w:rPr>
                <w:rFonts w:ascii="Arial" w:hAnsi="Arial" w:cs="Arial"/>
                <w:bCs/>
                <w:szCs w:val="24"/>
              </w:rPr>
              <w:t>$</w:t>
            </w:r>
            <w:r w:rsidR="00CA6C67" w:rsidRPr="00225657">
              <w:rPr>
                <w:rFonts w:ascii="Arial" w:hAnsi="Arial" w:cs="Arial"/>
                <w:bCs/>
                <w:szCs w:val="24"/>
              </w:rPr>
              <w:t>68.34</w:t>
            </w:r>
          </w:p>
        </w:tc>
        <w:tc>
          <w:tcPr>
            <w:tcW w:w="1495" w:type="dxa"/>
            <w:shd w:val="clear" w:color="auto" w:fill="auto"/>
          </w:tcPr>
          <w:p w14:paraId="05F07147" w14:textId="77777777" w:rsidR="00CA6C67" w:rsidRPr="00225657" w:rsidRDefault="00CA6C67" w:rsidP="0037234A">
            <w:pPr>
              <w:jc w:val="right"/>
              <w:rPr>
                <w:rFonts w:ascii="Arial" w:hAnsi="Arial" w:cs="Arial"/>
                <w:bCs/>
                <w:szCs w:val="24"/>
              </w:rPr>
            </w:pPr>
            <w:r w:rsidRPr="00225657">
              <w:rPr>
                <w:rFonts w:ascii="Arial" w:hAnsi="Arial" w:cs="Arial"/>
                <w:bCs/>
                <w:szCs w:val="24"/>
              </w:rPr>
              <w:t>3.0%</w:t>
            </w:r>
          </w:p>
        </w:tc>
      </w:tr>
      <w:tr w:rsidR="00CA6C67" w:rsidRPr="00046D57" w14:paraId="1D78DA7C" w14:textId="77777777" w:rsidTr="0037234A">
        <w:trPr>
          <w:jc w:val="center"/>
        </w:trPr>
        <w:tc>
          <w:tcPr>
            <w:tcW w:w="1534" w:type="dxa"/>
            <w:shd w:val="clear" w:color="auto" w:fill="D9D9D9" w:themeFill="background1" w:themeFillShade="D9"/>
          </w:tcPr>
          <w:p w14:paraId="6777A84D" w14:textId="77777777" w:rsidR="00CA6C67" w:rsidRPr="00225657" w:rsidRDefault="00CA6C67" w:rsidP="0037234A">
            <w:pPr>
              <w:jc w:val="center"/>
              <w:rPr>
                <w:rFonts w:ascii="Arial" w:hAnsi="Arial" w:cs="Arial"/>
                <w:b/>
                <w:bCs/>
                <w:szCs w:val="24"/>
              </w:rPr>
            </w:pPr>
            <w:r w:rsidRPr="00225657">
              <w:rPr>
                <w:rFonts w:ascii="Arial" w:hAnsi="Arial" w:cs="Arial"/>
                <w:b/>
                <w:bCs/>
                <w:szCs w:val="24"/>
              </w:rPr>
              <w:t>2022</w:t>
            </w:r>
          </w:p>
        </w:tc>
        <w:tc>
          <w:tcPr>
            <w:tcW w:w="2096" w:type="dxa"/>
            <w:shd w:val="clear" w:color="auto" w:fill="D9D9D9" w:themeFill="background1" w:themeFillShade="D9"/>
          </w:tcPr>
          <w:p w14:paraId="748092C6" w14:textId="1FECBFBD" w:rsidR="00CA6C67" w:rsidRPr="00225657" w:rsidRDefault="00E42A52" w:rsidP="0037234A">
            <w:pPr>
              <w:jc w:val="right"/>
              <w:rPr>
                <w:rFonts w:ascii="Arial" w:hAnsi="Arial" w:cs="Arial"/>
                <w:b/>
                <w:bCs/>
                <w:szCs w:val="24"/>
              </w:rPr>
            </w:pPr>
            <w:r>
              <w:rPr>
                <w:rFonts w:ascii="Arial" w:hAnsi="Arial" w:cs="Arial"/>
                <w:b/>
                <w:bCs/>
                <w:szCs w:val="24"/>
              </w:rPr>
              <w:t>$</w:t>
            </w:r>
            <w:r w:rsidR="00CA6C67" w:rsidRPr="00225657">
              <w:rPr>
                <w:rFonts w:ascii="Arial" w:hAnsi="Arial" w:cs="Arial"/>
                <w:b/>
                <w:bCs/>
                <w:szCs w:val="24"/>
              </w:rPr>
              <w:t>70.39</w:t>
            </w:r>
          </w:p>
        </w:tc>
        <w:tc>
          <w:tcPr>
            <w:tcW w:w="1495" w:type="dxa"/>
            <w:shd w:val="clear" w:color="auto" w:fill="D9D9D9" w:themeFill="background1" w:themeFillShade="D9"/>
          </w:tcPr>
          <w:p w14:paraId="038B98FD" w14:textId="77777777" w:rsidR="00CA6C67" w:rsidRPr="00225657" w:rsidRDefault="00CA6C67" w:rsidP="0037234A">
            <w:pPr>
              <w:jc w:val="right"/>
              <w:rPr>
                <w:rFonts w:ascii="Arial" w:hAnsi="Arial" w:cs="Arial"/>
                <w:b/>
                <w:bCs/>
                <w:szCs w:val="24"/>
              </w:rPr>
            </w:pPr>
            <w:r w:rsidRPr="00225657">
              <w:rPr>
                <w:rFonts w:ascii="Arial" w:hAnsi="Arial" w:cs="Arial"/>
                <w:b/>
                <w:bCs/>
                <w:szCs w:val="24"/>
              </w:rPr>
              <w:t>3.0%</w:t>
            </w:r>
          </w:p>
        </w:tc>
      </w:tr>
      <w:tr w:rsidR="00CA6C67" w:rsidRPr="00046D57" w14:paraId="366E8E9D" w14:textId="77777777" w:rsidTr="0037234A">
        <w:trPr>
          <w:jc w:val="center"/>
        </w:trPr>
        <w:tc>
          <w:tcPr>
            <w:tcW w:w="1534" w:type="dxa"/>
            <w:shd w:val="clear" w:color="auto" w:fill="D9D9D9" w:themeFill="background1" w:themeFillShade="D9"/>
          </w:tcPr>
          <w:p w14:paraId="40627FD8" w14:textId="77777777" w:rsidR="00CA6C67" w:rsidRDefault="00CA6C67" w:rsidP="0037234A">
            <w:pPr>
              <w:jc w:val="center"/>
              <w:rPr>
                <w:rFonts w:ascii="Arial" w:hAnsi="Arial" w:cs="Arial"/>
                <w:szCs w:val="24"/>
              </w:rPr>
            </w:pPr>
            <w:r>
              <w:rPr>
                <w:rFonts w:ascii="Arial" w:hAnsi="Arial" w:cs="Arial"/>
                <w:szCs w:val="24"/>
              </w:rPr>
              <w:t>2023</w:t>
            </w:r>
          </w:p>
        </w:tc>
        <w:tc>
          <w:tcPr>
            <w:tcW w:w="2096" w:type="dxa"/>
            <w:shd w:val="clear" w:color="auto" w:fill="D9D9D9" w:themeFill="background1" w:themeFillShade="D9"/>
          </w:tcPr>
          <w:p w14:paraId="1DCF4F2C" w14:textId="58846F0E" w:rsidR="00CA6C67" w:rsidRDefault="00E42A52" w:rsidP="0037234A">
            <w:pPr>
              <w:jc w:val="right"/>
              <w:rPr>
                <w:rFonts w:ascii="Arial" w:hAnsi="Arial" w:cs="Arial"/>
                <w:szCs w:val="24"/>
              </w:rPr>
            </w:pPr>
            <w:r>
              <w:rPr>
                <w:rFonts w:ascii="Arial" w:hAnsi="Arial" w:cs="Arial"/>
                <w:szCs w:val="24"/>
              </w:rPr>
              <w:t>$</w:t>
            </w:r>
            <w:r w:rsidR="00CA6C67">
              <w:rPr>
                <w:rFonts w:ascii="Arial" w:hAnsi="Arial" w:cs="Arial"/>
                <w:szCs w:val="24"/>
              </w:rPr>
              <w:t>72.50</w:t>
            </w:r>
          </w:p>
        </w:tc>
        <w:tc>
          <w:tcPr>
            <w:tcW w:w="1495" w:type="dxa"/>
            <w:shd w:val="clear" w:color="auto" w:fill="D9D9D9" w:themeFill="background1" w:themeFillShade="D9"/>
          </w:tcPr>
          <w:p w14:paraId="351D0C53" w14:textId="77777777" w:rsidR="00CA6C67" w:rsidRDefault="00CA6C67" w:rsidP="0037234A">
            <w:pPr>
              <w:jc w:val="right"/>
              <w:rPr>
                <w:rFonts w:ascii="Arial" w:hAnsi="Arial" w:cs="Arial"/>
                <w:szCs w:val="24"/>
              </w:rPr>
            </w:pPr>
            <w:r>
              <w:rPr>
                <w:rFonts w:ascii="Arial" w:hAnsi="Arial" w:cs="Arial"/>
                <w:szCs w:val="24"/>
              </w:rPr>
              <w:t>3.0%</w:t>
            </w:r>
          </w:p>
        </w:tc>
      </w:tr>
      <w:tr w:rsidR="00CA6C67" w:rsidRPr="00046D57" w14:paraId="102C89F1" w14:textId="77777777" w:rsidTr="0037234A">
        <w:trPr>
          <w:jc w:val="center"/>
        </w:trPr>
        <w:tc>
          <w:tcPr>
            <w:tcW w:w="1534" w:type="dxa"/>
            <w:shd w:val="clear" w:color="auto" w:fill="D9D9D9" w:themeFill="background1" w:themeFillShade="D9"/>
          </w:tcPr>
          <w:p w14:paraId="4A61FB4B" w14:textId="77777777" w:rsidR="00CA6C67" w:rsidRDefault="00CA6C67" w:rsidP="0037234A">
            <w:pPr>
              <w:jc w:val="center"/>
              <w:rPr>
                <w:rFonts w:ascii="Arial" w:hAnsi="Arial" w:cs="Arial"/>
                <w:szCs w:val="24"/>
              </w:rPr>
            </w:pPr>
            <w:r>
              <w:rPr>
                <w:rFonts w:ascii="Arial" w:hAnsi="Arial" w:cs="Arial"/>
                <w:szCs w:val="24"/>
              </w:rPr>
              <w:t>2024</w:t>
            </w:r>
          </w:p>
        </w:tc>
        <w:tc>
          <w:tcPr>
            <w:tcW w:w="2096" w:type="dxa"/>
            <w:shd w:val="clear" w:color="auto" w:fill="D9D9D9" w:themeFill="background1" w:themeFillShade="D9"/>
          </w:tcPr>
          <w:p w14:paraId="2BF2596B" w14:textId="6BA54B2B" w:rsidR="00CA6C67" w:rsidRDefault="00E42A52" w:rsidP="0037234A">
            <w:pPr>
              <w:jc w:val="right"/>
              <w:rPr>
                <w:rFonts w:ascii="Arial" w:hAnsi="Arial" w:cs="Arial"/>
                <w:szCs w:val="24"/>
              </w:rPr>
            </w:pPr>
            <w:r>
              <w:rPr>
                <w:rFonts w:ascii="Arial" w:hAnsi="Arial" w:cs="Arial"/>
                <w:szCs w:val="24"/>
              </w:rPr>
              <w:t>$</w:t>
            </w:r>
            <w:r w:rsidR="00CA6C67">
              <w:rPr>
                <w:rFonts w:ascii="Arial" w:hAnsi="Arial" w:cs="Arial"/>
                <w:szCs w:val="24"/>
              </w:rPr>
              <w:t>74.68</w:t>
            </w:r>
          </w:p>
        </w:tc>
        <w:tc>
          <w:tcPr>
            <w:tcW w:w="1495" w:type="dxa"/>
            <w:shd w:val="clear" w:color="auto" w:fill="D9D9D9" w:themeFill="background1" w:themeFillShade="D9"/>
          </w:tcPr>
          <w:p w14:paraId="0B5D2A4D" w14:textId="77777777" w:rsidR="00CA6C67" w:rsidRDefault="00CA6C67" w:rsidP="0037234A">
            <w:pPr>
              <w:jc w:val="right"/>
              <w:rPr>
                <w:rFonts w:ascii="Arial" w:hAnsi="Arial" w:cs="Arial"/>
                <w:szCs w:val="24"/>
              </w:rPr>
            </w:pPr>
            <w:r>
              <w:rPr>
                <w:rFonts w:ascii="Arial" w:hAnsi="Arial" w:cs="Arial"/>
                <w:szCs w:val="24"/>
              </w:rPr>
              <w:t>3.0%</w:t>
            </w:r>
          </w:p>
        </w:tc>
      </w:tr>
      <w:tr w:rsidR="00CA6C67" w:rsidRPr="00046D57" w14:paraId="4BC5683E" w14:textId="77777777" w:rsidTr="0037234A">
        <w:trPr>
          <w:jc w:val="center"/>
        </w:trPr>
        <w:tc>
          <w:tcPr>
            <w:tcW w:w="1534" w:type="dxa"/>
            <w:shd w:val="clear" w:color="auto" w:fill="D9D9D9" w:themeFill="background1" w:themeFillShade="D9"/>
          </w:tcPr>
          <w:p w14:paraId="17B49E59" w14:textId="77777777" w:rsidR="00CA6C67" w:rsidRDefault="00CA6C67" w:rsidP="0037234A">
            <w:pPr>
              <w:jc w:val="center"/>
              <w:rPr>
                <w:rFonts w:ascii="Arial" w:hAnsi="Arial" w:cs="Arial"/>
                <w:szCs w:val="24"/>
              </w:rPr>
            </w:pPr>
            <w:r>
              <w:rPr>
                <w:rFonts w:ascii="Arial" w:hAnsi="Arial" w:cs="Arial"/>
                <w:szCs w:val="24"/>
              </w:rPr>
              <w:t>2025</w:t>
            </w:r>
          </w:p>
        </w:tc>
        <w:tc>
          <w:tcPr>
            <w:tcW w:w="2096" w:type="dxa"/>
            <w:shd w:val="clear" w:color="auto" w:fill="D9D9D9" w:themeFill="background1" w:themeFillShade="D9"/>
          </w:tcPr>
          <w:p w14:paraId="072B6DDD" w14:textId="3F419DB8" w:rsidR="00CA6C67" w:rsidRDefault="00E42A52" w:rsidP="0037234A">
            <w:pPr>
              <w:jc w:val="right"/>
              <w:rPr>
                <w:rFonts w:ascii="Arial" w:hAnsi="Arial" w:cs="Arial"/>
                <w:szCs w:val="24"/>
              </w:rPr>
            </w:pPr>
            <w:r>
              <w:rPr>
                <w:rFonts w:ascii="Arial" w:hAnsi="Arial" w:cs="Arial"/>
                <w:szCs w:val="24"/>
              </w:rPr>
              <w:t>$</w:t>
            </w:r>
            <w:r w:rsidR="00CA6C67">
              <w:rPr>
                <w:rFonts w:ascii="Arial" w:hAnsi="Arial" w:cs="Arial"/>
                <w:szCs w:val="24"/>
              </w:rPr>
              <w:t>76.92</w:t>
            </w:r>
          </w:p>
        </w:tc>
        <w:tc>
          <w:tcPr>
            <w:tcW w:w="1495" w:type="dxa"/>
            <w:shd w:val="clear" w:color="auto" w:fill="D9D9D9" w:themeFill="background1" w:themeFillShade="D9"/>
          </w:tcPr>
          <w:p w14:paraId="28226D3C" w14:textId="77777777" w:rsidR="00CA6C67" w:rsidRDefault="00CA6C67" w:rsidP="0037234A">
            <w:pPr>
              <w:jc w:val="right"/>
              <w:rPr>
                <w:rFonts w:ascii="Arial" w:hAnsi="Arial" w:cs="Arial"/>
                <w:szCs w:val="24"/>
              </w:rPr>
            </w:pPr>
            <w:r>
              <w:rPr>
                <w:rFonts w:ascii="Arial" w:hAnsi="Arial" w:cs="Arial"/>
                <w:szCs w:val="24"/>
              </w:rPr>
              <w:t>3.0%</w:t>
            </w:r>
          </w:p>
        </w:tc>
      </w:tr>
    </w:tbl>
    <w:p w14:paraId="6F3CFD5E" w14:textId="77777777" w:rsidR="00CA6C67" w:rsidRPr="00AC709F" w:rsidRDefault="00CA6C67" w:rsidP="00CA6C67">
      <w:pPr>
        <w:jc w:val="both"/>
        <w:rPr>
          <w:rFonts w:ascii="Arial" w:hAnsi="Arial" w:cs="Arial"/>
        </w:rPr>
      </w:pPr>
    </w:p>
    <w:p w14:paraId="11D1001A" w14:textId="77777777" w:rsidR="00CA6C67" w:rsidRPr="00AC709F" w:rsidRDefault="00CA6C67" w:rsidP="003F5297">
      <w:pPr>
        <w:pStyle w:val="BodyTextIndent2"/>
        <w:spacing w:line="264" w:lineRule="auto"/>
        <w:ind w:left="0"/>
        <w:jc w:val="both"/>
        <w:rPr>
          <w:rFonts w:ascii="Arial" w:hAnsi="Arial" w:cs="Arial"/>
          <w:szCs w:val="24"/>
        </w:rPr>
      </w:pPr>
      <w:r>
        <w:rPr>
          <w:rFonts w:ascii="Arial" w:hAnsi="Arial" w:cs="Arial"/>
          <w:szCs w:val="24"/>
        </w:rPr>
        <w:t>Consistent with</w:t>
      </w:r>
      <w:r w:rsidRPr="00AC709F">
        <w:rPr>
          <w:rFonts w:ascii="Arial" w:hAnsi="Arial" w:cs="Arial"/>
          <w:szCs w:val="24"/>
        </w:rPr>
        <w:t xml:space="preserve"> the Regional Wastewater Services Plan policies, the capacity charge is based on the estimated costs of the 30-year Regional Wastewater Services Plan (RWSP).</w:t>
      </w:r>
      <w:r>
        <w:rPr>
          <w:rStyle w:val="FootnoteReference"/>
          <w:rFonts w:ascii="Arial" w:hAnsi="Arial" w:cs="Arial"/>
          <w:szCs w:val="24"/>
        </w:rPr>
        <w:footnoteReference w:id="4"/>
      </w:r>
      <w:r w:rsidRPr="00AC709F">
        <w:rPr>
          <w:rFonts w:ascii="Arial" w:hAnsi="Arial" w:cs="Arial"/>
          <w:szCs w:val="24"/>
        </w:rPr>
        <w:t xml:space="preserve">  </w:t>
      </w:r>
      <w:r>
        <w:rPr>
          <w:rFonts w:ascii="Arial" w:hAnsi="Arial" w:cs="Arial"/>
          <w:szCs w:val="24"/>
        </w:rPr>
        <w:t>T</w:t>
      </w:r>
      <w:r w:rsidRPr="00AC709F">
        <w:rPr>
          <w:rFonts w:ascii="Arial" w:hAnsi="Arial" w:cs="Arial"/>
          <w:szCs w:val="24"/>
        </w:rPr>
        <w:t>he capacity charge</w:t>
      </w:r>
      <w:r>
        <w:rPr>
          <w:rFonts w:ascii="Arial" w:hAnsi="Arial" w:cs="Arial"/>
          <w:szCs w:val="24"/>
        </w:rPr>
        <w:t xml:space="preserve"> is set</w:t>
      </w:r>
      <w:r w:rsidRPr="00AC709F">
        <w:rPr>
          <w:rFonts w:ascii="Arial" w:hAnsi="Arial" w:cs="Arial"/>
          <w:szCs w:val="24"/>
        </w:rPr>
        <w:t xml:space="preserve"> at a level to recover the designated, growth-related costs that are not covered by the monthly rate payments of newly connecting customers.  Over the </w:t>
      </w:r>
      <w:r>
        <w:rPr>
          <w:rFonts w:ascii="Arial" w:hAnsi="Arial" w:cs="Arial"/>
          <w:szCs w:val="24"/>
        </w:rPr>
        <w:t>planning period</w:t>
      </w:r>
      <w:r w:rsidRPr="00AC709F">
        <w:rPr>
          <w:rFonts w:ascii="Arial" w:hAnsi="Arial" w:cs="Arial"/>
          <w:szCs w:val="24"/>
        </w:rPr>
        <w:t xml:space="preserve"> of </w:t>
      </w:r>
      <w:r>
        <w:rPr>
          <w:rFonts w:ascii="Arial" w:hAnsi="Arial" w:cs="Arial"/>
          <w:szCs w:val="24"/>
        </w:rPr>
        <w:t>RWSP</w:t>
      </w:r>
      <w:r w:rsidRPr="00AC709F">
        <w:rPr>
          <w:rFonts w:ascii="Arial" w:hAnsi="Arial" w:cs="Arial"/>
          <w:szCs w:val="24"/>
        </w:rPr>
        <w:t xml:space="preserve"> (</w:t>
      </w:r>
      <w:r>
        <w:rPr>
          <w:rFonts w:ascii="Arial" w:hAnsi="Arial" w:cs="Arial"/>
          <w:szCs w:val="24"/>
        </w:rPr>
        <w:t xml:space="preserve">2003 </w:t>
      </w:r>
      <w:r w:rsidRPr="00AC709F">
        <w:rPr>
          <w:rFonts w:ascii="Arial" w:hAnsi="Arial" w:cs="Arial"/>
          <w:szCs w:val="24"/>
        </w:rPr>
        <w:t>– 2030), the capacity charge and monthly rate payments of newly connecting customers will cover 95</w:t>
      </w:r>
      <w:r>
        <w:rPr>
          <w:rFonts w:ascii="Arial" w:hAnsi="Arial" w:cs="Arial"/>
          <w:szCs w:val="24"/>
        </w:rPr>
        <w:t xml:space="preserve">% </w:t>
      </w:r>
      <w:r w:rsidRPr="00AC709F">
        <w:rPr>
          <w:rFonts w:ascii="Arial" w:hAnsi="Arial" w:cs="Arial"/>
          <w:szCs w:val="24"/>
        </w:rPr>
        <w:t xml:space="preserve">of growth-related costs.    </w:t>
      </w:r>
    </w:p>
    <w:p w14:paraId="19FDB027" w14:textId="22137D70" w:rsidR="00CA6C67" w:rsidRDefault="00CA6C67" w:rsidP="003F5297">
      <w:pPr>
        <w:pStyle w:val="Flush1CS1"/>
        <w:tabs>
          <w:tab w:val="left" w:pos="720"/>
          <w:tab w:val="decimal" w:pos="7200"/>
        </w:tabs>
        <w:spacing w:line="264" w:lineRule="auto"/>
        <w:jc w:val="both"/>
        <w:rPr>
          <w:rFonts w:ascii="Arial" w:hAnsi="Arial" w:cs="Arial"/>
          <w:szCs w:val="24"/>
        </w:rPr>
      </w:pPr>
      <w:r w:rsidRPr="00AC709F">
        <w:rPr>
          <w:rFonts w:ascii="Arial" w:hAnsi="Arial" w:cs="Arial"/>
          <w:szCs w:val="24"/>
        </w:rPr>
        <w:t xml:space="preserve">Unlike the monthly sewer rate, the capacity charge is directly billed by and paid to King County.  </w:t>
      </w:r>
      <w:r>
        <w:rPr>
          <w:rFonts w:ascii="Arial" w:hAnsi="Arial" w:cs="Arial"/>
          <w:szCs w:val="24"/>
        </w:rPr>
        <w:t xml:space="preserve">Based on information provided by the cities and sewer districts, </w:t>
      </w:r>
      <w:r w:rsidRPr="00AC709F">
        <w:rPr>
          <w:rFonts w:ascii="Arial" w:hAnsi="Arial" w:cs="Arial"/>
          <w:szCs w:val="24"/>
        </w:rPr>
        <w:t>King County notifies</w:t>
      </w:r>
      <w:r>
        <w:rPr>
          <w:rFonts w:ascii="Arial" w:hAnsi="Arial" w:cs="Arial"/>
          <w:szCs w:val="24"/>
        </w:rPr>
        <w:t xml:space="preserve"> new connecting</w:t>
      </w:r>
      <w:r w:rsidRPr="00AC709F">
        <w:rPr>
          <w:rFonts w:ascii="Arial" w:hAnsi="Arial" w:cs="Arial"/>
          <w:szCs w:val="24"/>
        </w:rPr>
        <w:t xml:space="preserve"> customers of the option to pay over time (15 years) or in a lump sum.  The lump sum payment is less than the </w:t>
      </w:r>
      <w:r>
        <w:rPr>
          <w:rFonts w:ascii="Arial" w:hAnsi="Arial" w:cs="Arial"/>
          <w:szCs w:val="24"/>
        </w:rPr>
        <w:t xml:space="preserve">total dollar value of the </w:t>
      </w:r>
      <w:r w:rsidRPr="00AC709F">
        <w:rPr>
          <w:rFonts w:ascii="Arial" w:hAnsi="Arial" w:cs="Arial"/>
          <w:szCs w:val="24"/>
        </w:rPr>
        <w:t>15 year option since the cost of financing the long-term payment is deducted.</w:t>
      </w:r>
    </w:p>
    <w:p w14:paraId="61BD013B" w14:textId="77777777" w:rsidR="005F02EE" w:rsidRDefault="005F02EE" w:rsidP="003F5297">
      <w:pPr>
        <w:spacing w:line="264" w:lineRule="auto"/>
        <w:jc w:val="both"/>
        <w:rPr>
          <w:rFonts w:ascii="Arial" w:hAnsi="Arial" w:cs="Arial"/>
          <w:szCs w:val="24"/>
        </w:rPr>
      </w:pPr>
    </w:p>
    <w:p w14:paraId="1CDA1D49" w14:textId="3857A0B6" w:rsidR="00C647FC" w:rsidRDefault="009D550C" w:rsidP="003F5297">
      <w:pPr>
        <w:spacing w:line="264" w:lineRule="auto"/>
        <w:jc w:val="both"/>
        <w:rPr>
          <w:rFonts w:ascii="Arial" w:hAnsi="Arial" w:cs="Arial"/>
          <w:szCs w:val="24"/>
        </w:rPr>
      </w:pPr>
      <w:r>
        <w:rPr>
          <w:rFonts w:ascii="Arial" w:hAnsi="Arial" w:cs="Arial"/>
          <w:szCs w:val="24"/>
        </w:rPr>
        <w:lastRenderedPageBreak/>
        <w:t xml:space="preserve">The Council approved revisions to the capacity charge rate structure in 2020, in recognition of </w:t>
      </w:r>
      <w:r w:rsidR="00066EE7">
        <w:rPr>
          <w:rFonts w:ascii="Arial" w:hAnsi="Arial" w:cs="Arial"/>
          <w:szCs w:val="24"/>
        </w:rPr>
        <w:t>emerging housing options like Accessory Dwelling Units and microhousing;</w:t>
      </w:r>
      <w:r w:rsidR="001262BF">
        <w:rPr>
          <w:rFonts w:ascii="Arial" w:hAnsi="Arial" w:cs="Arial"/>
          <w:szCs w:val="24"/>
        </w:rPr>
        <w:t xml:space="preserve"> and in acknowledgement of </w:t>
      </w:r>
      <w:r w:rsidR="002E1B86">
        <w:rPr>
          <w:rFonts w:ascii="Arial" w:hAnsi="Arial" w:cs="Arial"/>
          <w:szCs w:val="24"/>
        </w:rPr>
        <w:t xml:space="preserve">the imbalance of </w:t>
      </w:r>
      <w:r w:rsidR="00D77DE3">
        <w:rPr>
          <w:rFonts w:ascii="Arial" w:hAnsi="Arial" w:cs="Arial"/>
          <w:szCs w:val="24"/>
        </w:rPr>
        <w:t>a charge that assessed the same amount for small and large single family dwelling</w:t>
      </w:r>
      <w:r w:rsidR="00353763">
        <w:rPr>
          <w:rFonts w:ascii="Arial" w:hAnsi="Arial" w:cs="Arial"/>
          <w:szCs w:val="24"/>
        </w:rPr>
        <w:t xml:space="preserve">s.  The revisions are tied to the </w:t>
      </w:r>
      <w:r w:rsidR="00CB101E">
        <w:rPr>
          <w:rFonts w:ascii="Arial" w:hAnsi="Arial" w:cs="Arial"/>
          <w:szCs w:val="24"/>
        </w:rPr>
        <w:t xml:space="preserve">average number of persons per household by housing type.  Smaller </w:t>
      </w:r>
      <w:r w:rsidR="00A35DCE">
        <w:rPr>
          <w:rFonts w:ascii="Arial" w:hAnsi="Arial" w:cs="Arial"/>
          <w:szCs w:val="24"/>
        </w:rPr>
        <w:t xml:space="preserve">single family homes—under </w:t>
      </w:r>
      <w:r w:rsidR="002A2D5C">
        <w:rPr>
          <w:rFonts w:ascii="Arial" w:hAnsi="Arial" w:cs="Arial"/>
          <w:szCs w:val="24"/>
        </w:rPr>
        <w:t>1500</w:t>
      </w:r>
      <w:r w:rsidR="0057134D">
        <w:rPr>
          <w:rFonts w:ascii="Arial" w:hAnsi="Arial" w:cs="Arial"/>
          <w:szCs w:val="24"/>
        </w:rPr>
        <w:t xml:space="preserve"> square feet (</w:t>
      </w:r>
      <w:proofErr w:type="spellStart"/>
      <w:r w:rsidR="0057134D">
        <w:rPr>
          <w:rFonts w:ascii="Arial" w:hAnsi="Arial" w:cs="Arial"/>
          <w:szCs w:val="24"/>
        </w:rPr>
        <w:t>s.f.</w:t>
      </w:r>
      <w:proofErr w:type="spellEnd"/>
      <w:r w:rsidR="0057134D">
        <w:rPr>
          <w:rFonts w:ascii="Arial" w:hAnsi="Arial" w:cs="Arial"/>
          <w:szCs w:val="24"/>
        </w:rPr>
        <w:t>)</w:t>
      </w:r>
      <w:r w:rsidR="002A2D5C">
        <w:rPr>
          <w:rFonts w:ascii="Arial" w:hAnsi="Arial" w:cs="Arial"/>
          <w:szCs w:val="24"/>
        </w:rPr>
        <w:t xml:space="preserve"> </w:t>
      </w:r>
      <w:r w:rsidR="008726B0">
        <w:rPr>
          <w:rFonts w:ascii="Arial" w:hAnsi="Arial" w:cs="Arial"/>
          <w:szCs w:val="24"/>
        </w:rPr>
        <w:t>are</w:t>
      </w:r>
      <w:r w:rsidR="00BD0D0C">
        <w:rPr>
          <w:rFonts w:ascii="Arial" w:hAnsi="Arial" w:cs="Arial"/>
          <w:szCs w:val="24"/>
        </w:rPr>
        <w:t xml:space="preserve"> assessed at </w:t>
      </w:r>
      <w:r w:rsidR="005F02EE">
        <w:rPr>
          <w:rFonts w:ascii="Arial" w:hAnsi="Arial" w:cs="Arial"/>
          <w:szCs w:val="24"/>
        </w:rPr>
        <w:t>0</w:t>
      </w:r>
      <w:r w:rsidR="00BD0D0C">
        <w:rPr>
          <w:rFonts w:ascii="Arial" w:hAnsi="Arial" w:cs="Arial"/>
          <w:szCs w:val="24"/>
        </w:rPr>
        <w:t>.81 RCE</w:t>
      </w:r>
      <w:r w:rsidR="00911DB6">
        <w:rPr>
          <w:rFonts w:ascii="Arial" w:hAnsi="Arial" w:cs="Arial"/>
          <w:szCs w:val="24"/>
        </w:rPr>
        <w:t>; mid-sized homes</w:t>
      </w:r>
      <w:r w:rsidR="005F02EE">
        <w:rPr>
          <w:rFonts w:ascii="Arial" w:hAnsi="Arial" w:cs="Arial"/>
          <w:szCs w:val="24"/>
        </w:rPr>
        <w:t>—</w:t>
      </w:r>
      <w:r w:rsidR="00911DB6">
        <w:rPr>
          <w:rFonts w:ascii="Arial" w:hAnsi="Arial" w:cs="Arial"/>
          <w:szCs w:val="24"/>
        </w:rPr>
        <w:t>1</w:t>
      </w:r>
      <w:r w:rsidR="005F02EE">
        <w:rPr>
          <w:rFonts w:ascii="Arial" w:hAnsi="Arial" w:cs="Arial"/>
          <w:szCs w:val="24"/>
        </w:rPr>
        <w:t>,</w:t>
      </w:r>
      <w:r w:rsidR="00911DB6">
        <w:rPr>
          <w:rFonts w:ascii="Arial" w:hAnsi="Arial" w:cs="Arial"/>
          <w:szCs w:val="24"/>
        </w:rPr>
        <w:t xml:space="preserve">500 </w:t>
      </w:r>
      <w:proofErr w:type="spellStart"/>
      <w:r w:rsidR="00F8353E">
        <w:rPr>
          <w:rFonts w:ascii="Arial" w:hAnsi="Arial" w:cs="Arial"/>
          <w:szCs w:val="24"/>
        </w:rPr>
        <w:t>s.f.</w:t>
      </w:r>
      <w:proofErr w:type="spellEnd"/>
      <w:r w:rsidR="00F8353E">
        <w:rPr>
          <w:rFonts w:ascii="Arial" w:hAnsi="Arial" w:cs="Arial"/>
          <w:szCs w:val="24"/>
        </w:rPr>
        <w:t xml:space="preserve"> to </w:t>
      </w:r>
      <w:r w:rsidR="00F312A4">
        <w:rPr>
          <w:rFonts w:ascii="Arial" w:hAnsi="Arial" w:cs="Arial"/>
          <w:szCs w:val="24"/>
        </w:rPr>
        <w:t>2</w:t>
      </w:r>
      <w:r w:rsidR="005F02EE">
        <w:rPr>
          <w:rFonts w:ascii="Arial" w:hAnsi="Arial" w:cs="Arial"/>
          <w:szCs w:val="24"/>
        </w:rPr>
        <w:t>,</w:t>
      </w:r>
      <w:r w:rsidR="00F312A4">
        <w:rPr>
          <w:rFonts w:ascii="Arial" w:hAnsi="Arial" w:cs="Arial"/>
          <w:szCs w:val="24"/>
        </w:rPr>
        <w:t>999</w:t>
      </w:r>
      <w:r w:rsidR="00F8353E">
        <w:rPr>
          <w:rFonts w:ascii="Arial" w:hAnsi="Arial" w:cs="Arial"/>
          <w:szCs w:val="24"/>
        </w:rPr>
        <w:t xml:space="preserve"> </w:t>
      </w:r>
      <w:proofErr w:type="spellStart"/>
      <w:r w:rsidR="00F8353E">
        <w:rPr>
          <w:rFonts w:ascii="Arial" w:hAnsi="Arial" w:cs="Arial"/>
          <w:szCs w:val="24"/>
        </w:rPr>
        <w:t>s.f.</w:t>
      </w:r>
      <w:proofErr w:type="spellEnd"/>
      <w:r w:rsidR="0057134D">
        <w:rPr>
          <w:rFonts w:ascii="Arial" w:hAnsi="Arial" w:cs="Arial"/>
          <w:szCs w:val="24"/>
        </w:rPr>
        <w:t>--</w:t>
      </w:r>
      <w:r w:rsidR="00F8353E">
        <w:rPr>
          <w:rFonts w:ascii="Arial" w:hAnsi="Arial" w:cs="Arial"/>
          <w:szCs w:val="24"/>
        </w:rPr>
        <w:t xml:space="preserve"> </w:t>
      </w:r>
      <w:r w:rsidR="00BE06A5">
        <w:rPr>
          <w:rFonts w:ascii="Arial" w:hAnsi="Arial" w:cs="Arial"/>
          <w:szCs w:val="24"/>
        </w:rPr>
        <w:t>are</w:t>
      </w:r>
      <w:r w:rsidR="00911DB6">
        <w:rPr>
          <w:rFonts w:ascii="Arial" w:hAnsi="Arial" w:cs="Arial"/>
          <w:szCs w:val="24"/>
        </w:rPr>
        <w:t xml:space="preserve"> assessed at </w:t>
      </w:r>
      <w:r w:rsidR="00F8353E">
        <w:rPr>
          <w:rFonts w:ascii="Arial" w:hAnsi="Arial" w:cs="Arial"/>
          <w:szCs w:val="24"/>
        </w:rPr>
        <w:t>1</w:t>
      </w:r>
      <w:r w:rsidR="005F02EE">
        <w:rPr>
          <w:rFonts w:ascii="Arial" w:hAnsi="Arial" w:cs="Arial"/>
          <w:szCs w:val="24"/>
        </w:rPr>
        <w:t>.00</w:t>
      </w:r>
      <w:r w:rsidR="00F8353E">
        <w:rPr>
          <w:rFonts w:ascii="Arial" w:hAnsi="Arial" w:cs="Arial"/>
          <w:szCs w:val="24"/>
        </w:rPr>
        <w:t xml:space="preserve"> RCE; and large homes</w:t>
      </w:r>
      <w:r w:rsidR="002B416B">
        <w:rPr>
          <w:rFonts w:ascii="Arial" w:hAnsi="Arial" w:cs="Arial"/>
          <w:szCs w:val="24"/>
        </w:rPr>
        <w:t>, over 3</w:t>
      </w:r>
      <w:r w:rsidR="005F02EE">
        <w:rPr>
          <w:rFonts w:ascii="Arial" w:hAnsi="Arial" w:cs="Arial"/>
          <w:szCs w:val="24"/>
        </w:rPr>
        <w:t>,</w:t>
      </w:r>
      <w:r w:rsidR="002B416B">
        <w:rPr>
          <w:rFonts w:ascii="Arial" w:hAnsi="Arial" w:cs="Arial"/>
          <w:szCs w:val="24"/>
        </w:rPr>
        <w:t xml:space="preserve">000 </w:t>
      </w:r>
      <w:proofErr w:type="spellStart"/>
      <w:r w:rsidR="002B416B">
        <w:rPr>
          <w:rFonts w:ascii="Arial" w:hAnsi="Arial" w:cs="Arial"/>
          <w:szCs w:val="24"/>
        </w:rPr>
        <w:t>s.f.</w:t>
      </w:r>
      <w:proofErr w:type="spellEnd"/>
      <w:r w:rsidR="002B416B">
        <w:rPr>
          <w:rFonts w:ascii="Arial" w:hAnsi="Arial" w:cs="Arial"/>
          <w:szCs w:val="24"/>
        </w:rPr>
        <w:t xml:space="preserve">, </w:t>
      </w:r>
      <w:r w:rsidR="00F312A4">
        <w:rPr>
          <w:rFonts w:ascii="Arial" w:hAnsi="Arial" w:cs="Arial"/>
          <w:szCs w:val="24"/>
        </w:rPr>
        <w:t>are</w:t>
      </w:r>
      <w:r w:rsidR="002B416B">
        <w:rPr>
          <w:rFonts w:ascii="Arial" w:hAnsi="Arial" w:cs="Arial"/>
          <w:szCs w:val="24"/>
        </w:rPr>
        <w:t xml:space="preserve"> assessed at</w:t>
      </w:r>
      <w:r w:rsidR="00F312A4">
        <w:rPr>
          <w:rFonts w:ascii="Arial" w:hAnsi="Arial" w:cs="Arial"/>
          <w:szCs w:val="24"/>
        </w:rPr>
        <w:t xml:space="preserve"> 1.16 RCE</w:t>
      </w:r>
      <w:r w:rsidR="002F396E">
        <w:rPr>
          <w:rFonts w:ascii="Arial" w:hAnsi="Arial" w:cs="Arial"/>
          <w:szCs w:val="24"/>
        </w:rPr>
        <w:t xml:space="preserve">.  </w:t>
      </w:r>
      <w:r w:rsidR="003F0BAC">
        <w:rPr>
          <w:rFonts w:ascii="Arial" w:hAnsi="Arial" w:cs="Arial"/>
          <w:szCs w:val="24"/>
        </w:rPr>
        <w:t xml:space="preserve">Accessory Dwelling Units are assessed at </w:t>
      </w:r>
      <w:r w:rsidR="005F02EE">
        <w:rPr>
          <w:rFonts w:ascii="Arial" w:hAnsi="Arial" w:cs="Arial"/>
          <w:szCs w:val="24"/>
        </w:rPr>
        <w:t>0</w:t>
      </w:r>
      <w:r w:rsidR="003F0BAC">
        <w:rPr>
          <w:rFonts w:ascii="Arial" w:hAnsi="Arial" w:cs="Arial"/>
          <w:szCs w:val="24"/>
        </w:rPr>
        <w:t>.59 RCE</w:t>
      </w:r>
      <w:r w:rsidR="00222071">
        <w:rPr>
          <w:rFonts w:ascii="Arial" w:hAnsi="Arial" w:cs="Arial"/>
          <w:szCs w:val="24"/>
        </w:rPr>
        <w:t xml:space="preserve">, and there were small changes to the rates charged </w:t>
      </w:r>
      <w:r w:rsidR="000E4C3E">
        <w:rPr>
          <w:rFonts w:ascii="Arial" w:hAnsi="Arial" w:cs="Arial"/>
          <w:szCs w:val="24"/>
        </w:rPr>
        <w:t xml:space="preserve">for multifamily units. </w:t>
      </w:r>
    </w:p>
    <w:p w14:paraId="3864D8AD" w14:textId="0FD93FF7" w:rsidR="00C647FC" w:rsidRDefault="00C647FC" w:rsidP="003F5297">
      <w:pPr>
        <w:spacing w:line="264" w:lineRule="auto"/>
        <w:jc w:val="both"/>
        <w:rPr>
          <w:rFonts w:ascii="Arial" w:hAnsi="Arial" w:cs="Arial"/>
          <w:szCs w:val="24"/>
        </w:rPr>
      </w:pPr>
    </w:p>
    <w:p w14:paraId="4F93672C" w14:textId="20DC9060" w:rsidR="00CA6C67" w:rsidRPr="005F02EE" w:rsidRDefault="00CA6C67" w:rsidP="003F5297">
      <w:pPr>
        <w:spacing w:line="264" w:lineRule="auto"/>
        <w:jc w:val="both"/>
        <w:rPr>
          <w:rFonts w:ascii="Arial" w:hAnsi="Arial" w:cs="Arial"/>
          <w:b/>
          <w:i/>
        </w:rPr>
      </w:pPr>
      <w:r w:rsidRPr="00141E91">
        <w:rPr>
          <w:rFonts w:ascii="Arial" w:hAnsi="Arial" w:cs="Arial"/>
          <w:b/>
          <w:iCs/>
        </w:rPr>
        <w:t>Local Jurisdiction Sewer Rates</w:t>
      </w:r>
      <w:r w:rsidR="005F02EE" w:rsidRPr="00141E91">
        <w:rPr>
          <w:rFonts w:ascii="Arial" w:hAnsi="Arial" w:cs="Arial"/>
          <w:b/>
          <w:iCs/>
        </w:rPr>
        <w:t>.</w:t>
      </w:r>
      <w:r w:rsidR="005F02EE">
        <w:rPr>
          <w:rFonts w:ascii="Arial" w:hAnsi="Arial" w:cs="Arial"/>
          <w:b/>
          <w:i/>
        </w:rPr>
        <w:t xml:space="preserve">  </w:t>
      </w:r>
      <w:r>
        <w:rPr>
          <w:rFonts w:ascii="Arial" w:hAnsi="Arial" w:cs="Arial"/>
        </w:rPr>
        <w:t>As noted, cities and sewer districts are responsible for collecting wastewater from homes and businesses within their jurisdictions; they assess a separate charge in addition to the county sewer rate and capacity charge described here.  To provide a sense of the total wastewater charges a residential ratepayer might pay, staff has reviewed the rates of several jurisdictions to identify the sewer charge they assess</w:t>
      </w:r>
      <w:r>
        <w:rPr>
          <w:rStyle w:val="FootnoteReference"/>
          <w:rFonts w:ascii="Arial" w:hAnsi="Arial" w:cs="Arial"/>
        </w:rPr>
        <w:footnoteReference w:id="5"/>
      </w:r>
      <w:r>
        <w:rPr>
          <w:rFonts w:ascii="Arial" w:hAnsi="Arial" w:cs="Arial"/>
        </w:rPr>
        <w:t>.  Local charges vary substantially; some are fixed rates monthly, while some are variable based on water consumption.  Most do not include a local separate connection charge tied to local system growth costs, though one of the selected jurisdictions below does (Bellevue assesses a Capital Recovery Charge of $22.83/mo. for 10 years—not included in the example below).  Some local jurisdictions may also provide a discount to low-income ratepayers—those discounts are not addressed in this summary.</w:t>
      </w:r>
    </w:p>
    <w:p w14:paraId="64E9F2ED" w14:textId="77777777" w:rsidR="00CA6C67" w:rsidRDefault="00CA6C67" w:rsidP="003F5297">
      <w:pPr>
        <w:spacing w:line="264" w:lineRule="auto"/>
        <w:jc w:val="both"/>
        <w:rPr>
          <w:rFonts w:ascii="Arial" w:hAnsi="Arial" w:cs="Arial"/>
        </w:rPr>
      </w:pPr>
    </w:p>
    <w:p w14:paraId="7E19562B" w14:textId="38B5A9F0" w:rsidR="00CA6C67" w:rsidRDefault="00CA6C67" w:rsidP="003F5297">
      <w:pPr>
        <w:spacing w:line="264" w:lineRule="auto"/>
        <w:jc w:val="both"/>
        <w:rPr>
          <w:rFonts w:ascii="Arial" w:hAnsi="Arial" w:cs="Arial"/>
        </w:rPr>
      </w:pPr>
      <w:r>
        <w:rPr>
          <w:rFonts w:ascii="Arial" w:hAnsi="Arial" w:cs="Arial"/>
        </w:rPr>
        <w:t>The five jurisdictions referenced</w:t>
      </w:r>
      <w:r w:rsidR="002F51DB">
        <w:rPr>
          <w:rFonts w:ascii="Arial" w:hAnsi="Arial" w:cs="Arial"/>
        </w:rPr>
        <w:t xml:space="preserve"> in Table 3</w:t>
      </w:r>
      <w:r>
        <w:rPr>
          <w:rFonts w:ascii="Arial" w:hAnsi="Arial" w:cs="Arial"/>
        </w:rPr>
        <w:t xml:space="preserve"> below are randomly </w:t>
      </w:r>
      <w:proofErr w:type="gramStart"/>
      <w:r>
        <w:rPr>
          <w:rFonts w:ascii="Arial" w:hAnsi="Arial" w:cs="Arial"/>
        </w:rPr>
        <w:t>selected, and</w:t>
      </w:r>
      <w:proofErr w:type="gramEnd"/>
      <w:r>
        <w:rPr>
          <w:rFonts w:ascii="Arial" w:hAnsi="Arial" w:cs="Arial"/>
        </w:rPr>
        <w:t xml:space="preserve"> may or may not be representative of the 34 city and sewer district jurisdictions that partner with the Wastewater Treatment Division in delivery of wastewater services.  These are 202</w:t>
      </w:r>
      <w:r w:rsidR="004E514C">
        <w:rPr>
          <w:rFonts w:ascii="Arial" w:hAnsi="Arial" w:cs="Arial"/>
        </w:rPr>
        <w:t>1</w:t>
      </w:r>
      <w:r>
        <w:rPr>
          <w:rFonts w:ascii="Arial" w:hAnsi="Arial" w:cs="Arial"/>
        </w:rPr>
        <w:t xml:space="preserve"> rates</w:t>
      </w:r>
      <w:r w:rsidR="002B5F86">
        <w:rPr>
          <w:rFonts w:ascii="Arial" w:hAnsi="Arial" w:cs="Arial"/>
        </w:rPr>
        <w:t>.</w:t>
      </w:r>
      <w:r>
        <w:rPr>
          <w:rFonts w:ascii="Arial" w:hAnsi="Arial" w:cs="Arial"/>
        </w:rPr>
        <w:t xml:space="preserve"> 202</w:t>
      </w:r>
      <w:r w:rsidR="004E514C">
        <w:rPr>
          <w:rFonts w:ascii="Arial" w:hAnsi="Arial" w:cs="Arial"/>
        </w:rPr>
        <w:t>2</w:t>
      </w:r>
      <w:r>
        <w:rPr>
          <w:rFonts w:ascii="Arial" w:hAnsi="Arial" w:cs="Arial"/>
        </w:rPr>
        <w:t xml:space="preserve"> rates </w:t>
      </w:r>
      <w:r w:rsidR="002B5F86">
        <w:rPr>
          <w:rFonts w:ascii="Arial" w:hAnsi="Arial" w:cs="Arial"/>
        </w:rPr>
        <w:t xml:space="preserve">will be </w:t>
      </w:r>
      <w:r>
        <w:rPr>
          <w:rFonts w:ascii="Arial" w:hAnsi="Arial" w:cs="Arial"/>
        </w:rPr>
        <w:t>established following the county’s determination of its rate</w:t>
      </w:r>
      <w:r w:rsidR="002B5F86">
        <w:rPr>
          <w:rFonts w:ascii="Arial" w:hAnsi="Arial" w:cs="Arial"/>
        </w:rPr>
        <w:t xml:space="preserve"> th</w:t>
      </w:r>
      <w:r w:rsidR="00DF4F2D">
        <w:rPr>
          <w:rFonts w:ascii="Arial" w:hAnsi="Arial" w:cs="Arial"/>
        </w:rPr>
        <w:t>r</w:t>
      </w:r>
      <w:r w:rsidR="002B5F86">
        <w:rPr>
          <w:rFonts w:ascii="Arial" w:hAnsi="Arial" w:cs="Arial"/>
        </w:rPr>
        <w:t>ough Proposed Ordinance 2021-0187</w:t>
      </w:r>
      <w:r>
        <w:rPr>
          <w:rFonts w:ascii="Arial" w:hAnsi="Arial" w:cs="Arial"/>
        </w:rPr>
        <w:t>.</w:t>
      </w:r>
    </w:p>
    <w:p w14:paraId="2D0BBB4A" w14:textId="77777777" w:rsidR="00CA6C67" w:rsidRDefault="00CA6C67" w:rsidP="00CA6C67">
      <w:pPr>
        <w:jc w:val="both"/>
        <w:rPr>
          <w:rFonts w:ascii="Arial" w:hAnsi="Arial" w:cs="Arial"/>
        </w:rPr>
      </w:pPr>
    </w:p>
    <w:p w14:paraId="47599396" w14:textId="77777777" w:rsidR="005F02EE" w:rsidRDefault="00CA6C67" w:rsidP="00141E91">
      <w:pPr>
        <w:keepNext/>
        <w:jc w:val="center"/>
        <w:rPr>
          <w:rFonts w:ascii="Arial" w:hAnsi="Arial" w:cs="Arial"/>
          <w:b/>
        </w:rPr>
      </w:pPr>
      <w:r w:rsidRPr="001056A0">
        <w:rPr>
          <w:rFonts w:ascii="Arial" w:hAnsi="Arial" w:cs="Arial"/>
          <w:b/>
        </w:rPr>
        <w:lastRenderedPageBreak/>
        <w:t xml:space="preserve">Table 3. </w:t>
      </w:r>
    </w:p>
    <w:p w14:paraId="361CCF8A" w14:textId="527FAA8C" w:rsidR="00CA6C67" w:rsidRDefault="00CA6C67" w:rsidP="00141E91">
      <w:pPr>
        <w:keepNext/>
        <w:jc w:val="center"/>
        <w:rPr>
          <w:rFonts w:ascii="Arial" w:hAnsi="Arial" w:cs="Arial"/>
          <w:b/>
        </w:rPr>
      </w:pPr>
      <w:r>
        <w:rPr>
          <w:rFonts w:ascii="Arial" w:hAnsi="Arial" w:cs="Arial"/>
          <w:b/>
        </w:rPr>
        <w:t>2020</w:t>
      </w:r>
      <w:r w:rsidRPr="00F106F6">
        <w:rPr>
          <w:rFonts w:ascii="Arial" w:hAnsi="Arial" w:cs="Arial"/>
          <w:b/>
        </w:rPr>
        <w:t xml:space="preserve"> Sewer Rate</w:t>
      </w:r>
      <w:r>
        <w:rPr>
          <w:rFonts w:ascii="Arial" w:hAnsi="Arial" w:cs="Arial"/>
          <w:b/>
        </w:rPr>
        <w:t xml:space="preserve"> (per month) </w:t>
      </w:r>
      <w:r w:rsidRPr="00F106F6">
        <w:rPr>
          <w:rFonts w:ascii="Arial" w:hAnsi="Arial" w:cs="Arial"/>
          <w:b/>
        </w:rPr>
        <w:t>—</w:t>
      </w:r>
      <w:r>
        <w:rPr>
          <w:rFonts w:ascii="Arial" w:hAnsi="Arial" w:cs="Arial"/>
          <w:b/>
        </w:rPr>
        <w:t xml:space="preserve"> </w:t>
      </w:r>
      <w:r w:rsidRPr="00F106F6">
        <w:rPr>
          <w:rFonts w:ascii="Arial" w:hAnsi="Arial" w:cs="Arial"/>
          <w:b/>
        </w:rPr>
        <w:t>Selected Local Partner Jurisdictions</w:t>
      </w:r>
    </w:p>
    <w:p w14:paraId="06BE9A86" w14:textId="77777777" w:rsidR="005F02EE" w:rsidRDefault="005F02EE" w:rsidP="00141E91">
      <w:pPr>
        <w:keepNext/>
        <w:jc w:val="center"/>
        <w:rPr>
          <w:rFonts w:ascii="Arial" w:hAnsi="Arial" w:cs="Arial"/>
        </w:rPr>
      </w:pPr>
    </w:p>
    <w:tbl>
      <w:tblPr>
        <w:tblStyle w:val="TableGrid"/>
        <w:tblW w:w="0" w:type="auto"/>
        <w:jc w:val="center"/>
        <w:tblLook w:val="04A0" w:firstRow="1" w:lastRow="0" w:firstColumn="1" w:lastColumn="0" w:noHBand="0" w:noVBand="1"/>
      </w:tblPr>
      <w:tblGrid>
        <w:gridCol w:w="2005"/>
        <w:gridCol w:w="1479"/>
        <w:gridCol w:w="1516"/>
        <w:gridCol w:w="1630"/>
        <w:gridCol w:w="1920"/>
      </w:tblGrid>
      <w:tr w:rsidR="00CA6C67" w14:paraId="3806101A" w14:textId="77777777" w:rsidTr="00CC0A3D">
        <w:trPr>
          <w:jc w:val="center"/>
        </w:trPr>
        <w:tc>
          <w:tcPr>
            <w:tcW w:w="2005" w:type="dxa"/>
            <w:shd w:val="clear" w:color="auto" w:fill="000000" w:themeFill="text1"/>
          </w:tcPr>
          <w:p w14:paraId="0A52A9D1" w14:textId="77777777" w:rsidR="00CA6C67" w:rsidRPr="00A63FBA" w:rsidRDefault="00CA6C67" w:rsidP="00141E91">
            <w:pPr>
              <w:keepNext/>
              <w:jc w:val="center"/>
              <w:rPr>
                <w:rFonts w:ascii="Arial" w:hAnsi="Arial" w:cs="Arial"/>
                <w:b/>
                <w:sz w:val="22"/>
                <w:szCs w:val="22"/>
              </w:rPr>
            </w:pPr>
            <w:r w:rsidRPr="00A63FBA">
              <w:rPr>
                <w:rFonts w:ascii="Arial" w:hAnsi="Arial" w:cs="Arial"/>
                <w:b/>
                <w:sz w:val="22"/>
                <w:szCs w:val="22"/>
              </w:rPr>
              <w:t>Northshore Utility District</w:t>
            </w:r>
          </w:p>
        </w:tc>
        <w:tc>
          <w:tcPr>
            <w:tcW w:w="1479" w:type="dxa"/>
            <w:shd w:val="clear" w:color="auto" w:fill="000000" w:themeFill="text1"/>
          </w:tcPr>
          <w:p w14:paraId="204971BF" w14:textId="77777777" w:rsidR="00CA6C67" w:rsidRPr="00A63FBA" w:rsidRDefault="00CA6C67" w:rsidP="00141E91">
            <w:pPr>
              <w:keepNext/>
              <w:jc w:val="center"/>
              <w:rPr>
                <w:rFonts w:ascii="Arial" w:hAnsi="Arial" w:cs="Arial"/>
                <w:b/>
                <w:sz w:val="22"/>
                <w:szCs w:val="22"/>
              </w:rPr>
            </w:pPr>
            <w:r w:rsidRPr="00A63FBA">
              <w:rPr>
                <w:rFonts w:ascii="Arial" w:hAnsi="Arial" w:cs="Arial"/>
                <w:b/>
                <w:sz w:val="22"/>
                <w:szCs w:val="22"/>
              </w:rPr>
              <w:t>Renton</w:t>
            </w:r>
          </w:p>
        </w:tc>
        <w:tc>
          <w:tcPr>
            <w:tcW w:w="1516" w:type="dxa"/>
            <w:shd w:val="clear" w:color="auto" w:fill="000000" w:themeFill="text1"/>
          </w:tcPr>
          <w:p w14:paraId="3C9D766B" w14:textId="77777777" w:rsidR="00CA6C67" w:rsidRPr="00A63FBA" w:rsidRDefault="00CA6C67" w:rsidP="00141E91">
            <w:pPr>
              <w:keepNext/>
              <w:jc w:val="center"/>
              <w:rPr>
                <w:rFonts w:ascii="Arial" w:hAnsi="Arial" w:cs="Arial"/>
                <w:b/>
                <w:sz w:val="22"/>
                <w:szCs w:val="22"/>
              </w:rPr>
            </w:pPr>
            <w:r w:rsidRPr="00A63FBA">
              <w:rPr>
                <w:rFonts w:ascii="Arial" w:hAnsi="Arial" w:cs="Arial"/>
                <w:b/>
                <w:sz w:val="22"/>
                <w:szCs w:val="22"/>
              </w:rPr>
              <w:t>Bellevue (variable)</w:t>
            </w:r>
          </w:p>
        </w:tc>
        <w:tc>
          <w:tcPr>
            <w:tcW w:w="1630" w:type="dxa"/>
            <w:shd w:val="clear" w:color="auto" w:fill="000000" w:themeFill="text1"/>
          </w:tcPr>
          <w:p w14:paraId="7FD4AC07" w14:textId="77777777" w:rsidR="00CA6C67" w:rsidRPr="00A63FBA" w:rsidRDefault="00CA6C67" w:rsidP="00141E91">
            <w:pPr>
              <w:keepNext/>
              <w:jc w:val="center"/>
              <w:rPr>
                <w:rFonts w:ascii="Arial" w:hAnsi="Arial" w:cs="Arial"/>
                <w:b/>
                <w:sz w:val="22"/>
                <w:szCs w:val="22"/>
              </w:rPr>
            </w:pPr>
            <w:r w:rsidRPr="00A63FBA">
              <w:rPr>
                <w:rFonts w:ascii="Arial" w:hAnsi="Arial" w:cs="Arial"/>
                <w:b/>
                <w:sz w:val="22"/>
                <w:szCs w:val="22"/>
              </w:rPr>
              <w:t>Sammamish Plateau WSD</w:t>
            </w:r>
          </w:p>
        </w:tc>
        <w:tc>
          <w:tcPr>
            <w:tcW w:w="1920" w:type="dxa"/>
            <w:shd w:val="clear" w:color="auto" w:fill="000000" w:themeFill="text1"/>
          </w:tcPr>
          <w:p w14:paraId="1CD87B7C" w14:textId="77777777" w:rsidR="00CA6C67" w:rsidRPr="00A63FBA" w:rsidRDefault="00CA6C67" w:rsidP="00141E91">
            <w:pPr>
              <w:keepNext/>
              <w:jc w:val="center"/>
              <w:rPr>
                <w:rFonts w:ascii="Arial" w:hAnsi="Arial" w:cs="Arial"/>
                <w:b/>
                <w:sz w:val="22"/>
                <w:szCs w:val="22"/>
              </w:rPr>
            </w:pPr>
            <w:proofErr w:type="spellStart"/>
            <w:r w:rsidRPr="00A63FBA">
              <w:rPr>
                <w:rFonts w:ascii="Arial" w:hAnsi="Arial" w:cs="Arial"/>
                <w:b/>
                <w:sz w:val="22"/>
                <w:szCs w:val="22"/>
              </w:rPr>
              <w:t>Soos</w:t>
            </w:r>
            <w:proofErr w:type="spellEnd"/>
            <w:r w:rsidRPr="00A63FBA">
              <w:rPr>
                <w:rFonts w:ascii="Arial" w:hAnsi="Arial" w:cs="Arial"/>
                <w:b/>
                <w:sz w:val="22"/>
                <w:szCs w:val="22"/>
              </w:rPr>
              <w:t xml:space="preserve"> Creek WSD</w:t>
            </w:r>
          </w:p>
        </w:tc>
      </w:tr>
      <w:tr w:rsidR="00CA6C67" w14:paraId="10B946FF" w14:textId="77777777" w:rsidTr="00CC0A3D">
        <w:trPr>
          <w:jc w:val="center"/>
        </w:trPr>
        <w:tc>
          <w:tcPr>
            <w:tcW w:w="2005" w:type="dxa"/>
          </w:tcPr>
          <w:p w14:paraId="5BA476EE" w14:textId="77777777" w:rsidR="00CA6C67" w:rsidRPr="00D93E75" w:rsidRDefault="00CA6C67" w:rsidP="00141E91">
            <w:pPr>
              <w:keepNext/>
              <w:jc w:val="center"/>
              <w:rPr>
                <w:rFonts w:ascii="Arial" w:hAnsi="Arial" w:cs="Arial"/>
                <w:szCs w:val="24"/>
              </w:rPr>
            </w:pPr>
            <w:r w:rsidRPr="00D93E75">
              <w:rPr>
                <w:rFonts w:ascii="Arial" w:hAnsi="Arial" w:cs="Arial"/>
                <w:szCs w:val="24"/>
              </w:rPr>
              <w:t>$</w:t>
            </w:r>
            <w:r>
              <w:rPr>
                <w:rFonts w:ascii="Arial" w:hAnsi="Arial" w:cs="Arial"/>
                <w:szCs w:val="24"/>
              </w:rPr>
              <w:t>14.59</w:t>
            </w:r>
          </w:p>
        </w:tc>
        <w:tc>
          <w:tcPr>
            <w:tcW w:w="1479" w:type="dxa"/>
          </w:tcPr>
          <w:p w14:paraId="4F737F39" w14:textId="2272CCAC" w:rsidR="00CA6C67" w:rsidRPr="00D93E75" w:rsidRDefault="00CA6C67" w:rsidP="00141E91">
            <w:pPr>
              <w:keepNext/>
              <w:jc w:val="center"/>
              <w:rPr>
                <w:rFonts w:ascii="Arial" w:hAnsi="Arial" w:cs="Arial"/>
                <w:szCs w:val="24"/>
              </w:rPr>
            </w:pPr>
            <w:r>
              <w:rPr>
                <w:rFonts w:ascii="Arial" w:hAnsi="Arial" w:cs="Arial"/>
                <w:szCs w:val="24"/>
              </w:rPr>
              <w:t>$31.</w:t>
            </w:r>
            <w:r w:rsidR="00FA34E8">
              <w:rPr>
                <w:rFonts w:ascii="Arial" w:hAnsi="Arial" w:cs="Arial"/>
                <w:szCs w:val="24"/>
              </w:rPr>
              <w:t>12</w:t>
            </w:r>
          </w:p>
        </w:tc>
        <w:tc>
          <w:tcPr>
            <w:tcW w:w="1516" w:type="dxa"/>
          </w:tcPr>
          <w:p w14:paraId="1CE483BA" w14:textId="2A86B146" w:rsidR="00CA6C67" w:rsidRPr="00D93E75" w:rsidRDefault="00CA6C67" w:rsidP="00141E91">
            <w:pPr>
              <w:keepNext/>
              <w:jc w:val="center"/>
              <w:rPr>
                <w:rFonts w:ascii="Arial" w:hAnsi="Arial" w:cs="Arial"/>
                <w:szCs w:val="24"/>
              </w:rPr>
            </w:pPr>
            <w:r w:rsidRPr="00D93E75">
              <w:rPr>
                <w:rFonts w:ascii="Arial" w:hAnsi="Arial" w:cs="Arial"/>
                <w:szCs w:val="24"/>
              </w:rPr>
              <w:t>$</w:t>
            </w:r>
            <w:r>
              <w:rPr>
                <w:rFonts w:ascii="Arial" w:hAnsi="Arial" w:cs="Arial"/>
                <w:szCs w:val="24"/>
              </w:rPr>
              <w:t>3</w:t>
            </w:r>
            <w:r w:rsidR="0037234A">
              <w:rPr>
                <w:rFonts w:ascii="Arial" w:hAnsi="Arial" w:cs="Arial"/>
                <w:szCs w:val="24"/>
              </w:rPr>
              <w:t>6.97</w:t>
            </w:r>
          </w:p>
        </w:tc>
        <w:tc>
          <w:tcPr>
            <w:tcW w:w="1630" w:type="dxa"/>
          </w:tcPr>
          <w:p w14:paraId="059E3E21" w14:textId="7284C6BA" w:rsidR="00CA6C67" w:rsidRPr="00D93E75" w:rsidRDefault="00CA6C67" w:rsidP="00141E91">
            <w:pPr>
              <w:keepNext/>
              <w:jc w:val="center"/>
              <w:rPr>
                <w:rFonts w:ascii="Arial" w:hAnsi="Arial" w:cs="Arial"/>
                <w:szCs w:val="24"/>
              </w:rPr>
            </w:pPr>
            <w:r>
              <w:rPr>
                <w:rFonts w:ascii="Arial" w:hAnsi="Arial" w:cs="Arial"/>
                <w:szCs w:val="24"/>
              </w:rPr>
              <w:t>$3</w:t>
            </w:r>
            <w:r w:rsidR="00FD3B3F">
              <w:rPr>
                <w:rFonts w:ascii="Arial" w:hAnsi="Arial" w:cs="Arial"/>
                <w:szCs w:val="24"/>
              </w:rPr>
              <w:t>7.96</w:t>
            </w:r>
          </w:p>
        </w:tc>
        <w:tc>
          <w:tcPr>
            <w:tcW w:w="1920" w:type="dxa"/>
          </w:tcPr>
          <w:p w14:paraId="22C23D60" w14:textId="0020080A" w:rsidR="00CA6C67" w:rsidRPr="00D93E75" w:rsidRDefault="00CA6C67" w:rsidP="00141E91">
            <w:pPr>
              <w:keepNext/>
              <w:jc w:val="center"/>
              <w:rPr>
                <w:rFonts w:ascii="Arial" w:hAnsi="Arial" w:cs="Arial"/>
                <w:szCs w:val="24"/>
              </w:rPr>
            </w:pPr>
            <w:r>
              <w:rPr>
                <w:rFonts w:ascii="Arial" w:hAnsi="Arial" w:cs="Arial"/>
                <w:szCs w:val="24"/>
              </w:rPr>
              <w:t>$1</w:t>
            </w:r>
            <w:r w:rsidR="00FA34E8">
              <w:rPr>
                <w:rFonts w:ascii="Arial" w:hAnsi="Arial" w:cs="Arial"/>
                <w:szCs w:val="24"/>
              </w:rPr>
              <w:t>9.13</w:t>
            </w:r>
          </w:p>
        </w:tc>
      </w:tr>
    </w:tbl>
    <w:p w14:paraId="2EE5642D" w14:textId="77777777" w:rsidR="00CA6C67" w:rsidRDefault="00CA6C67" w:rsidP="00CA6C67">
      <w:pPr>
        <w:jc w:val="both"/>
        <w:rPr>
          <w:rFonts w:ascii="Arial" w:hAnsi="Arial" w:cs="Arial"/>
        </w:rPr>
      </w:pPr>
    </w:p>
    <w:p w14:paraId="722A0401" w14:textId="77777777" w:rsidR="002B5F86" w:rsidRDefault="002B5F86" w:rsidP="003F5297">
      <w:pPr>
        <w:spacing w:line="264" w:lineRule="auto"/>
        <w:jc w:val="both"/>
        <w:rPr>
          <w:rFonts w:ascii="Arial" w:hAnsi="Arial" w:cs="Arial"/>
        </w:rPr>
      </w:pPr>
    </w:p>
    <w:p w14:paraId="3140ED63" w14:textId="4F74788B" w:rsidR="00CA6C67" w:rsidRDefault="00CA6C67" w:rsidP="003F5297">
      <w:pPr>
        <w:spacing w:line="264" w:lineRule="auto"/>
        <w:jc w:val="both"/>
        <w:rPr>
          <w:rFonts w:ascii="Arial" w:hAnsi="Arial" w:cs="Arial"/>
        </w:rPr>
      </w:pPr>
      <w:r>
        <w:rPr>
          <w:rFonts w:ascii="Arial" w:hAnsi="Arial" w:cs="Arial"/>
        </w:rPr>
        <w:t xml:space="preserve">A given ratepayer, depending on jurisdiction, water usage, </w:t>
      </w:r>
      <w:proofErr w:type="gramStart"/>
      <w:r>
        <w:rPr>
          <w:rFonts w:ascii="Arial" w:hAnsi="Arial" w:cs="Arial"/>
        </w:rPr>
        <w:t>application</w:t>
      </w:r>
      <w:proofErr w:type="gramEnd"/>
      <w:r>
        <w:rPr>
          <w:rFonts w:ascii="Arial" w:hAnsi="Arial" w:cs="Arial"/>
        </w:rPr>
        <w:t xml:space="preserve"> or non-application of a local connection charge, may pay a local sewer rate that varies substantially from case to case.  For illustrative purposes, if the $3</w:t>
      </w:r>
      <w:r w:rsidR="00C75214">
        <w:rPr>
          <w:rFonts w:ascii="Arial" w:hAnsi="Arial" w:cs="Arial"/>
        </w:rPr>
        <w:t>1</w:t>
      </w:r>
      <w:r>
        <w:rPr>
          <w:rFonts w:ascii="Arial" w:hAnsi="Arial" w:cs="Arial"/>
        </w:rPr>
        <w:t>.</w:t>
      </w:r>
      <w:r w:rsidR="00C75214">
        <w:rPr>
          <w:rFonts w:ascii="Arial" w:hAnsi="Arial" w:cs="Arial"/>
        </w:rPr>
        <w:t>12</w:t>
      </w:r>
      <w:r>
        <w:rPr>
          <w:rFonts w:ascii="Arial" w:hAnsi="Arial" w:cs="Arial"/>
        </w:rPr>
        <w:t xml:space="preserve"> Renton local charge identified above were added to the county’s 202</w:t>
      </w:r>
      <w:r w:rsidR="00C75214">
        <w:rPr>
          <w:rFonts w:ascii="Arial" w:hAnsi="Arial" w:cs="Arial"/>
        </w:rPr>
        <w:t>1</w:t>
      </w:r>
      <w:r>
        <w:rPr>
          <w:rFonts w:ascii="Arial" w:hAnsi="Arial" w:cs="Arial"/>
        </w:rPr>
        <w:t xml:space="preserve"> rate of $4</w:t>
      </w:r>
      <w:r w:rsidR="00613256">
        <w:rPr>
          <w:rFonts w:ascii="Arial" w:hAnsi="Arial" w:cs="Arial"/>
        </w:rPr>
        <w:t>7</w:t>
      </w:r>
      <w:r w:rsidR="004E514C">
        <w:rPr>
          <w:rFonts w:ascii="Arial" w:hAnsi="Arial" w:cs="Arial"/>
        </w:rPr>
        <w:t>.</w:t>
      </w:r>
      <w:r w:rsidR="00613256">
        <w:rPr>
          <w:rFonts w:ascii="Arial" w:hAnsi="Arial" w:cs="Arial"/>
        </w:rPr>
        <w:t>3</w:t>
      </w:r>
      <w:r w:rsidR="004E514C">
        <w:rPr>
          <w:rFonts w:ascii="Arial" w:hAnsi="Arial" w:cs="Arial"/>
        </w:rPr>
        <w:t>7</w:t>
      </w:r>
      <w:r>
        <w:rPr>
          <w:rFonts w:ascii="Arial" w:hAnsi="Arial" w:cs="Arial"/>
        </w:rPr>
        <w:t>, the ratepayer would be paying $7</w:t>
      </w:r>
      <w:r w:rsidR="00FB226F">
        <w:rPr>
          <w:rFonts w:ascii="Arial" w:hAnsi="Arial" w:cs="Arial"/>
        </w:rPr>
        <w:t>8</w:t>
      </w:r>
      <w:r>
        <w:rPr>
          <w:rFonts w:ascii="Arial" w:hAnsi="Arial" w:cs="Arial"/>
        </w:rPr>
        <w:t>.</w:t>
      </w:r>
      <w:r w:rsidR="00583FBA">
        <w:rPr>
          <w:rFonts w:ascii="Arial" w:hAnsi="Arial" w:cs="Arial"/>
        </w:rPr>
        <w:t>49</w:t>
      </w:r>
      <w:r>
        <w:rPr>
          <w:rFonts w:ascii="Arial" w:hAnsi="Arial" w:cs="Arial"/>
        </w:rPr>
        <w:t>/mo</w:t>
      </w:r>
      <w:r w:rsidR="00E34789">
        <w:rPr>
          <w:rFonts w:ascii="Arial" w:hAnsi="Arial" w:cs="Arial"/>
        </w:rPr>
        <w:t>.</w:t>
      </w:r>
      <w:r>
        <w:rPr>
          <w:rFonts w:ascii="Arial" w:hAnsi="Arial" w:cs="Arial"/>
        </w:rPr>
        <w:t xml:space="preserve"> (collected by the city; county’s portion is passed through to the county).  </w:t>
      </w:r>
      <w:r w:rsidR="00E34789">
        <w:rPr>
          <w:rFonts w:ascii="Arial" w:hAnsi="Arial" w:cs="Arial"/>
        </w:rPr>
        <w:t xml:space="preserve">In addition, if </w:t>
      </w:r>
      <w:r>
        <w:rPr>
          <w:rFonts w:ascii="Arial" w:hAnsi="Arial" w:cs="Arial"/>
        </w:rPr>
        <w:t>that ratepayer had connected to the system in 202</w:t>
      </w:r>
      <w:r w:rsidR="008C0B45">
        <w:rPr>
          <w:rFonts w:ascii="Arial" w:hAnsi="Arial" w:cs="Arial"/>
        </w:rPr>
        <w:t>1</w:t>
      </w:r>
      <w:r>
        <w:rPr>
          <w:rFonts w:ascii="Arial" w:hAnsi="Arial" w:cs="Arial"/>
        </w:rPr>
        <w:t>, and selected to pay the monthly rate rather than the full up-front cost</w:t>
      </w:r>
      <w:r w:rsidR="00E34789">
        <w:rPr>
          <w:rFonts w:ascii="Arial" w:hAnsi="Arial" w:cs="Arial"/>
        </w:rPr>
        <w:t xml:space="preserve"> of the capacity charge</w:t>
      </w:r>
      <w:r>
        <w:rPr>
          <w:rFonts w:ascii="Arial" w:hAnsi="Arial" w:cs="Arial"/>
        </w:rPr>
        <w:t>, that ratepayer would be paying an additional $6</w:t>
      </w:r>
      <w:r w:rsidR="008D6787">
        <w:rPr>
          <w:rFonts w:ascii="Arial" w:hAnsi="Arial" w:cs="Arial"/>
        </w:rPr>
        <w:t>8</w:t>
      </w:r>
      <w:r>
        <w:rPr>
          <w:rFonts w:ascii="Arial" w:hAnsi="Arial" w:cs="Arial"/>
        </w:rPr>
        <w:t>.3</w:t>
      </w:r>
      <w:r w:rsidR="008D6787">
        <w:rPr>
          <w:rFonts w:ascii="Arial" w:hAnsi="Arial" w:cs="Arial"/>
        </w:rPr>
        <w:t>4</w:t>
      </w:r>
      <w:r>
        <w:rPr>
          <w:rFonts w:ascii="Arial" w:hAnsi="Arial" w:cs="Arial"/>
        </w:rPr>
        <w:t xml:space="preserve">/mo. </w:t>
      </w:r>
      <w:r w:rsidR="00E34789">
        <w:rPr>
          <w:rFonts w:ascii="Arial" w:hAnsi="Arial" w:cs="Arial"/>
        </w:rPr>
        <w:t xml:space="preserve">for the capacity charge  which would  be </w:t>
      </w:r>
      <w:r>
        <w:rPr>
          <w:rFonts w:ascii="Arial" w:hAnsi="Arial" w:cs="Arial"/>
        </w:rPr>
        <w:t>paid directly to the county</w:t>
      </w:r>
      <w:r w:rsidR="00E34789">
        <w:rPr>
          <w:rFonts w:ascii="Arial" w:hAnsi="Arial" w:cs="Arial"/>
        </w:rPr>
        <w:t xml:space="preserve">.  The total cost for the Renton ratepayer would be </w:t>
      </w:r>
      <w:r>
        <w:rPr>
          <w:rFonts w:ascii="Arial" w:hAnsi="Arial" w:cs="Arial"/>
        </w:rPr>
        <w:t>$14</w:t>
      </w:r>
      <w:r w:rsidR="008D6787">
        <w:rPr>
          <w:rFonts w:ascii="Arial" w:hAnsi="Arial" w:cs="Arial"/>
        </w:rPr>
        <w:t>6</w:t>
      </w:r>
      <w:r>
        <w:rPr>
          <w:rFonts w:ascii="Arial" w:hAnsi="Arial" w:cs="Arial"/>
        </w:rPr>
        <w:t>.</w:t>
      </w:r>
      <w:r w:rsidR="0031092A">
        <w:rPr>
          <w:rFonts w:ascii="Arial" w:hAnsi="Arial" w:cs="Arial"/>
        </w:rPr>
        <w:t>83</w:t>
      </w:r>
      <w:r>
        <w:rPr>
          <w:rFonts w:ascii="Arial" w:hAnsi="Arial" w:cs="Arial"/>
        </w:rPr>
        <w:t>/mo.</w:t>
      </w:r>
      <w:r w:rsidR="00E34789">
        <w:rPr>
          <w:rFonts w:ascii="Arial" w:hAnsi="Arial" w:cs="Arial"/>
        </w:rPr>
        <w:t xml:space="preserve"> for both the sewer rat</w:t>
      </w:r>
      <w:r w:rsidR="00141E91">
        <w:rPr>
          <w:rFonts w:ascii="Arial" w:hAnsi="Arial" w:cs="Arial"/>
        </w:rPr>
        <w:t>e</w:t>
      </w:r>
      <w:r w:rsidR="00E34789">
        <w:rPr>
          <w:rFonts w:ascii="Arial" w:hAnsi="Arial" w:cs="Arial"/>
        </w:rPr>
        <w:t xml:space="preserve"> and capacity charge.</w:t>
      </w:r>
    </w:p>
    <w:p w14:paraId="22DFBD0B" w14:textId="77777777" w:rsidR="00CA6C67" w:rsidRDefault="00CA6C67" w:rsidP="003F5297">
      <w:pPr>
        <w:spacing w:line="264" w:lineRule="auto"/>
        <w:jc w:val="both"/>
        <w:rPr>
          <w:rFonts w:ascii="Arial" w:hAnsi="Arial" w:cs="Arial"/>
        </w:rPr>
      </w:pPr>
    </w:p>
    <w:p w14:paraId="7C640CCF" w14:textId="54DF8080" w:rsidR="00CA6C67" w:rsidRDefault="00CA6C67" w:rsidP="003F5297">
      <w:pPr>
        <w:spacing w:line="264" w:lineRule="auto"/>
        <w:jc w:val="both"/>
        <w:rPr>
          <w:rFonts w:ascii="Arial" w:hAnsi="Arial" w:cs="Arial"/>
          <w:b/>
          <w:u w:val="single"/>
        </w:rPr>
      </w:pPr>
      <w:r w:rsidRPr="00C6218C">
        <w:rPr>
          <w:rFonts w:ascii="Arial" w:hAnsi="Arial" w:cs="Arial"/>
          <w:b/>
          <w:u w:val="single"/>
        </w:rPr>
        <w:t>ANALYSIS</w:t>
      </w:r>
    </w:p>
    <w:p w14:paraId="1D518725" w14:textId="5A38DA0E" w:rsidR="000E67DE" w:rsidRDefault="000E67DE" w:rsidP="003F5297">
      <w:pPr>
        <w:spacing w:line="264" w:lineRule="auto"/>
        <w:jc w:val="both"/>
        <w:rPr>
          <w:rFonts w:ascii="Arial" w:hAnsi="Arial" w:cs="Arial"/>
          <w:b/>
          <w:u w:val="single"/>
        </w:rPr>
      </w:pPr>
    </w:p>
    <w:p w14:paraId="62EE0BF2" w14:textId="424142F7" w:rsidR="00CA6C67" w:rsidRPr="00F247AD" w:rsidRDefault="00CA6C67" w:rsidP="003F5297">
      <w:pPr>
        <w:spacing w:line="264" w:lineRule="auto"/>
        <w:jc w:val="both"/>
        <w:rPr>
          <w:rFonts w:ascii="Arial" w:hAnsi="Arial" w:cs="Arial"/>
          <w:b/>
          <w:i/>
        </w:rPr>
      </w:pPr>
      <w:r w:rsidRPr="00141E91">
        <w:rPr>
          <w:rFonts w:ascii="Arial" w:hAnsi="Arial" w:cs="Arial"/>
          <w:b/>
          <w:iCs/>
        </w:rPr>
        <w:t>Operating Revenues</w:t>
      </w:r>
      <w:r w:rsidR="00F247AD" w:rsidRPr="00141E91">
        <w:rPr>
          <w:rFonts w:ascii="Arial" w:hAnsi="Arial" w:cs="Arial"/>
          <w:b/>
          <w:iCs/>
        </w:rPr>
        <w:t>.</w:t>
      </w:r>
      <w:r w:rsidR="00F247AD">
        <w:rPr>
          <w:rFonts w:ascii="Arial" w:hAnsi="Arial" w:cs="Arial"/>
          <w:b/>
          <w:i/>
        </w:rPr>
        <w:t xml:space="preserve">  </w:t>
      </w:r>
      <w:r w:rsidRPr="00C133DF">
        <w:rPr>
          <w:rFonts w:ascii="Arial" w:hAnsi="Arial" w:cs="Arial"/>
        </w:rPr>
        <w:t xml:space="preserve">According to the </w:t>
      </w:r>
      <w:r w:rsidR="006D4266" w:rsidRPr="00C133DF">
        <w:rPr>
          <w:rFonts w:ascii="Arial" w:hAnsi="Arial" w:cs="Arial"/>
        </w:rPr>
        <w:t xml:space="preserve">Technical </w:t>
      </w:r>
      <w:r w:rsidR="005B2B7A">
        <w:rPr>
          <w:rFonts w:ascii="Arial" w:hAnsi="Arial" w:cs="Arial"/>
        </w:rPr>
        <w:t>Memo</w:t>
      </w:r>
      <w:r w:rsidRPr="00C133DF">
        <w:rPr>
          <w:rFonts w:ascii="Arial" w:hAnsi="Arial" w:cs="Arial"/>
        </w:rPr>
        <w:t xml:space="preserve"> accompanying the transmittal (Attachment </w:t>
      </w:r>
      <w:r w:rsidR="00F247AD">
        <w:rPr>
          <w:rFonts w:ascii="Arial" w:hAnsi="Arial" w:cs="Arial"/>
        </w:rPr>
        <w:t>5</w:t>
      </w:r>
      <w:r w:rsidRPr="00C133DF">
        <w:rPr>
          <w:rFonts w:ascii="Arial" w:hAnsi="Arial" w:cs="Arial"/>
        </w:rPr>
        <w:t>), 202</w:t>
      </w:r>
      <w:r w:rsidR="00F36944">
        <w:rPr>
          <w:rFonts w:ascii="Arial" w:hAnsi="Arial" w:cs="Arial"/>
        </w:rPr>
        <w:t>2</w:t>
      </w:r>
      <w:r w:rsidRPr="00C133DF">
        <w:rPr>
          <w:rFonts w:ascii="Arial" w:hAnsi="Arial" w:cs="Arial"/>
        </w:rPr>
        <w:t xml:space="preserve"> operating revenues are projected at $5</w:t>
      </w:r>
      <w:r w:rsidR="006278A1">
        <w:rPr>
          <w:rFonts w:ascii="Arial" w:hAnsi="Arial" w:cs="Arial"/>
        </w:rPr>
        <w:t>49</w:t>
      </w:r>
      <w:r w:rsidRPr="00C133DF">
        <w:rPr>
          <w:rFonts w:ascii="Arial" w:hAnsi="Arial" w:cs="Arial"/>
        </w:rPr>
        <w:t>.3 million, $</w:t>
      </w:r>
      <w:r w:rsidR="007F6E18">
        <w:rPr>
          <w:rFonts w:ascii="Arial" w:hAnsi="Arial" w:cs="Arial"/>
        </w:rPr>
        <w:t>16</w:t>
      </w:r>
      <w:r w:rsidRPr="00C133DF">
        <w:rPr>
          <w:rFonts w:ascii="Arial" w:hAnsi="Arial" w:cs="Arial"/>
        </w:rPr>
        <w:t>.</w:t>
      </w:r>
      <w:r w:rsidR="007F6E18">
        <w:rPr>
          <w:rFonts w:ascii="Arial" w:hAnsi="Arial" w:cs="Arial"/>
        </w:rPr>
        <w:t>2</w:t>
      </w:r>
      <w:r w:rsidRPr="00C133DF">
        <w:rPr>
          <w:rFonts w:ascii="Arial" w:hAnsi="Arial" w:cs="Arial"/>
        </w:rPr>
        <w:t xml:space="preserve"> million (</w:t>
      </w:r>
      <w:r w:rsidR="0045071E">
        <w:rPr>
          <w:rFonts w:ascii="Arial" w:hAnsi="Arial" w:cs="Arial"/>
        </w:rPr>
        <w:t>3</w:t>
      </w:r>
      <w:r w:rsidRPr="00C133DF">
        <w:rPr>
          <w:rFonts w:ascii="Arial" w:hAnsi="Arial" w:cs="Arial"/>
        </w:rPr>
        <w:t>.</w:t>
      </w:r>
      <w:r w:rsidR="0045071E">
        <w:rPr>
          <w:rFonts w:ascii="Arial" w:hAnsi="Arial" w:cs="Arial"/>
        </w:rPr>
        <w:t>0</w:t>
      </w:r>
      <w:r w:rsidRPr="00C133DF">
        <w:rPr>
          <w:rFonts w:ascii="Arial" w:hAnsi="Arial" w:cs="Arial"/>
        </w:rPr>
        <w:t>%) more than 202</w:t>
      </w:r>
      <w:r w:rsidR="0045071E">
        <w:rPr>
          <w:rFonts w:ascii="Arial" w:hAnsi="Arial" w:cs="Arial"/>
        </w:rPr>
        <w:t>1</w:t>
      </w:r>
      <w:r w:rsidRPr="00C133DF">
        <w:rPr>
          <w:rFonts w:ascii="Arial" w:hAnsi="Arial" w:cs="Arial"/>
        </w:rPr>
        <w:t xml:space="preserve"> operating revenues.  Increases in sewer rate revenue of $</w:t>
      </w:r>
      <w:r w:rsidR="00CE0AB9">
        <w:rPr>
          <w:rFonts w:ascii="Arial" w:hAnsi="Arial" w:cs="Arial"/>
        </w:rPr>
        <w:t>16</w:t>
      </w:r>
      <w:r w:rsidRPr="00C133DF">
        <w:rPr>
          <w:rFonts w:ascii="Arial" w:hAnsi="Arial" w:cs="Arial"/>
        </w:rPr>
        <w:t>.</w:t>
      </w:r>
      <w:r w:rsidR="00CE0AB9">
        <w:rPr>
          <w:rFonts w:ascii="Arial" w:hAnsi="Arial" w:cs="Arial"/>
        </w:rPr>
        <w:t>3</w:t>
      </w:r>
      <w:r w:rsidRPr="00C133DF">
        <w:rPr>
          <w:rFonts w:ascii="Arial" w:hAnsi="Arial" w:cs="Arial"/>
        </w:rPr>
        <w:t xml:space="preserve"> million are associated with the proposed 202</w:t>
      </w:r>
      <w:r w:rsidR="00CE0AB9">
        <w:rPr>
          <w:rFonts w:ascii="Arial" w:hAnsi="Arial" w:cs="Arial"/>
        </w:rPr>
        <w:t>2</w:t>
      </w:r>
      <w:r w:rsidRPr="00C133DF">
        <w:rPr>
          <w:rFonts w:ascii="Arial" w:hAnsi="Arial" w:cs="Arial"/>
        </w:rPr>
        <w:t xml:space="preserve"> sewer rate increase of 4.</w:t>
      </w:r>
      <w:r w:rsidR="006A6B0F">
        <w:rPr>
          <w:rFonts w:ascii="Arial" w:hAnsi="Arial" w:cs="Arial"/>
        </w:rPr>
        <w:t>0</w:t>
      </w:r>
      <w:r w:rsidRPr="00C133DF">
        <w:rPr>
          <w:rFonts w:ascii="Arial" w:hAnsi="Arial" w:cs="Arial"/>
        </w:rPr>
        <w:t xml:space="preserve">%, and with </w:t>
      </w:r>
      <w:r w:rsidR="00BC05AD">
        <w:rPr>
          <w:rFonts w:ascii="Arial" w:hAnsi="Arial" w:cs="Arial"/>
        </w:rPr>
        <w:t>RCE forecasts.</w:t>
      </w:r>
      <w:r w:rsidRPr="00C133DF">
        <w:rPr>
          <w:rFonts w:ascii="Arial" w:hAnsi="Arial" w:cs="Arial"/>
        </w:rPr>
        <w:t xml:space="preserve"> Table 4 provides a summary of all revenues to support Wastewater operations and capital.</w:t>
      </w:r>
    </w:p>
    <w:p w14:paraId="2CB2C371" w14:textId="77777777" w:rsidR="00F247AD" w:rsidRDefault="00F247AD" w:rsidP="00F247AD">
      <w:pPr>
        <w:jc w:val="center"/>
        <w:rPr>
          <w:rFonts w:ascii="Arial" w:hAnsi="Arial" w:cs="Arial"/>
          <w:b/>
          <w:bCs/>
          <w:color w:val="000000"/>
          <w:szCs w:val="24"/>
        </w:rPr>
      </w:pPr>
      <w:r w:rsidRPr="00C3169C">
        <w:rPr>
          <w:rFonts w:ascii="Arial" w:hAnsi="Arial" w:cs="Arial"/>
          <w:b/>
          <w:bCs/>
          <w:color w:val="000000"/>
          <w:szCs w:val="24"/>
        </w:rPr>
        <w:t xml:space="preserve">Table 4. </w:t>
      </w:r>
    </w:p>
    <w:p w14:paraId="3224CD98" w14:textId="4088A960" w:rsidR="00CA6C67" w:rsidRDefault="00F247AD" w:rsidP="00F247AD">
      <w:pPr>
        <w:jc w:val="center"/>
        <w:rPr>
          <w:rFonts w:ascii="Arial" w:hAnsi="Arial" w:cs="Arial"/>
          <w:b/>
          <w:bCs/>
          <w:color w:val="000000"/>
          <w:szCs w:val="24"/>
        </w:rPr>
      </w:pPr>
      <w:r w:rsidRPr="00C3169C">
        <w:rPr>
          <w:rFonts w:ascii="Arial" w:hAnsi="Arial" w:cs="Arial"/>
          <w:b/>
          <w:bCs/>
          <w:color w:val="000000"/>
          <w:szCs w:val="24"/>
        </w:rPr>
        <w:t>Revenues Supporting Wastewater Operations and Capital (in $</w:t>
      </w:r>
      <w:r>
        <w:rPr>
          <w:rFonts w:ascii="Arial" w:hAnsi="Arial" w:cs="Arial"/>
          <w:b/>
          <w:bCs/>
          <w:color w:val="000000"/>
          <w:szCs w:val="24"/>
        </w:rPr>
        <w:t xml:space="preserve"> </w:t>
      </w:r>
      <w:r w:rsidRPr="00C3169C">
        <w:rPr>
          <w:rFonts w:ascii="Arial" w:hAnsi="Arial" w:cs="Arial"/>
          <w:b/>
          <w:bCs/>
          <w:color w:val="000000"/>
          <w:szCs w:val="24"/>
        </w:rPr>
        <w:t>millions)</w:t>
      </w:r>
    </w:p>
    <w:p w14:paraId="55D6A6CF" w14:textId="77777777" w:rsidR="00F247AD" w:rsidRDefault="00F247AD" w:rsidP="00141E91">
      <w:pPr>
        <w:jc w:val="center"/>
        <w:rPr>
          <w:rFonts w:ascii="Arial" w:hAnsi="Arial" w:cs="Arial"/>
        </w:rPr>
      </w:pPr>
    </w:p>
    <w:tbl>
      <w:tblPr>
        <w:tblW w:w="9540" w:type="dxa"/>
        <w:tblLook w:val="04A0" w:firstRow="1" w:lastRow="0" w:firstColumn="1" w:lastColumn="0" w:noHBand="0" w:noVBand="1"/>
      </w:tblPr>
      <w:tblGrid>
        <w:gridCol w:w="2070"/>
        <w:gridCol w:w="1260"/>
        <w:gridCol w:w="1260"/>
        <w:gridCol w:w="1340"/>
        <w:gridCol w:w="1170"/>
        <w:gridCol w:w="1260"/>
        <w:gridCol w:w="1180"/>
      </w:tblGrid>
      <w:tr w:rsidR="003603CB" w:rsidRPr="00C3169C" w14:paraId="26D5A615" w14:textId="77777777" w:rsidTr="004F6DFE">
        <w:trPr>
          <w:trHeight w:val="520"/>
        </w:trPr>
        <w:tc>
          <w:tcPr>
            <w:tcW w:w="2070" w:type="dxa"/>
            <w:tcBorders>
              <w:top w:val="single" w:sz="8" w:space="0" w:color="auto"/>
              <w:left w:val="single" w:sz="8" w:space="0" w:color="auto"/>
              <w:bottom w:val="nil"/>
              <w:right w:val="single" w:sz="8" w:space="0" w:color="auto"/>
            </w:tcBorders>
            <w:shd w:val="clear" w:color="000000" w:fill="000000"/>
            <w:vAlign w:val="center"/>
            <w:hideMark/>
          </w:tcPr>
          <w:p w14:paraId="6BEDD05C" w14:textId="67FF221A" w:rsidR="00C3169C" w:rsidRPr="00C3169C" w:rsidRDefault="00C3169C" w:rsidP="00141E91">
            <w:pPr>
              <w:spacing w:after="160" w:line="259" w:lineRule="auto"/>
              <w:rPr>
                <w:rFonts w:ascii="Arial" w:hAnsi="Arial" w:cs="Arial"/>
                <w:b/>
                <w:bCs/>
                <w:color w:val="FFFFFF"/>
                <w:sz w:val="20"/>
              </w:rPr>
            </w:pPr>
          </w:p>
        </w:tc>
        <w:tc>
          <w:tcPr>
            <w:tcW w:w="1260" w:type="dxa"/>
            <w:tcBorders>
              <w:top w:val="single" w:sz="8" w:space="0" w:color="auto"/>
              <w:left w:val="nil"/>
              <w:bottom w:val="nil"/>
              <w:right w:val="single" w:sz="8" w:space="0" w:color="auto"/>
            </w:tcBorders>
            <w:shd w:val="clear" w:color="000000" w:fill="000000"/>
            <w:vAlign w:val="center"/>
            <w:hideMark/>
          </w:tcPr>
          <w:p w14:paraId="1D5F56A1" w14:textId="77777777" w:rsidR="00C3169C" w:rsidRPr="00C3169C" w:rsidRDefault="00C3169C" w:rsidP="003E7B09">
            <w:pPr>
              <w:jc w:val="center"/>
              <w:rPr>
                <w:rFonts w:ascii="Arial" w:hAnsi="Arial" w:cs="Arial"/>
                <w:b/>
                <w:bCs/>
                <w:color w:val="FFFFFF"/>
                <w:sz w:val="20"/>
              </w:rPr>
            </w:pPr>
            <w:r w:rsidRPr="00C3169C">
              <w:rPr>
                <w:rFonts w:ascii="Arial" w:hAnsi="Arial" w:cs="Arial"/>
                <w:b/>
                <w:bCs/>
                <w:color w:val="FFFFFF"/>
                <w:sz w:val="20"/>
              </w:rPr>
              <w:t>2021 Forecast</w:t>
            </w:r>
          </w:p>
        </w:tc>
        <w:tc>
          <w:tcPr>
            <w:tcW w:w="1260" w:type="dxa"/>
            <w:tcBorders>
              <w:top w:val="single" w:sz="8" w:space="0" w:color="auto"/>
              <w:left w:val="nil"/>
              <w:bottom w:val="nil"/>
              <w:right w:val="single" w:sz="8" w:space="0" w:color="auto"/>
            </w:tcBorders>
            <w:shd w:val="clear" w:color="000000" w:fill="000000"/>
            <w:vAlign w:val="center"/>
            <w:hideMark/>
          </w:tcPr>
          <w:p w14:paraId="6D8B260B" w14:textId="77777777" w:rsidR="00C3169C" w:rsidRPr="00C3169C" w:rsidRDefault="00C3169C" w:rsidP="003E7B09">
            <w:pPr>
              <w:jc w:val="center"/>
              <w:rPr>
                <w:rFonts w:ascii="Arial" w:hAnsi="Arial" w:cs="Arial"/>
                <w:b/>
                <w:bCs/>
                <w:color w:val="FFFFFF"/>
                <w:sz w:val="20"/>
              </w:rPr>
            </w:pPr>
            <w:r w:rsidRPr="00C3169C">
              <w:rPr>
                <w:rFonts w:ascii="Arial" w:hAnsi="Arial" w:cs="Arial"/>
                <w:b/>
                <w:bCs/>
                <w:color w:val="FFFFFF"/>
                <w:sz w:val="20"/>
              </w:rPr>
              <w:t>2022 Forecast</w:t>
            </w:r>
          </w:p>
        </w:tc>
        <w:tc>
          <w:tcPr>
            <w:tcW w:w="1340" w:type="dxa"/>
            <w:tcBorders>
              <w:top w:val="single" w:sz="8" w:space="0" w:color="auto"/>
              <w:left w:val="nil"/>
              <w:bottom w:val="nil"/>
              <w:right w:val="single" w:sz="8" w:space="0" w:color="auto"/>
            </w:tcBorders>
            <w:shd w:val="clear" w:color="000000" w:fill="000000"/>
            <w:vAlign w:val="center"/>
            <w:hideMark/>
          </w:tcPr>
          <w:p w14:paraId="0E3F5FBF" w14:textId="77777777" w:rsidR="00C3169C" w:rsidRPr="00C3169C" w:rsidRDefault="00C3169C" w:rsidP="003E7B09">
            <w:pPr>
              <w:jc w:val="center"/>
              <w:rPr>
                <w:rFonts w:ascii="Arial" w:hAnsi="Arial" w:cs="Arial"/>
                <w:b/>
                <w:bCs/>
                <w:color w:val="FFFFFF"/>
                <w:sz w:val="20"/>
              </w:rPr>
            </w:pPr>
            <w:r w:rsidRPr="00C3169C">
              <w:rPr>
                <w:rFonts w:ascii="Arial" w:hAnsi="Arial" w:cs="Arial"/>
                <w:b/>
                <w:bCs/>
                <w:color w:val="FFFFFF"/>
                <w:sz w:val="20"/>
              </w:rPr>
              <w:t>Difference</w:t>
            </w:r>
          </w:p>
        </w:tc>
        <w:tc>
          <w:tcPr>
            <w:tcW w:w="1170" w:type="dxa"/>
            <w:tcBorders>
              <w:top w:val="single" w:sz="8" w:space="0" w:color="auto"/>
              <w:left w:val="nil"/>
              <w:bottom w:val="nil"/>
              <w:right w:val="single" w:sz="8" w:space="0" w:color="auto"/>
            </w:tcBorders>
            <w:shd w:val="clear" w:color="000000" w:fill="000000"/>
            <w:vAlign w:val="center"/>
            <w:hideMark/>
          </w:tcPr>
          <w:p w14:paraId="3048DDA8" w14:textId="77777777" w:rsidR="00C3169C" w:rsidRPr="00C3169C" w:rsidRDefault="00C3169C" w:rsidP="003E7B09">
            <w:pPr>
              <w:jc w:val="center"/>
              <w:rPr>
                <w:rFonts w:ascii="Arial" w:hAnsi="Arial" w:cs="Arial"/>
                <w:b/>
                <w:bCs/>
                <w:color w:val="FFFFFF"/>
                <w:sz w:val="20"/>
              </w:rPr>
            </w:pPr>
            <w:r w:rsidRPr="00C3169C">
              <w:rPr>
                <w:rFonts w:ascii="Arial" w:hAnsi="Arial" w:cs="Arial"/>
                <w:b/>
                <w:bCs/>
                <w:color w:val="FFFFFF"/>
                <w:sz w:val="20"/>
              </w:rPr>
              <w:t>% Change</w:t>
            </w:r>
          </w:p>
        </w:tc>
        <w:tc>
          <w:tcPr>
            <w:tcW w:w="1260" w:type="dxa"/>
            <w:tcBorders>
              <w:top w:val="single" w:sz="8" w:space="0" w:color="auto"/>
              <w:left w:val="nil"/>
              <w:bottom w:val="nil"/>
              <w:right w:val="single" w:sz="8" w:space="0" w:color="auto"/>
            </w:tcBorders>
            <w:shd w:val="clear" w:color="000000" w:fill="000000"/>
            <w:vAlign w:val="center"/>
            <w:hideMark/>
          </w:tcPr>
          <w:p w14:paraId="766C4381" w14:textId="77777777" w:rsidR="00C3169C" w:rsidRPr="00C3169C" w:rsidRDefault="00C3169C" w:rsidP="003E7B09">
            <w:pPr>
              <w:jc w:val="center"/>
              <w:rPr>
                <w:rFonts w:ascii="Arial" w:hAnsi="Arial" w:cs="Arial"/>
                <w:b/>
                <w:bCs/>
                <w:color w:val="FFFFFF"/>
                <w:sz w:val="20"/>
              </w:rPr>
            </w:pPr>
            <w:r w:rsidRPr="00C3169C">
              <w:rPr>
                <w:rFonts w:ascii="Arial" w:hAnsi="Arial" w:cs="Arial"/>
                <w:b/>
                <w:bCs/>
                <w:color w:val="FFFFFF"/>
                <w:sz w:val="20"/>
              </w:rPr>
              <w:t>2023 Forecast</w:t>
            </w:r>
          </w:p>
        </w:tc>
        <w:tc>
          <w:tcPr>
            <w:tcW w:w="1180" w:type="dxa"/>
            <w:tcBorders>
              <w:top w:val="single" w:sz="8" w:space="0" w:color="auto"/>
              <w:left w:val="nil"/>
              <w:bottom w:val="nil"/>
              <w:right w:val="single" w:sz="8" w:space="0" w:color="auto"/>
            </w:tcBorders>
            <w:shd w:val="clear" w:color="000000" w:fill="000000"/>
            <w:vAlign w:val="center"/>
            <w:hideMark/>
          </w:tcPr>
          <w:p w14:paraId="3266A506" w14:textId="77777777" w:rsidR="00C3169C" w:rsidRPr="00C3169C" w:rsidRDefault="00C3169C" w:rsidP="003E7B09">
            <w:pPr>
              <w:jc w:val="center"/>
              <w:rPr>
                <w:rFonts w:ascii="Arial" w:hAnsi="Arial" w:cs="Arial"/>
                <w:b/>
                <w:bCs/>
                <w:color w:val="FFFFFF"/>
                <w:sz w:val="20"/>
              </w:rPr>
            </w:pPr>
            <w:r w:rsidRPr="00C3169C">
              <w:rPr>
                <w:rFonts w:ascii="Arial" w:hAnsi="Arial" w:cs="Arial"/>
                <w:b/>
                <w:bCs/>
                <w:color w:val="FFFFFF"/>
                <w:sz w:val="20"/>
              </w:rPr>
              <w:t>% Change</w:t>
            </w:r>
          </w:p>
        </w:tc>
      </w:tr>
      <w:tr w:rsidR="00B93F7A" w:rsidRPr="00C3169C" w14:paraId="30F384FE" w14:textId="77777777" w:rsidTr="004F6DFE">
        <w:trPr>
          <w:trHeight w:val="385"/>
        </w:trPr>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6D51315E" w14:textId="77777777" w:rsidR="00C3169C" w:rsidRPr="00141E91" w:rsidRDefault="00C3169C" w:rsidP="003E7B09">
            <w:pPr>
              <w:jc w:val="center"/>
              <w:rPr>
                <w:rFonts w:ascii="Arial" w:hAnsi="Arial" w:cs="Arial"/>
                <w:b/>
                <w:bCs/>
                <w:color w:val="000000"/>
                <w:sz w:val="22"/>
                <w:szCs w:val="22"/>
              </w:rPr>
            </w:pPr>
            <w:r w:rsidRPr="00141E91">
              <w:rPr>
                <w:rFonts w:ascii="Arial" w:hAnsi="Arial" w:cs="Arial"/>
                <w:b/>
                <w:bCs/>
                <w:color w:val="000000"/>
                <w:sz w:val="22"/>
                <w:szCs w:val="22"/>
              </w:rPr>
              <w:t>Sewer Rate</w:t>
            </w:r>
          </w:p>
        </w:tc>
        <w:tc>
          <w:tcPr>
            <w:tcW w:w="1260" w:type="dxa"/>
            <w:tcBorders>
              <w:top w:val="nil"/>
              <w:left w:val="nil"/>
              <w:bottom w:val="single" w:sz="8" w:space="0" w:color="auto"/>
              <w:right w:val="single" w:sz="8" w:space="0" w:color="auto"/>
            </w:tcBorders>
            <w:shd w:val="clear" w:color="auto" w:fill="auto"/>
            <w:noWrap/>
            <w:vAlign w:val="center"/>
            <w:hideMark/>
          </w:tcPr>
          <w:p w14:paraId="5EDFD6C3" w14:textId="38857CC1"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$417.3</w:t>
            </w:r>
          </w:p>
        </w:tc>
        <w:tc>
          <w:tcPr>
            <w:tcW w:w="1260" w:type="dxa"/>
            <w:tcBorders>
              <w:top w:val="nil"/>
              <w:left w:val="nil"/>
              <w:bottom w:val="single" w:sz="8" w:space="0" w:color="auto"/>
              <w:right w:val="single" w:sz="8" w:space="0" w:color="auto"/>
            </w:tcBorders>
            <w:shd w:val="clear" w:color="auto" w:fill="auto"/>
            <w:noWrap/>
            <w:vAlign w:val="center"/>
            <w:hideMark/>
          </w:tcPr>
          <w:p w14:paraId="4C3EDB2B" w14:textId="234496C6"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$433.6</w:t>
            </w:r>
          </w:p>
        </w:tc>
        <w:tc>
          <w:tcPr>
            <w:tcW w:w="1340" w:type="dxa"/>
            <w:tcBorders>
              <w:top w:val="nil"/>
              <w:left w:val="nil"/>
              <w:bottom w:val="single" w:sz="8" w:space="0" w:color="auto"/>
              <w:right w:val="single" w:sz="8" w:space="0" w:color="auto"/>
            </w:tcBorders>
            <w:shd w:val="clear" w:color="auto" w:fill="auto"/>
            <w:noWrap/>
            <w:vAlign w:val="center"/>
            <w:hideMark/>
          </w:tcPr>
          <w:p w14:paraId="226AE2C7" w14:textId="58CA05FE"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$16.3</w:t>
            </w:r>
          </w:p>
        </w:tc>
        <w:tc>
          <w:tcPr>
            <w:tcW w:w="1170" w:type="dxa"/>
            <w:tcBorders>
              <w:top w:val="nil"/>
              <w:left w:val="nil"/>
              <w:bottom w:val="single" w:sz="8" w:space="0" w:color="auto"/>
              <w:right w:val="single" w:sz="8" w:space="0" w:color="auto"/>
            </w:tcBorders>
            <w:shd w:val="clear" w:color="auto" w:fill="auto"/>
            <w:noWrap/>
            <w:vAlign w:val="center"/>
            <w:hideMark/>
          </w:tcPr>
          <w:p w14:paraId="798AC42E" w14:textId="77777777"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3.9%</w:t>
            </w:r>
          </w:p>
        </w:tc>
        <w:tc>
          <w:tcPr>
            <w:tcW w:w="1260" w:type="dxa"/>
            <w:tcBorders>
              <w:top w:val="nil"/>
              <w:left w:val="nil"/>
              <w:bottom w:val="single" w:sz="8" w:space="0" w:color="auto"/>
              <w:right w:val="single" w:sz="8" w:space="0" w:color="auto"/>
            </w:tcBorders>
            <w:shd w:val="clear" w:color="auto" w:fill="auto"/>
            <w:noWrap/>
            <w:vAlign w:val="center"/>
            <w:hideMark/>
          </w:tcPr>
          <w:p w14:paraId="5B951B62" w14:textId="7F670536"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$464.1</w:t>
            </w:r>
          </w:p>
        </w:tc>
        <w:tc>
          <w:tcPr>
            <w:tcW w:w="1180" w:type="dxa"/>
            <w:tcBorders>
              <w:top w:val="nil"/>
              <w:left w:val="nil"/>
              <w:bottom w:val="single" w:sz="8" w:space="0" w:color="auto"/>
              <w:right w:val="single" w:sz="8" w:space="0" w:color="auto"/>
            </w:tcBorders>
            <w:shd w:val="clear" w:color="auto" w:fill="auto"/>
            <w:noWrap/>
            <w:vAlign w:val="center"/>
            <w:hideMark/>
          </w:tcPr>
          <w:p w14:paraId="0248766A" w14:textId="77777777"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7.0%</w:t>
            </w:r>
          </w:p>
        </w:tc>
      </w:tr>
      <w:tr w:rsidR="00B93F7A" w:rsidRPr="00C3169C" w14:paraId="2BE4694E" w14:textId="77777777" w:rsidTr="004F6DFE">
        <w:trPr>
          <w:trHeight w:val="385"/>
        </w:trPr>
        <w:tc>
          <w:tcPr>
            <w:tcW w:w="2070" w:type="dxa"/>
            <w:tcBorders>
              <w:top w:val="nil"/>
              <w:left w:val="single" w:sz="8" w:space="0" w:color="auto"/>
              <w:bottom w:val="nil"/>
              <w:right w:val="single" w:sz="8" w:space="0" w:color="auto"/>
            </w:tcBorders>
            <w:shd w:val="clear" w:color="auto" w:fill="auto"/>
            <w:noWrap/>
            <w:vAlign w:val="center"/>
            <w:hideMark/>
          </w:tcPr>
          <w:p w14:paraId="0941DEDE" w14:textId="2F675920" w:rsidR="00C3169C" w:rsidRPr="00141E91" w:rsidRDefault="00C3169C" w:rsidP="003E7B09">
            <w:pPr>
              <w:jc w:val="center"/>
              <w:rPr>
                <w:rFonts w:ascii="Arial" w:hAnsi="Arial" w:cs="Arial"/>
                <w:b/>
                <w:bCs/>
                <w:color w:val="000000"/>
                <w:sz w:val="22"/>
                <w:szCs w:val="22"/>
              </w:rPr>
            </w:pPr>
            <w:r w:rsidRPr="00141E91">
              <w:rPr>
                <w:rFonts w:ascii="Arial" w:hAnsi="Arial" w:cs="Arial"/>
                <w:b/>
                <w:bCs/>
                <w:color w:val="000000"/>
                <w:sz w:val="22"/>
                <w:szCs w:val="22"/>
              </w:rPr>
              <w:t>Capacity Charge</w:t>
            </w:r>
          </w:p>
        </w:tc>
        <w:tc>
          <w:tcPr>
            <w:tcW w:w="1260" w:type="dxa"/>
            <w:tcBorders>
              <w:top w:val="nil"/>
              <w:left w:val="nil"/>
              <w:bottom w:val="single" w:sz="8" w:space="0" w:color="auto"/>
              <w:right w:val="single" w:sz="8" w:space="0" w:color="auto"/>
            </w:tcBorders>
            <w:shd w:val="clear" w:color="auto" w:fill="auto"/>
            <w:noWrap/>
            <w:vAlign w:val="center"/>
            <w:hideMark/>
          </w:tcPr>
          <w:p w14:paraId="3F0FA5EB" w14:textId="2E3FD736" w:rsidR="00C3169C" w:rsidRPr="00141E91" w:rsidRDefault="006E6BDE" w:rsidP="00141E91">
            <w:pPr>
              <w:jc w:val="right"/>
              <w:rPr>
                <w:rFonts w:ascii="Arial" w:hAnsi="Arial" w:cs="Arial"/>
                <w:color w:val="000000"/>
                <w:sz w:val="22"/>
                <w:szCs w:val="22"/>
              </w:rPr>
            </w:pPr>
            <w:r w:rsidRPr="00141E91">
              <w:rPr>
                <w:rFonts w:ascii="Arial" w:hAnsi="Arial" w:cs="Arial"/>
                <w:color w:val="000000"/>
                <w:sz w:val="22"/>
                <w:szCs w:val="22"/>
              </w:rPr>
              <w:t>$</w:t>
            </w:r>
            <w:r w:rsidR="00C3169C" w:rsidRPr="00141E91">
              <w:rPr>
                <w:rFonts w:ascii="Arial" w:hAnsi="Arial" w:cs="Arial"/>
                <w:color w:val="000000"/>
                <w:sz w:val="22"/>
                <w:szCs w:val="22"/>
              </w:rPr>
              <w:t>92.9</w:t>
            </w:r>
          </w:p>
        </w:tc>
        <w:tc>
          <w:tcPr>
            <w:tcW w:w="1260" w:type="dxa"/>
            <w:tcBorders>
              <w:top w:val="nil"/>
              <w:left w:val="nil"/>
              <w:bottom w:val="single" w:sz="8" w:space="0" w:color="auto"/>
              <w:right w:val="single" w:sz="8" w:space="0" w:color="auto"/>
            </w:tcBorders>
            <w:shd w:val="clear" w:color="auto" w:fill="auto"/>
            <w:noWrap/>
            <w:vAlign w:val="center"/>
            <w:hideMark/>
          </w:tcPr>
          <w:p w14:paraId="565CF5D9" w14:textId="17C92087" w:rsidR="00C3169C" w:rsidRPr="00141E91" w:rsidRDefault="005A0603" w:rsidP="00141E91">
            <w:pPr>
              <w:jc w:val="right"/>
              <w:rPr>
                <w:rFonts w:ascii="Arial" w:hAnsi="Arial" w:cs="Arial"/>
                <w:color w:val="000000"/>
                <w:sz w:val="22"/>
                <w:szCs w:val="22"/>
              </w:rPr>
            </w:pPr>
            <w:r w:rsidRPr="00141E91">
              <w:rPr>
                <w:rFonts w:ascii="Arial" w:hAnsi="Arial" w:cs="Arial"/>
                <w:color w:val="000000"/>
                <w:sz w:val="22"/>
                <w:szCs w:val="22"/>
              </w:rPr>
              <w:t>$</w:t>
            </w:r>
            <w:r w:rsidR="00C3169C" w:rsidRPr="00141E91">
              <w:rPr>
                <w:rFonts w:ascii="Arial" w:hAnsi="Arial" w:cs="Arial"/>
                <w:color w:val="000000"/>
                <w:sz w:val="22"/>
                <w:szCs w:val="22"/>
              </w:rPr>
              <w:t>96.0</w:t>
            </w:r>
          </w:p>
        </w:tc>
        <w:tc>
          <w:tcPr>
            <w:tcW w:w="1340" w:type="dxa"/>
            <w:tcBorders>
              <w:top w:val="nil"/>
              <w:left w:val="nil"/>
              <w:bottom w:val="single" w:sz="8" w:space="0" w:color="auto"/>
              <w:right w:val="single" w:sz="8" w:space="0" w:color="auto"/>
            </w:tcBorders>
            <w:shd w:val="clear" w:color="auto" w:fill="auto"/>
            <w:noWrap/>
            <w:vAlign w:val="center"/>
            <w:hideMark/>
          </w:tcPr>
          <w:p w14:paraId="475058A1" w14:textId="19F1A048" w:rsidR="00C3169C" w:rsidRPr="00141E91" w:rsidRDefault="005A0603" w:rsidP="00141E91">
            <w:pPr>
              <w:jc w:val="right"/>
              <w:rPr>
                <w:rFonts w:ascii="Arial" w:hAnsi="Arial" w:cs="Arial"/>
                <w:color w:val="000000"/>
                <w:sz w:val="22"/>
                <w:szCs w:val="22"/>
              </w:rPr>
            </w:pPr>
            <w:r w:rsidRPr="00141E91">
              <w:rPr>
                <w:rFonts w:ascii="Arial" w:hAnsi="Arial" w:cs="Arial"/>
                <w:color w:val="000000"/>
                <w:sz w:val="22"/>
                <w:szCs w:val="22"/>
              </w:rPr>
              <w:t>$</w:t>
            </w:r>
            <w:r w:rsidR="00C3169C" w:rsidRPr="00141E91">
              <w:rPr>
                <w:rFonts w:ascii="Arial" w:hAnsi="Arial" w:cs="Arial"/>
                <w:color w:val="000000"/>
                <w:sz w:val="22"/>
                <w:szCs w:val="22"/>
              </w:rPr>
              <w:t>3.1</w:t>
            </w:r>
          </w:p>
        </w:tc>
        <w:tc>
          <w:tcPr>
            <w:tcW w:w="1170" w:type="dxa"/>
            <w:tcBorders>
              <w:top w:val="nil"/>
              <w:left w:val="nil"/>
              <w:bottom w:val="single" w:sz="8" w:space="0" w:color="auto"/>
              <w:right w:val="single" w:sz="8" w:space="0" w:color="auto"/>
            </w:tcBorders>
            <w:shd w:val="clear" w:color="auto" w:fill="auto"/>
            <w:noWrap/>
            <w:vAlign w:val="center"/>
            <w:hideMark/>
          </w:tcPr>
          <w:p w14:paraId="7064E74F" w14:textId="77777777"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3.4%</w:t>
            </w:r>
          </w:p>
        </w:tc>
        <w:tc>
          <w:tcPr>
            <w:tcW w:w="1260" w:type="dxa"/>
            <w:tcBorders>
              <w:top w:val="nil"/>
              <w:left w:val="nil"/>
              <w:bottom w:val="single" w:sz="8" w:space="0" w:color="auto"/>
              <w:right w:val="single" w:sz="8" w:space="0" w:color="auto"/>
            </w:tcBorders>
            <w:shd w:val="clear" w:color="auto" w:fill="auto"/>
            <w:noWrap/>
            <w:vAlign w:val="center"/>
            <w:hideMark/>
          </w:tcPr>
          <w:p w14:paraId="6A0AC532" w14:textId="21CDCE43" w:rsidR="00C3169C" w:rsidRPr="00141E91" w:rsidRDefault="00FF6088" w:rsidP="00141E91">
            <w:pPr>
              <w:jc w:val="right"/>
              <w:rPr>
                <w:rFonts w:ascii="Arial" w:hAnsi="Arial" w:cs="Arial"/>
                <w:color w:val="000000"/>
                <w:sz w:val="22"/>
                <w:szCs w:val="22"/>
              </w:rPr>
            </w:pPr>
            <w:r w:rsidRPr="00141E91">
              <w:rPr>
                <w:rFonts w:ascii="Arial" w:hAnsi="Arial" w:cs="Arial"/>
                <w:color w:val="000000"/>
                <w:sz w:val="22"/>
                <w:szCs w:val="22"/>
              </w:rPr>
              <w:t>$</w:t>
            </w:r>
            <w:r w:rsidR="00C3169C" w:rsidRPr="00141E91">
              <w:rPr>
                <w:rFonts w:ascii="Arial" w:hAnsi="Arial" w:cs="Arial"/>
                <w:color w:val="000000"/>
                <w:sz w:val="22"/>
                <w:szCs w:val="22"/>
              </w:rPr>
              <w:t>98.9</w:t>
            </w:r>
          </w:p>
        </w:tc>
        <w:tc>
          <w:tcPr>
            <w:tcW w:w="1180" w:type="dxa"/>
            <w:tcBorders>
              <w:top w:val="nil"/>
              <w:left w:val="nil"/>
              <w:bottom w:val="single" w:sz="8" w:space="0" w:color="auto"/>
              <w:right w:val="single" w:sz="8" w:space="0" w:color="auto"/>
            </w:tcBorders>
            <w:shd w:val="clear" w:color="auto" w:fill="auto"/>
            <w:noWrap/>
            <w:vAlign w:val="center"/>
            <w:hideMark/>
          </w:tcPr>
          <w:p w14:paraId="3A3C06FA" w14:textId="77777777"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3.0%</w:t>
            </w:r>
          </w:p>
        </w:tc>
      </w:tr>
      <w:tr w:rsidR="00B93F7A" w:rsidRPr="00C3169C" w14:paraId="33F23054" w14:textId="77777777" w:rsidTr="004F6DFE">
        <w:trPr>
          <w:trHeight w:val="385"/>
        </w:trPr>
        <w:tc>
          <w:tcPr>
            <w:tcW w:w="2070" w:type="dxa"/>
            <w:tcBorders>
              <w:top w:val="single" w:sz="8" w:space="0" w:color="auto"/>
              <w:left w:val="single" w:sz="8" w:space="0" w:color="auto"/>
              <w:bottom w:val="nil"/>
              <w:right w:val="single" w:sz="8" w:space="0" w:color="auto"/>
            </w:tcBorders>
            <w:shd w:val="clear" w:color="auto" w:fill="auto"/>
            <w:noWrap/>
            <w:vAlign w:val="center"/>
            <w:hideMark/>
          </w:tcPr>
          <w:p w14:paraId="74A8AFEC" w14:textId="77777777" w:rsidR="00C3169C" w:rsidRPr="00141E91" w:rsidRDefault="00C3169C" w:rsidP="003E7B09">
            <w:pPr>
              <w:jc w:val="center"/>
              <w:rPr>
                <w:rFonts w:ascii="Arial" w:hAnsi="Arial" w:cs="Arial"/>
                <w:b/>
                <w:bCs/>
                <w:color w:val="000000"/>
                <w:sz w:val="22"/>
                <w:szCs w:val="22"/>
              </w:rPr>
            </w:pPr>
            <w:r w:rsidRPr="00141E91">
              <w:rPr>
                <w:rFonts w:ascii="Arial" w:hAnsi="Arial" w:cs="Arial"/>
                <w:b/>
                <w:bCs/>
                <w:color w:val="000000"/>
                <w:sz w:val="22"/>
                <w:szCs w:val="22"/>
              </w:rPr>
              <w:t>Investment Income</w:t>
            </w:r>
          </w:p>
        </w:tc>
        <w:tc>
          <w:tcPr>
            <w:tcW w:w="1260" w:type="dxa"/>
            <w:tcBorders>
              <w:top w:val="nil"/>
              <w:left w:val="nil"/>
              <w:bottom w:val="single" w:sz="8" w:space="0" w:color="auto"/>
              <w:right w:val="single" w:sz="8" w:space="0" w:color="auto"/>
            </w:tcBorders>
            <w:shd w:val="clear" w:color="auto" w:fill="auto"/>
            <w:noWrap/>
            <w:vAlign w:val="center"/>
            <w:hideMark/>
          </w:tcPr>
          <w:p w14:paraId="0671E1BB" w14:textId="6230105A" w:rsidR="00C3169C" w:rsidRPr="00141E91" w:rsidRDefault="006E6BDE" w:rsidP="00141E91">
            <w:pPr>
              <w:jc w:val="right"/>
              <w:rPr>
                <w:rFonts w:ascii="Arial" w:hAnsi="Arial" w:cs="Arial"/>
                <w:color w:val="000000"/>
                <w:sz w:val="22"/>
                <w:szCs w:val="22"/>
              </w:rPr>
            </w:pPr>
            <w:r w:rsidRPr="00141E91">
              <w:rPr>
                <w:rFonts w:ascii="Arial" w:hAnsi="Arial" w:cs="Arial"/>
                <w:color w:val="000000"/>
                <w:sz w:val="22"/>
                <w:szCs w:val="22"/>
              </w:rPr>
              <w:t>$</w:t>
            </w:r>
            <w:r w:rsidR="00C3169C" w:rsidRPr="00141E91">
              <w:rPr>
                <w:rFonts w:ascii="Arial" w:hAnsi="Arial" w:cs="Arial"/>
                <w:color w:val="000000"/>
                <w:sz w:val="22"/>
                <w:szCs w:val="22"/>
              </w:rPr>
              <w:t>4.5</w:t>
            </w:r>
          </w:p>
        </w:tc>
        <w:tc>
          <w:tcPr>
            <w:tcW w:w="1260" w:type="dxa"/>
            <w:tcBorders>
              <w:top w:val="nil"/>
              <w:left w:val="nil"/>
              <w:bottom w:val="single" w:sz="8" w:space="0" w:color="auto"/>
              <w:right w:val="single" w:sz="8" w:space="0" w:color="auto"/>
            </w:tcBorders>
            <w:shd w:val="clear" w:color="auto" w:fill="auto"/>
            <w:noWrap/>
            <w:vAlign w:val="center"/>
            <w:hideMark/>
          </w:tcPr>
          <w:p w14:paraId="59ED731C" w14:textId="4CB35B79" w:rsidR="00C3169C" w:rsidRPr="00141E91" w:rsidRDefault="005A0603" w:rsidP="00141E91">
            <w:pPr>
              <w:jc w:val="right"/>
              <w:rPr>
                <w:rFonts w:ascii="Arial" w:hAnsi="Arial" w:cs="Arial"/>
                <w:color w:val="000000"/>
                <w:sz w:val="22"/>
                <w:szCs w:val="22"/>
              </w:rPr>
            </w:pPr>
            <w:r w:rsidRPr="00141E91">
              <w:rPr>
                <w:rFonts w:ascii="Arial" w:hAnsi="Arial" w:cs="Arial"/>
                <w:color w:val="000000"/>
                <w:sz w:val="22"/>
                <w:szCs w:val="22"/>
              </w:rPr>
              <w:t>$</w:t>
            </w:r>
            <w:r w:rsidR="00C3169C" w:rsidRPr="00141E91">
              <w:rPr>
                <w:rFonts w:ascii="Arial" w:hAnsi="Arial" w:cs="Arial"/>
                <w:color w:val="000000"/>
                <w:sz w:val="22"/>
                <w:szCs w:val="22"/>
              </w:rPr>
              <w:t>3.2</w:t>
            </w:r>
          </w:p>
        </w:tc>
        <w:tc>
          <w:tcPr>
            <w:tcW w:w="1340" w:type="dxa"/>
            <w:tcBorders>
              <w:top w:val="nil"/>
              <w:left w:val="nil"/>
              <w:bottom w:val="single" w:sz="8" w:space="0" w:color="auto"/>
              <w:right w:val="single" w:sz="8" w:space="0" w:color="auto"/>
            </w:tcBorders>
            <w:shd w:val="clear" w:color="auto" w:fill="auto"/>
            <w:noWrap/>
            <w:vAlign w:val="center"/>
            <w:hideMark/>
          </w:tcPr>
          <w:p w14:paraId="0565F183" w14:textId="659E9756"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w:t>
            </w:r>
            <w:r w:rsidR="005A0603" w:rsidRPr="00141E91">
              <w:rPr>
                <w:rFonts w:ascii="Arial" w:hAnsi="Arial" w:cs="Arial"/>
                <w:color w:val="000000"/>
                <w:sz w:val="22"/>
                <w:szCs w:val="22"/>
              </w:rPr>
              <w:t>$</w:t>
            </w:r>
            <w:r w:rsidRPr="00141E91">
              <w:rPr>
                <w:rFonts w:ascii="Arial" w:hAnsi="Arial" w:cs="Arial"/>
                <w:color w:val="000000"/>
                <w:sz w:val="22"/>
                <w:szCs w:val="22"/>
              </w:rPr>
              <w:t>1.3)</w:t>
            </w:r>
          </w:p>
        </w:tc>
        <w:tc>
          <w:tcPr>
            <w:tcW w:w="1170" w:type="dxa"/>
            <w:tcBorders>
              <w:top w:val="nil"/>
              <w:left w:val="nil"/>
              <w:bottom w:val="single" w:sz="8" w:space="0" w:color="auto"/>
              <w:right w:val="single" w:sz="8" w:space="0" w:color="auto"/>
            </w:tcBorders>
            <w:shd w:val="clear" w:color="auto" w:fill="auto"/>
            <w:noWrap/>
            <w:vAlign w:val="center"/>
            <w:hideMark/>
          </w:tcPr>
          <w:p w14:paraId="32EED721" w14:textId="77777777"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-28.1%</w:t>
            </w:r>
          </w:p>
        </w:tc>
        <w:tc>
          <w:tcPr>
            <w:tcW w:w="1260" w:type="dxa"/>
            <w:tcBorders>
              <w:top w:val="nil"/>
              <w:left w:val="nil"/>
              <w:bottom w:val="single" w:sz="8" w:space="0" w:color="auto"/>
              <w:right w:val="single" w:sz="8" w:space="0" w:color="auto"/>
            </w:tcBorders>
            <w:shd w:val="clear" w:color="auto" w:fill="auto"/>
            <w:noWrap/>
            <w:vAlign w:val="center"/>
            <w:hideMark/>
          </w:tcPr>
          <w:p w14:paraId="0FBFCABC" w14:textId="6F6E9BC1" w:rsidR="00C3169C" w:rsidRPr="00141E91" w:rsidRDefault="00FF6088" w:rsidP="00141E91">
            <w:pPr>
              <w:jc w:val="right"/>
              <w:rPr>
                <w:rFonts w:ascii="Arial" w:hAnsi="Arial" w:cs="Arial"/>
                <w:color w:val="000000"/>
                <w:sz w:val="22"/>
                <w:szCs w:val="22"/>
              </w:rPr>
            </w:pPr>
            <w:r w:rsidRPr="00141E91">
              <w:rPr>
                <w:rFonts w:ascii="Arial" w:hAnsi="Arial" w:cs="Arial"/>
                <w:color w:val="000000"/>
                <w:sz w:val="22"/>
                <w:szCs w:val="22"/>
              </w:rPr>
              <w:t>$</w:t>
            </w:r>
            <w:r w:rsidR="00C3169C" w:rsidRPr="00141E91">
              <w:rPr>
                <w:rFonts w:ascii="Arial" w:hAnsi="Arial" w:cs="Arial"/>
                <w:color w:val="000000"/>
                <w:sz w:val="22"/>
                <w:szCs w:val="22"/>
              </w:rPr>
              <w:t>2.6</w:t>
            </w:r>
          </w:p>
        </w:tc>
        <w:tc>
          <w:tcPr>
            <w:tcW w:w="1180" w:type="dxa"/>
            <w:tcBorders>
              <w:top w:val="nil"/>
              <w:left w:val="nil"/>
              <w:bottom w:val="single" w:sz="8" w:space="0" w:color="auto"/>
              <w:right w:val="single" w:sz="8" w:space="0" w:color="auto"/>
            </w:tcBorders>
            <w:shd w:val="clear" w:color="auto" w:fill="auto"/>
            <w:noWrap/>
            <w:vAlign w:val="center"/>
            <w:hideMark/>
          </w:tcPr>
          <w:p w14:paraId="4BD1352F" w14:textId="77777777"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-18.6%</w:t>
            </w:r>
          </w:p>
        </w:tc>
      </w:tr>
      <w:tr w:rsidR="00B93F7A" w:rsidRPr="00C3169C" w14:paraId="281CD290" w14:textId="77777777" w:rsidTr="004F6DFE">
        <w:trPr>
          <w:trHeight w:val="385"/>
        </w:trPr>
        <w:tc>
          <w:tcPr>
            <w:tcW w:w="2070" w:type="dxa"/>
            <w:tcBorders>
              <w:top w:val="single" w:sz="8" w:space="0" w:color="auto"/>
              <w:left w:val="single" w:sz="8" w:space="0" w:color="auto"/>
              <w:bottom w:val="nil"/>
              <w:right w:val="single" w:sz="8" w:space="0" w:color="auto"/>
            </w:tcBorders>
            <w:shd w:val="clear" w:color="auto" w:fill="auto"/>
            <w:noWrap/>
            <w:vAlign w:val="center"/>
            <w:hideMark/>
          </w:tcPr>
          <w:p w14:paraId="6D34E1B3" w14:textId="77777777" w:rsidR="00C3169C" w:rsidRPr="00141E91" w:rsidRDefault="00C3169C" w:rsidP="003E7B09">
            <w:pPr>
              <w:jc w:val="center"/>
              <w:rPr>
                <w:rFonts w:ascii="Arial" w:hAnsi="Arial" w:cs="Arial"/>
                <w:b/>
                <w:bCs/>
                <w:color w:val="000000"/>
                <w:sz w:val="22"/>
                <w:szCs w:val="22"/>
              </w:rPr>
            </w:pPr>
            <w:r w:rsidRPr="00141E91">
              <w:rPr>
                <w:rFonts w:ascii="Arial" w:hAnsi="Arial" w:cs="Arial"/>
                <w:b/>
                <w:bCs/>
                <w:color w:val="000000"/>
                <w:sz w:val="22"/>
                <w:szCs w:val="22"/>
              </w:rPr>
              <w:t>Other Income</w:t>
            </w:r>
          </w:p>
        </w:tc>
        <w:tc>
          <w:tcPr>
            <w:tcW w:w="1260" w:type="dxa"/>
            <w:tcBorders>
              <w:top w:val="nil"/>
              <w:left w:val="nil"/>
              <w:bottom w:val="single" w:sz="8" w:space="0" w:color="auto"/>
              <w:right w:val="single" w:sz="8" w:space="0" w:color="auto"/>
            </w:tcBorders>
            <w:shd w:val="clear" w:color="auto" w:fill="auto"/>
            <w:noWrap/>
            <w:vAlign w:val="center"/>
            <w:hideMark/>
          </w:tcPr>
          <w:p w14:paraId="20C39268" w14:textId="68F02F73" w:rsidR="00C3169C" w:rsidRPr="00141E91" w:rsidRDefault="006E6BDE" w:rsidP="00141E91">
            <w:pPr>
              <w:jc w:val="right"/>
              <w:rPr>
                <w:rFonts w:ascii="Arial" w:hAnsi="Arial" w:cs="Arial"/>
                <w:color w:val="000000"/>
                <w:sz w:val="22"/>
                <w:szCs w:val="22"/>
              </w:rPr>
            </w:pPr>
            <w:r w:rsidRPr="00141E91">
              <w:rPr>
                <w:rFonts w:ascii="Arial" w:hAnsi="Arial" w:cs="Arial"/>
                <w:color w:val="000000"/>
                <w:sz w:val="22"/>
                <w:szCs w:val="22"/>
              </w:rPr>
              <w:t>$</w:t>
            </w:r>
            <w:r w:rsidR="00C3169C" w:rsidRPr="00141E91">
              <w:rPr>
                <w:rFonts w:ascii="Arial" w:hAnsi="Arial" w:cs="Arial"/>
                <w:color w:val="000000"/>
                <w:sz w:val="22"/>
                <w:szCs w:val="22"/>
              </w:rPr>
              <w:t>18.5</w:t>
            </w:r>
          </w:p>
        </w:tc>
        <w:tc>
          <w:tcPr>
            <w:tcW w:w="1260" w:type="dxa"/>
            <w:tcBorders>
              <w:top w:val="nil"/>
              <w:left w:val="nil"/>
              <w:bottom w:val="single" w:sz="8" w:space="0" w:color="auto"/>
              <w:right w:val="single" w:sz="8" w:space="0" w:color="auto"/>
            </w:tcBorders>
            <w:shd w:val="clear" w:color="auto" w:fill="auto"/>
            <w:noWrap/>
            <w:vAlign w:val="center"/>
            <w:hideMark/>
          </w:tcPr>
          <w:p w14:paraId="09D4555C" w14:textId="6159380D" w:rsidR="00C3169C" w:rsidRPr="00141E91" w:rsidRDefault="006E6BDE" w:rsidP="00141E91">
            <w:pPr>
              <w:jc w:val="right"/>
              <w:rPr>
                <w:rFonts w:ascii="Arial" w:hAnsi="Arial" w:cs="Arial"/>
                <w:color w:val="000000"/>
                <w:sz w:val="22"/>
                <w:szCs w:val="22"/>
              </w:rPr>
            </w:pPr>
            <w:r w:rsidRPr="00141E91">
              <w:rPr>
                <w:rFonts w:ascii="Arial" w:hAnsi="Arial" w:cs="Arial"/>
                <w:color w:val="000000"/>
                <w:sz w:val="22"/>
                <w:szCs w:val="22"/>
              </w:rPr>
              <w:t>$</w:t>
            </w:r>
            <w:r w:rsidR="00C3169C" w:rsidRPr="00141E91">
              <w:rPr>
                <w:rFonts w:ascii="Arial" w:hAnsi="Arial" w:cs="Arial"/>
                <w:color w:val="000000"/>
                <w:sz w:val="22"/>
                <w:szCs w:val="22"/>
              </w:rPr>
              <w:t>16.5</w:t>
            </w:r>
          </w:p>
        </w:tc>
        <w:tc>
          <w:tcPr>
            <w:tcW w:w="1340" w:type="dxa"/>
            <w:tcBorders>
              <w:top w:val="nil"/>
              <w:left w:val="nil"/>
              <w:bottom w:val="single" w:sz="8" w:space="0" w:color="auto"/>
              <w:right w:val="single" w:sz="8" w:space="0" w:color="auto"/>
            </w:tcBorders>
            <w:shd w:val="clear" w:color="auto" w:fill="auto"/>
            <w:noWrap/>
            <w:vAlign w:val="center"/>
            <w:hideMark/>
          </w:tcPr>
          <w:p w14:paraId="31DB5907" w14:textId="14EEA21C"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w:t>
            </w:r>
            <w:r w:rsidR="00FF6088" w:rsidRPr="00141E91">
              <w:rPr>
                <w:rFonts w:ascii="Arial" w:hAnsi="Arial" w:cs="Arial"/>
                <w:color w:val="000000"/>
                <w:sz w:val="22"/>
                <w:szCs w:val="22"/>
              </w:rPr>
              <w:t>$</w:t>
            </w:r>
            <w:r w:rsidRPr="00141E91">
              <w:rPr>
                <w:rFonts w:ascii="Arial" w:hAnsi="Arial" w:cs="Arial"/>
                <w:color w:val="000000"/>
                <w:sz w:val="22"/>
                <w:szCs w:val="22"/>
              </w:rPr>
              <w:t>2.0)</w:t>
            </w:r>
          </w:p>
        </w:tc>
        <w:tc>
          <w:tcPr>
            <w:tcW w:w="1170" w:type="dxa"/>
            <w:tcBorders>
              <w:top w:val="nil"/>
              <w:left w:val="nil"/>
              <w:bottom w:val="single" w:sz="8" w:space="0" w:color="auto"/>
              <w:right w:val="single" w:sz="8" w:space="0" w:color="auto"/>
            </w:tcBorders>
            <w:shd w:val="clear" w:color="auto" w:fill="auto"/>
            <w:noWrap/>
            <w:vAlign w:val="center"/>
            <w:hideMark/>
          </w:tcPr>
          <w:p w14:paraId="46F33AA2" w14:textId="77777777"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-10.7%</w:t>
            </w:r>
          </w:p>
        </w:tc>
        <w:tc>
          <w:tcPr>
            <w:tcW w:w="1260" w:type="dxa"/>
            <w:tcBorders>
              <w:top w:val="nil"/>
              <w:left w:val="nil"/>
              <w:bottom w:val="single" w:sz="8" w:space="0" w:color="auto"/>
              <w:right w:val="single" w:sz="8" w:space="0" w:color="auto"/>
            </w:tcBorders>
            <w:shd w:val="clear" w:color="auto" w:fill="auto"/>
            <w:noWrap/>
            <w:vAlign w:val="center"/>
            <w:hideMark/>
          </w:tcPr>
          <w:p w14:paraId="7C1D3190" w14:textId="015A3CE5" w:rsidR="00C3169C" w:rsidRPr="00141E91" w:rsidRDefault="00FF6088" w:rsidP="00141E91">
            <w:pPr>
              <w:jc w:val="right"/>
              <w:rPr>
                <w:rFonts w:ascii="Arial" w:hAnsi="Arial" w:cs="Arial"/>
                <w:color w:val="000000"/>
                <w:sz w:val="22"/>
                <w:szCs w:val="22"/>
              </w:rPr>
            </w:pPr>
            <w:r w:rsidRPr="00141E91">
              <w:rPr>
                <w:rFonts w:ascii="Arial" w:hAnsi="Arial" w:cs="Arial"/>
                <w:color w:val="000000"/>
                <w:sz w:val="22"/>
                <w:szCs w:val="22"/>
              </w:rPr>
              <w:t>$</w:t>
            </w:r>
            <w:r w:rsidR="00C3169C" w:rsidRPr="00141E91">
              <w:rPr>
                <w:rFonts w:ascii="Arial" w:hAnsi="Arial" w:cs="Arial"/>
                <w:color w:val="000000"/>
                <w:sz w:val="22"/>
                <w:szCs w:val="22"/>
              </w:rPr>
              <w:t>16.6</w:t>
            </w:r>
          </w:p>
        </w:tc>
        <w:tc>
          <w:tcPr>
            <w:tcW w:w="1180" w:type="dxa"/>
            <w:tcBorders>
              <w:top w:val="nil"/>
              <w:left w:val="nil"/>
              <w:bottom w:val="single" w:sz="8" w:space="0" w:color="auto"/>
              <w:right w:val="single" w:sz="8" w:space="0" w:color="auto"/>
            </w:tcBorders>
            <w:shd w:val="clear" w:color="auto" w:fill="auto"/>
            <w:noWrap/>
            <w:vAlign w:val="center"/>
            <w:hideMark/>
          </w:tcPr>
          <w:p w14:paraId="070363EB" w14:textId="77777777"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0.6%</w:t>
            </w:r>
          </w:p>
        </w:tc>
      </w:tr>
      <w:tr w:rsidR="00B93F7A" w:rsidRPr="00C3169C" w14:paraId="30940A0C" w14:textId="77777777" w:rsidTr="004F6DFE">
        <w:trPr>
          <w:trHeight w:val="385"/>
        </w:trPr>
        <w:tc>
          <w:tcPr>
            <w:tcW w:w="2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C6ADE2" w14:textId="5BD5050A" w:rsidR="00C3169C" w:rsidRPr="00141E91" w:rsidRDefault="00C3169C" w:rsidP="003E7B09">
            <w:pPr>
              <w:jc w:val="center"/>
              <w:rPr>
                <w:rFonts w:ascii="Arial" w:hAnsi="Arial" w:cs="Arial"/>
                <w:b/>
                <w:bCs/>
                <w:color w:val="000000"/>
                <w:sz w:val="22"/>
                <w:szCs w:val="22"/>
              </w:rPr>
            </w:pPr>
            <w:r w:rsidRPr="00141E91">
              <w:rPr>
                <w:rFonts w:ascii="Arial" w:hAnsi="Arial" w:cs="Arial"/>
                <w:b/>
                <w:bCs/>
                <w:color w:val="000000"/>
                <w:sz w:val="22"/>
                <w:szCs w:val="22"/>
              </w:rPr>
              <w:t>Rate Stabilization</w:t>
            </w:r>
          </w:p>
        </w:tc>
        <w:tc>
          <w:tcPr>
            <w:tcW w:w="1260" w:type="dxa"/>
            <w:tcBorders>
              <w:top w:val="nil"/>
              <w:left w:val="nil"/>
              <w:bottom w:val="single" w:sz="8" w:space="0" w:color="auto"/>
              <w:right w:val="single" w:sz="8" w:space="0" w:color="auto"/>
            </w:tcBorders>
            <w:shd w:val="clear" w:color="auto" w:fill="auto"/>
            <w:noWrap/>
            <w:vAlign w:val="center"/>
            <w:hideMark/>
          </w:tcPr>
          <w:p w14:paraId="0509B390" w14:textId="2C4C00CF"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w:t>
            </w:r>
          </w:p>
        </w:tc>
        <w:tc>
          <w:tcPr>
            <w:tcW w:w="1260" w:type="dxa"/>
            <w:tcBorders>
              <w:top w:val="nil"/>
              <w:left w:val="nil"/>
              <w:bottom w:val="single" w:sz="8" w:space="0" w:color="auto"/>
              <w:right w:val="single" w:sz="8" w:space="0" w:color="auto"/>
            </w:tcBorders>
            <w:shd w:val="clear" w:color="auto" w:fill="auto"/>
            <w:noWrap/>
            <w:vAlign w:val="center"/>
            <w:hideMark/>
          </w:tcPr>
          <w:p w14:paraId="603A438C" w14:textId="5F01089B"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w:t>
            </w:r>
          </w:p>
        </w:tc>
        <w:tc>
          <w:tcPr>
            <w:tcW w:w="1340" w:type="dxa"/>
            <w:tcBorders>
              <w:top w:val="nil"/>
              <w:left w:val="nil"/>
              <w:bottom w:val="single" w:sz="8" w:space="0" w:color="auto"/>
              <w:right w:val="single" w:sz="8" w:space="0" w:color="auto"/>
            </w:tcBorders>
            <w:shd w:val="clear" w:color="auto" w:fill="auto"/>
            <w:noWrap/>
            <w:vAlign w:val="center"/>
            <w:hideMark/>
          </w:tcPr>
          <w:p w14:paraId="363E4074" w14:textId="29C816D5"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w:t>
            </w:r>
          </w:p>
        </w:tc>
        <w:tc>
          <w:tcPr>
            <w:tcW w:w="1170" w:type="dxa"/>
            <w:tcBorders>
              <w:top w:val="nil"/>
              <w:left w:val="nil"/>
              <w:bottom w:val="single" w:sz="8" w:space="0" w:color="auto"/>
              <w:right w:val="single" w:sz="8" w:space="0" w:color="auto"/>
            </w:tcBorders>
            <w:shd w:val="clear" w:color="auto" w:fill="auto"/>
            <w:noWrap/>
            <w:vAlign w:val="center"/>
            <w:hideMark/>
          </w:tcPr>
          <w:p w14:paraId="0D3B7FE1" w14:textId="77777777"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0.0%</w:t>
            </w:r>
          </w:p>
        </w:tc>
        <w:tc>
          <w:tcPr>
            <w:tcW w:w="1260" w:type="dxa"/>
            <w:tcBorders>
              <w:top w:val="nil"/>
              <w:left w:val="nil"/>
              <w:bottom w:val="single" w:sz="8" w:space="0" w:color="auto"/>
              <w:right w:val="single" w:sz="8" w:space="0" w:color="auto"/>
            </w:tcBorders>
            <w:shd w:val="clear" w:color="auto" w:fill="auto"/>
            <w:noWrap/>
            <w:vAlign w:val="center"/>
            <w:hideMark/>
          </w:tcPr>
          <w:p w14:paraId="3EA59722" w14:textId="0F921128"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w:t>
            </w:r>
          </w:p>
        </w:tc>
        <w:tc>
          <w:tcPr>
            <w:tcW w:w="1180" w:type="dxa"/>
            <w:tcBorders>
              <w:top w:val="nil"/>
              <w:left w:val="nil"/>
              <w:bottom w:val="single" w:sz="8" w:space="0" w:color="auto"/>
              <w:right w:val="single" w:sz="8" w:space="0" w:color="auto"/>
            </w:tcBorders>
            <w:shd w:val="clear" w:color="auto" w:fill="auto"/>
            <w:noWrap/>
            <w:vAlign w:val="center"/>
            <w:hideMark/>
          </w:tcPr>
          <w:p w14:paraId="71A3B643" w14:textId="77777777" w:rsidR="00C3169C" w:rsidRPr="00141E91" w:rsidRDefault="00C3169C" w:rsidP="00141E91">
            <w:pPr>
              <w:jc w:val="right"/>
              <w:rPr>
                <w:rFonts w:ascii="Arial" w:hAnsi="Arial" w:cs="Arial"/>
                <w:color w:val="000000"/>
                <w:sz w:val="22"/>
                <w:szCs w:val="22"/>
              </w:rPr>
            </w:pPr>
            <w:r w:rsidRPr="00141E91">
              <w:rPr>
                <w:rFonts w:ascii="Arial" w:hAnsi="Arial" w:cs="Arial"/>
                <w:color w:val="000000"/>
                <w:sz w:val="22"/>
                <w:szCs w:val="22"/>
              </w:rPr>
              <w:t>0.0%</w:t>
            </w:r>
          </w:p>
        </w:tc>
      </w:tr>
      <w:tr w:rsidR="003603CB" w:rsidRPr="00C3169C" w14:paraId="27AB234D" w14:textId="77777777" w:rsidTr="00CC6855">
        <w:trPr>
          <w:trHeight w:val="385"/>
        </w:trPr>
        <w:tc>
          <w:tcPr>
            <w:tcW w:w="2070" w:type="dxa"/>
            <w:tcBorders>
              <w:top w:val="nil"/>
              <w:left w:val="single" w:sz="8" w:space="0" w:color="auto"/>
              <w:bottom w:val="single" w:sz="8" w:space="0" w:color="auto"/>
              <w:right w:val="single" w:sz="8" w:space="0" w:color="auto"/>
            </w:tcBorders>
            <w:shd w:val="clear" w:color="auto" w:fill="auto"/>
            <w:vAlign w:val="center"/>
            <w:hideMark/>
          </w:tcPr>
          <w:p w14:paraId="3A5242CE" w14:textId="77777777" w:rsidR="00C3169C" w:rsidRPr="00141E91" w:rsidRDefault="00C3169C" w:rsidP="003E7B09">
            <w:pPr>
              <w:jc w:val="center"/>
              <w:rPr>
                <w:rFonts w:ascii="Arial" w:hAnsi="Arial" w:cs="Arial"/>
                <w:b/>
                <w:bCs/>
                <w:color w:val="000000"/>
                <w:sz w:val="22"/>
                <w:szCs w:val="22"/>
              </w:rPr>
            </w:pPr>
            <w:r w:rsidRPr="00141E91">
              <w:rPr>
                <w:rFonts w:ascii="Arial" w:hAnsi="Arial" w:cs="Arial"/>
                <w:b/>
                <w:bCs/>
                <w:color w:val="000000"/>
                <w:sz w:val="22"/>
                <w:szCs w:val="22"/>
              </w:rPr>
              <w:t>Totals</w:t>
            </w:r>
          </w:p>
        </w:tc>
        <w:tc>
          <w:tcPr>
            <w:tcW w:w="1260" w:type="dxa"/>
            <w:tcBorders>
              <w:top w:val="nil"/>
              <w:left w:val="nil"/>
              <w:bottom w:val="single" w:sz="8" w:space="0" w:color="auto"/>
              <w:right w:val="single" w:sz="8" w:space="0" w:color="auto"/>
            </w:tcBorders>
            <w:shd w:val="clear" w:color="auto" w:fill="auto"/>
            <w:noWrap/>
            <w:vAlign w:val="center"/>
            <w:hideMark/>
          </w:tcPr>
          <w:p w14:paraId="00D9A784" w14:textId="78F884F2" w:rsidR="00C3169C" w:rsidRPr="00141E91" w:rsidRDefault="00C3169C" w:rsidP="00141E91">
            <w:pPr>
              <w:jc w:val="right"/>
              <w:rPr>
                <w:rFonts w:ascii="Arial" w:hAnsi="Arial" w:cs="Arial"/>
                <w:b/>
                <w:bCs/>
                <w:color w:val="000000"/>
                <w:sz w:val="22"/>
                <w:szCs w:val="22"/>
              </w:rPr>
            </w:pPr>
            <w:r w:rsidRPr="00141E91">
              <w:rPr>
                <w:rFonts w:ascii="Arial" w:hAnsi="Arial" w:cs="Arial"/>
                <w:b/>
                <w:bCs/>
                <w:color w:val="000000"/>
                <w:sz w:val="22"/>
                <w:szCs w:val="22"/>
              </w:rPr>
              <w:t>$     533.1</w:t>
            </w:r>
          </w:p>
        </w:tc>
        <w:tc>
          <w:tcPr>
            <w:tcW w:w="1260" w:type="dxa"/>
            <w:tcBorders>
              <w:top w:val="nil"/>
              <w:left w:val="nil"/>
              <w:bottom w:val="single" w:sz="8" w:space="0" w:color="auto"/>
              <w:right w:val="single" w:sz="8" w:space="0" w:color="auto"/>
            </w:tcBorders>
            <w:shd w:val="clear" w:color="auto" w:fill="auto"/>
            <w:noWrap/>
            <w:vAlign w:val="center"/>
            <w:hideMark/>
          </w:tcPr>
          <w:p w14:paraId="38FC1BCA" w14:textId="38F3D311" w:rsidR="00C3169C" w:rsidRPr="00141E91" w:rsidRDefault="00C3169C" w:rsidP="00141E91">
            <w:pPr>
              <w:jc w:val="right"/>
              <w:rPr>
                <w:rFonts w:ascii="Arial" w:hAnsi="Arial" w:cs="Arial"/>
                <w:b/>
                <w:bCs/>
                <w:color w:val="000000"/>
                <w:sz w:val="22"/>
                <w:szCs w:val="22"/>
              </w:rPr>
            </w:pPr>
            <w:r w:rsidRPr="00141E91">
              <w:rPr>
                <w:rFonts w:ascii="Arial" w:hAnsi="Arial" w:cs="Arial"/>
                <w:b/>
                <w:bCs/>
                <w:color w:val="000000"/>
                <w:sz w:val="22"/>
                <w:szCs w:val="22"/>
              </w:rPr>
              <w:t>$     549.3</w:t>
            </w:r>
          </w:p>
        </w:tc>
        <w:tc>
          <w:tcPr>
            <w:tcW w:w="1340" w:type="dxa"/>
            <w:tcBorders>
              <w:top w:val="nil"/>
              <w:left w:val="nil"/>
              <w:bottom w:val="single" w:sz="8" w:space="0" w:color="auto"/>
              <w:right w:val="single" w:sz="8" w:space="0" w:color="auto"/>
            </w:tcBorders>
            <w:shd w:val="clear" w:color="auto" w:fill="auto"/>
            <w:noWrap/>
            <w:vAlign w:val="center"/>
            <w:hideMark/>
          </w:tcPr>
          <w:p w14:paraId="3AC2EE00" w14:textId="5C974B70" w:rsidR="00C3169C" w:rsidRPr="00141E91" w:rsidRDefault="00C3169C" w:rsidP="00141E91">
            <w:pPr>
              <w:jc w:val="right"/>
              <w:rPr>
                <w:rFonts w:ascii="Arial" w:hAnsi="Arial" w:cs="Arial"/>
                <w:b/>
                <w:bCs/>
                <w:color w:val="000000"/>
                <w:sz w:val="22"/>
                <w:szCs w:val="22"/>
              </w:rPr>
            </w:pPr>
            <w:r w:rsidRPr="00141E91">
              <w:rPr>
                <w:rFonts w:ascii="Arial" w:hAnsi="Arial" w:cs="Arial"/>
                <w:b/>
                <w:bCs/>
                <w:color w:val="000000"/>
                <w:sz w:val="22"/>
                <w:szCs w:val="22"/>
              </w:rPr>
              <w:t>$       16.2</w:t>
            </w:r>
          </w:p>
        </w:tc>
        <w:tc>
          <w:tcPr>
            <w:tcW w:w="1170" w:type="dxa"/>
            <w:tcBorders>
              <w:top w:val="nil"/>
              <w:left w:val="nil"/>
              <w:bottom w:val="single" w:sz="8" w:space="0" w:color="auto"/>
              <w:right w:val="single" w:sz="8" w:space="0" w:color="auto"/>
            </w:tcBorders>
            <w:shd w:val="clear" w:color="auto" w:fill="auto"/>
            <w:noWrap/>
            <w:vAlign w:val="center"/>
            <w:hideMark/>
          </w:tcPr>
          <w:p w14:paraId="63313E3B" w14:textId="77777777" w:rsidR="00C3169C" w:rsidRPr="00141E91" w:rsidRDefault="00C3169C" w:rsidP="00141E91">
            <w:pPr>
              <w:jc w:val="right"/>
              <w:rPr>
                <w:rFonts w:ascii="Arial" w:hAnsi="Arial" w:cs="Arial"/>
                <w:b/>
                <w:bCs/>
                <w:color w:val="000000"/>
                <w:sz w:val="22"/>
                <w:szCs w:val="22"/>
              </w:rPr>
            </w:pPr>
            <w:r w:rsidRPr="00141E91">
              <w:rPr>
                <w:rFonts w:ascii="Arial" w:hAnsi="Arial" w:cs="Arial"/>
                <w:b/>
                <w:bCs/>
                <w:color w:val="000000"/>
                <w:sz w:val="22"/>
                <w:szCs w:val="22"/>
              </w:rPr>
              <w:t>3.0%</w:t>
            </w:r>
          </w:p>
        </w:tc>
        <w:tc>
          <w:tcPr>
            <w:tcW w:w="1260" w:type="dxa"/>
            <w:tcBorders>
              <w:top w:val="nil"/>
              <w:left w:val="nil"/>
              <w:bottom w:val="single" w:sz="8" w:space="0" w:color="auto"/>
              <w:right w:val="single" w:sz="8" w:space="0" w:color="auto"/>
            </w:tcBorders>
            <w:shd w:val="clear" w:color="auto" w:fill="auto"/>
            <w:noWrap/>
            <w:vAlign w:val="center"/>
            <w:hideMark/>
          </w:tcPr>
          <w:p w14:paraId="732D3B2B" w14:textId="38D41EC8" w:rsidR="00C3169C" w:rsidRPr="00141E91" w:rsidRDefault="00C3169C" w:rsidP="00141E91">
            <w:pPr>
              <w:jc w:val="right"/>
              <w:rPr>
                <w:rFonts w:ascii="Arial" w:hAnsi="Arial" w:cs="Arial"/>
                <w:b/>
                <w:bCs/>
                <w:color w:val="000000"/>
                <w:sz w:val="22"/>
                <w:szCs w:val="22"/>
              </w:rPr>
            </w:pPr>
            <w:r w:rsidRPr="00141E91">
              <w:rPr>
                <w:rFonts w:ascii="Arial" w:hAnsi="Arial" w:cs="Arial"/>
                <w:b/>
                <w:bCs/>
                <w:color w:val="000000"/>
                <w:sz w:val="22"/>
                <w:szCs w:val="22"/>
              </w:rPr>
              <w:t>$     582.2</w:t>
            </w:r>
          </w:p>
        </w:tc>
        <w:tc>
          <w:tcPr>
            <w:tcW w:w="1180" w:type="dxa"/>
            <w:tcBorders>
              <w:top w:val="nil"/>
              <w:left w:val="nil"/>
              <w:bottom w:val="single" w:sz="8" w:space="0" w:color="auto"/>
              <w:right w:val="single" w:sz="8" w:space="0" w:color="auto"/>
            </w:tcBorders>
            <w:shd w:val="clear" w:color="auto" w:fill="auto"/>
            <w:noWrap/>
            <w:vAlign w:val="center"/>
            <w:hideMark/>
          </w:tcPr>
          <w:p w14:paraId="2943C361" w14:textId="77777777" w:rsidR="00C3169C" w:rsidRPr="00141E91" w:rsidRDefault="00C3169C" w:rsidP="00141E91">
            <w:pPr>
              <w:jc w:val="right"/>
              <w:rPr>
                <w:rFonts w:ascii="Arial" w:hAnsi="Arial" w:cs="Arial"/>
                <w:b/>
                <w:bCs/>
                <w:color w:val="000000"/>
                <w:sz w:val="22"/>
                <w:szCs w:val="22"/>
              </w:rPr>
            </w:pPr>
            <w:r w:rsidRPr="00141E91">
              <w:rPr>
                <w:rFonts w:ascii="Arial" w:hAnsi="Arial" w:cs="Arial"/>
                <w:b/>
                <w:bCs/>
                <w:color w:val="000000"/>
                <w:sz w:val="22"/>
                <w:szCs w:val="22"/>
              </w:rPr>
              <w:t>6.0%</w:t>
            </w:r>
          </w:p>
        </w:tc>
      </w:tr>
    </w:tbl>
    <w:p w14:paraId="70A272C5" w14:textId="77777777" w:rsidR="00CA6C67" w:rsidRPr="00D876D7" w:rsidRDefault="00CA6C67" w:rsidP="00CA6C67">
      <w:pPr>
        <w:jc w:val="both"/>
        <w:rPr>
          <w:rFonts w:ascii="Arial" w:hAnsi="Arial" w:cs="Arial"/>
        </w:rPr>
      </w:pPr>
    </w:p>
    <w:p w14:paraId="2319E7D4" w14:textId="6BB5B5D0" w:rsidR="00CA6C67" w:rsidRDefault="00CA6C67" w:rsidP="003F5297">
      <w:pPr>
        <w:spacing w:line="264" w:lineRule="auto"/>
        <w:jc w:val="both"/>
        <w:rPr>
          <w:rFonts w:ascii="Arial" w:hAnsi="Arial" w:cs="Arial"/>
        </w:rPr>
      </w:pPr>
      <w:r>
        <w:rPr>
          <w:rFonts w:ascii="Arial" w:hAnsi="Arial" w:cs="Arial"/>
        </w:rPr>
        <w:t xml:space="preserve">Operating revenues reflect both the rate charged, and the numbers of residential and commercial accounts and their flow volumes—translated into Residential Customer Equivalents (the sewer rate and capacity charge rate are assessed per monthly RCE).  As RCE’s increase or decrease based on population growth and economic conditions, corresponding changes are reflected in total operating revenues.  </w:t>
      </w:r>
      <w:r w:rsidR="000C6360">
        <w:rPr>
          <w:rFonts w:ascii="Arial" w:hAnsi="Arial" w:cs="Arial"/>
        </w:rPr>
        <w:t xml:space="preserve">RCE </w:t>
      </w:r>
      <w:r w:rsidR="009D2F5A">
        <w:rPr>
          <w:rFonts w:ascii="Arial" w:hAnsi="Arial" w:cs="Arial"/>
        </w:rPr>
        <w:t xml:space="preserve">counts have been </w:t>
      </w:r>
      <w:r w:rsidR="009D2F5A">
        <w:rPr>
          <w:rFonts w:ascii="Arial" w:hAnsi="Arial" w:cs="Arial"/>
        </w:rPr>
        <w:lastRenderedPageBreak/>
        <w:t xml:space="preserve">impacted by the economic slowdown associated with the COVID-19 </w:t>
      </w:r>
      <w:r w:rsidR="00CA147A">
        <w:rPr>
          <w:rFonts w:ascii="Arial" w:hAnsi="Arial" w:cs="Arial"/>
        </w:rPr>
        <w:t xml:space="preserve">pandemic, as businesses </w:t>
      </w:r>
      <w:r w:rsidR="002321F8">
        <w:rPr>
          <w:rFonts w:ascii="Arial" w:hAnsi="Arial" w:cs="Arial"/>
        </w:rPr>
        <w:t xml:space="preserve">and industrial plants </w:t>
      </w:r>
      <w:r w:rsidR="00CA147A">
        <w:rPr>
          <w:rFonts w:ascii="Arial" w:hAnsi="Arial" w:cs="Arial"/>
        </w:rPr>
        <w:t xml:space="preserve">have reduced operations or </w:t>
      </w:r>
      <w:r w:rsidR="002321F8">
        <w:rPr>
          <w:rFonts w:ascii="Arial" w:hAnsi="Arial" w:cs="Arial"/>
        </w:rPr>
        <w:t xml:space="preserve">closed.  The table below </w:t>
      </w:r>
      <w:r w:rsidR="006136B6">
        <w:rPr>
          <w:rFonts w:ascii="Arial" w:hAnsi="Arial" w:cs="Arial"/>
        </w:rPr>
        <w:t xml:space="preserve">depicts the projected impacts </w:t>
      </w:r>
      <w:r w:rsidR="006A1820">
        <w:rPr>
          <w:rFonts w:ascii="Arial" w:hAnsi="Arial" w:cs="Arial"/>
        </w:rPr>
        <w:t>of these RCE reductions on revenues</w:t>
      </w:r>
      <w:r w:rsidR="00000F8F">
        <w:rPr>
          <w:rFonts w:ascii="Arial" w:hAnsi="Arial" w:cs="Arial"/>
        </w:rPr>
        <w:t xml:space="preserve">, in terms of </w:t>
      </w:r>
      <w:r w:rsidR="003C062E">
        <w:rPr>
          <w:rFonts w:ascii="Arial" w:hAnsi="Arial" w:cs="Arial"/>
        </w:rPr>
        <w:t>proportionate reduc</w:t>
      </w:r>
      <w:r w:rsidR="006A080A">
        <w:rPr>
          <w:rFonts w:ascii="Arial" w:hAnsi="Arial" w:cs="Arial"/>
        </w:rPr>
        <w:t xml:space="preserve">tions in RCE counts and </w:t>
      </w:r>
      <w:r w:rsidR="00AE3597">
        <w:rPr>
          <w:rFonts w:ascii="Arial" w:hAnsi="Arial" w:cs="Arial"/>
        </w:rPr>
        <w:t>associated revenue impacts.</w:t>
      </w:r>
      <w:r w:rsidR="006A080A">
        <w:rPr>
          <w:rFonts w:ascii="Arial" w:hAnsi="Arial" w:cs="Arial"/>
        </w:rPr>
        <w:t xml:space="preserve"> </w:t>
      </w:r>
    </w:p>
    <w:p w14:paraId="350CEEA4" w14:textId="4708D2A3" w:rsidR="00AE3597" w:rsidRDefault="00AE3597" w:rsidP="00CA6C67">
      <w:pPr>
        <w:jc w:val="both"/>
        <w:rPr>
          <w:rFonts w:ascii="Arial" w:hAnsi="Arial" w:cs="Arial"/>
        </w:rPr>
      </w:pPr>
    </w:p>
    <w:p w14:paraId="49818E8C" w14:textId="77777777" w:rsidR="009D290C" w:rsidRDefault="00CA6C67" w:rsidP="00CA6C67">
      <w:pPr>
        <w:jc w:val="center"/>
        <w:rPr>
          <w:rFonts w:ascii="Arial" w:hAnsi="Arial" w:cs="Arial"/>
          <w:b/>
          <w:szCs w:val="24"/>
        </w:rPr>
      </w:pPr>
      <w:r w:rsidRPr="004E62B4">
        <w:rPr>
          <w:rFonts w:ascii="Arial" w:hAnsi="Arial" w:cs="Arial"/>
          <w:b/>
          <w:szCs w:val="24"/>
        </w:rPr>
        <w:t xml:space="preserve">Table </w:t>
      </w:r>
      <w:r w:rsidR="004919C4">
        <w:rPr>
          <w:rFonts w:ascii="Arial" w:hAnsi="Arial" w:cs="Arial"/>
          <w:b/>
          <w:szCs w:val="24"/>
        </w:rPr>
        <w:t>5</w:t>
      </w:r>
      <w:r w:rsidRPr="004E62B4">
        <w:rPr>
          <w:rFonts w:ascii="Arial" w:hAnsi="Arial" w:cs="Arial"/>
          <w:b/>
          <w:szCs w:val="24"/>
        </w:rPr>
        <w:t xml:space="preserve">.  </w:t>
      </w:r>
    </w:p>
    <w:p w14:paraId="1F0C4703" w14:textId="0A467D82" w:rsidR="00CA6C67" w:rsidRDefault="005408DC" w:rsidP="00CA6C67">
      <w:pPr>
        <w:jc w:val="center"/>
        <w:rPr>
          <w:rFonts w:ascii="Arial" w:hAnsi="Arial" w:cs="Arial"/>
          <w:b/>
          <w:szCs w:val="24"/>
        </w:rPr>
      </w:pPr>
      <w:r>
        <w:rPr>
          <w:rFonts w:ascii="Arial" w:hAnsi="Arial" w:cs="Arial"/>
          <w:b/>
          <w:szCs w:val="24"/>
        </w:rPr>
        <w:t xml:space="preserve">Impact of COVID-19 </w:t>
      </w:r>
      <w:r w:rsidR="001A2110">
        <w:rPr>
          <w:rFonts w:ascii="Arial" w:hAnsi="Arial" w:cs="Arial"/>
          <w:b/>
          <w:szCs w:val="24"/>
        </w:rPr>
        <w:t>Economic Slowdown on RCE</w:t>
      </w:r>
      <w:r w:rsidR="00B51BF4">
        <w:rPr>
          <w:rFonts w:ascii="Arial" w:hAnsi="Arial" w:cs="Arial"/>
          <w:b/>
          <w:szCs w:val="24"/>
        </w:rPr>
        <w:t>s and Revenues</w:t>
      </w:r>
    </w:p>
    <w:p w14:paraId="4D49A63D" w14:textId="77777777" w:rsidR="009D290C" w:rsidRPr="004E62B4" w:rsidRDefault="009D290C" w:rsidP="00CA6C67">
      <w:pPr>
        <w:jc w:val="center"/>
        <w:rPr>
          <w:rFonts w:ascii="Arial" w:hAnsi="Arial" w:cs="Arial"/>
          <w:szCs w:val="24"/>
        </w:rPr>
      </w:pPr>
    </w:p>
    <w:tbl>
      <w:tblPr>
        <w:tblW w:w="9265" w:type="dxa"/>
        <w:jc w:val="center"/>
        <w:tblLayout w:type="fixed"/>
        <w:tblLook w:val="04A0" w:firstRow="1" w:lastRow="0" w:firstColumn="1" w:lastColumn="0" w:noHBand="0" w:noVBand="1"/>
      </w:tblPr>
      <w:tblGrid>
        <w:gridCol w:w="1262"/>
        <w:gridCol w:w="1483"/>
        <w:gridCol w:w="1483"/>
        <w:gridCol w:w="1483"/>
        <w:gridCol w:w="1484"/>
        <w:gridCol w:w="2070"/>
      </w:tblGrid>
      <w:tr w:rsidR="003E2FA4" w:rsidRPr="009D290C" w14:paraId="75F6A574" w14:textId="77777777" w:rsidTr="009D290C">
        <w:trPr>
          <w:trHeight w:val="170"/>
          <w:jc w:val="center"/>
        </w:trPr>
        <w:tc>
          <w:tcPr>
            <w:tcW w:w="1262"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50D06D9" w14:textId="77777777" w:rsidR="003E2FA4" w:rsidRPr="009D290C" w:rsidRDefault="003E2FA4" w:rsidP="0037234A">
            <w:pPr>
              <w:rPr>
                <w:rFonts w:ascii="Arial" w:hAnsi="Arial" w:cs="Arial"/>
                <w:szCs w:val="24"/>
              </w:rPr>
            </w:pPr>
          </w:p>
        </w:tc>
        <w:tc>
          <w:tcPr>
            <w:tcW w:w="1483" w:type="dxa"/>
            <w:tcBorders>
              <w:top w:val="single" w:sz="4" w:space="0" w:color="auto"/>
              <w:left w:val="nil"/>
              <w:bottom w:val="single" w:sz="4" w:space="0" w:color="auto"/>
              <w:right w:val="single" w:sz="4" w:space="0" w:color="auto"/>
            </w:tcBorders>
            <w:shd w:val="clear" w:color="auto" w:fill="000000" w:themeFill="text1"/>
            <w:noWrap/>
            <w:vAlign w:val="bottom"/>
          </w:tcPr>
          <w:p w14:paraId="4FCC749E" w14:textId="707706EC" w:rsidR="003E2FA4" w:rsidRPr="009D290C" w:rsidRDefault="003E2FA4" w:rsidP="0037234A">
            <w:pPr>
              <w:ind w:right="50"/>
              <w:jc w:val="center"/>
              <w:rPr>
                <w:rFonts w:ascii="Arial" w:hAnsi="Arial" w:cs="Arial"/>
                <w:b/>
                <w:szCs w:val="24"/>
              </w:rPr>
            </w:pPr>
            <w:r w:rsidRPr="009D290C">
              <w:rPr>
                <w:rFonts w:ascii="Arial" w:hAnsi="Arial" w:cs="Arial"/>
                <w:b/>
                <w:szCs w:val="24"/>
              </w:rPr>
              <w:t>Quarter 1</w:t>
            </w:r>
          </w:p>
          <w:p w14:paraId="71A2BDAB" w14:textId="77777777" w:rsidR="003E2FA4" w:rsidRPr="009D290C" w:rsidRDefault="003E2FA4" w:rsidP="0037234A">
            <w:pPr>
              <w:ind w:right="50"/>
              <w:jc w:val="center"/>
              <w:rPr>
                <w:rFonts w:ascii="Arial" w:hAnsi="Arial" w:cs="Arial"/>
                <w:b/>
                <w:szCs w:val="24"/>
              </w:rPr>
            </w:pPr>
          </w:p>
        </w:tc>
        <w:tc>
          <w:tcPr>
            <w:tcW w:w="1483" w:type="dxa"/>
            <w:tcBorders>
              <w:top w:val="single" w:sz="4" w:space="0" w:color="auto"/>
              <w:left w:val="nil"/>
              <w:bottom w:val="single" w:sz="4" w:space="0" w:color="auto"/>
              <w:right w:val="single" w:sz="4" w:space="0" w:color="auto"/>
            </w:tcBorders>
            <w:shd w:val="clear" w:color="auto" w:fill="000000" w:themeFill="text1"/>
            <w:noWrap/>
            <w:vAlign w:val="bottom"/>
          </w:tcPr>
          <w:p w14:paraId="0B533505" w14:textId="7BFB4CE6" w:rsidR="003E2FA4" w:rsidRPr="009D290C" w:rsidRDefault="003E2FA4" w:rsidP="0037234A">
            <w:pPr>
              <w:ind w:right="50"/>
              <w:jc w:val="center"/>
              <w:rPr>
                <w:rFonts w:ascii="Arial" w:hAnsi="Arial" w:cs="Arial"/>
                <w:b/>
                <w:szCs w:val="24"/>
              </w:rPr>
            </w:pPr>
            <w:r w:rsidRPr="009D290C">
              <w:rPr>
                <w:rFonts w:ascii="Arial" w:hAnsi="Arial" w:cs="Arial"/>
                <w:b/>
                <w:szCs w:val="24"/>
              </w:rPr>
              <w:t>Quarter 2</w:t>
            </w:r>
          </w:p>
          <w:p w14:paraId="1225C9E0" w14:textId="77777777" w:rsidR="003E2FA4" w:rsidRPr="009D290C" w:rsidRDefault="003E2FA4" w:rsidP="0037234A">
            <w:pPr>
              <w:ind w:right="50"/>
              <w:jc w:val="center"/>
              <w:rPr>
                <w:rFonts w:ascii="Arial" w:hAnsi="Arial" w:cs="Arial"/>
                <w:b/>
                <w:szCs w:val="24"/>
              </w:rPr>
            </w:pPr>
          </w:p>
        </w:tc>
        <w:tc>
          <w:tcPr>
            <w:tcW w:w="1483" w:type="dxa"/>
            <w:tcBorders>
              <w:top w:val="single" w:sz="4" w:space="0" w:color="auto"/>
              <w:left w:val="nil"/>
              <w:bottom w:val="single" w:sz="4" w:space="0" w:color="auto"/>
              <w:right w:val="single" w:sz="4" w:space="0" w:color="auto"/>
            </w:tcBorders>
            <w:shd w:val="clear" w:color="auto" w:fill="000000" w:themeFill="text1"/>
            <w:noWrap/>
            <w:vAlign w:val="bottom"/>
          </w:tcPr>
          <w:p w14:paraId="4EBE4DAC" w14:textId="34071883" w:rsidR="003E2FA4" w:rsidRPr="009D290C" w:rsidRDefault="003E2FA4" w:rsidP="0037234A">
            <w:pPr>
              <w:ind w:right="50"/>
              <w:jc w:val="center"/>
              <w:rPr>
                <w:rFonts w:ascii="Arial" w:hAnsi="Arial" w:cs="Arial"/>
                <w:b/>
                <w:szCs w:val="24"/>
              </w:rPr>
            </w:pPr>
            <w:r w:rsidRPr="009D290C">
              <w:rPr>
                <w:rFonts w:ascii="Arial" w:hAnsi="Arial" w:cs="Arial"/>
                <w:b/>
                <w:szCs w:val="24"/>
              </w:rPr>
              <w:t>Quarter 3</w:t>
            </w:r>
          </w:p>
          <w:p w14:paraId="75B69B45" w14:textId="77777777" w:rsidR="003E2FA4" w:rsidRPr="009D290C" w:rsidRDefault="003E2FA4" w:rsidP="0037234A">
            <w:pPr>
              <w:ind w:right="50"/>
              <w:jc w:val="center"/>
              <w:rPr>
                <w:rFonts w:ascii="Arial" w:hAnsi="Arial" w:cs="Arial"/>
                <w:b/>
                <w:szCs w:val="24"/>
              </w:rPr>
            </w:pPr>
          </w:p>
        </w:tc>
        <w:tc>
          <w:tcPr>
            <w:tcW w:w="1484" w:type="dxa"/>
            <w:tcBorders>
              <w:top w:val="single" w:sz="4" w:space="0" w:color="auto"/>
              <w:left w:val="nil"/>
              <w:bottom w:val="single" w:sz="4" w:space="0" w:color="auto"/>
              <w:right w:val="single" w:sz="4" w:space="0" w:color="auto"/>
            </w:tcBorders>
            <w:shd w:val="clear" w:color="auto" w:fill="000000" w:themeFill="text1"/>
            <w:noWrap/>
            <w:vAlign w:val="bottom"/>
          </w:tcPr>
          <w:p w14:paraId="796F9375" w14:textId="15D410EA" w:rsidR="003E2FA4" w:rsidRPr="009D290C" w:rsidRDefault="003E2FA4" w:rsidP="0037234A">
            <w:pPr>
              <w:ind w:right="50"/>
              <w:jc w:val="center"/>
              <w:rPr>
                <w:rFonts w:ascii="Arial" w:hAnsi="Arial" w:cs="Arial"/>
                <w:b/>
                <w:szCs w:val="24"/>
              </w:rPr>
            </w:pPr>
            <w:r w:rsidRPr="009D290C">
              <w:rPr>
                <w:rFonts w:ascii="Arial" w:hAnsi="Arial" w:cs="Arial"/>
                <w:b/>
                <w:szCs w:val="24"/>
              </w:rPr>
              <w:t>Quarter 4</w:t>
            </w:r>
          </w:p>
          <w:p w14:paraId="4878F733" w14:textId="77777777" w:rsidR="003E2FA4" w:rsidRPr="009D290C" w:rsidRDefault="003E2FA4" w:rsidP="0037234A">
            <w:pPr>
              <w:ind w:right="50"/>
              <w:jc w:val="center"/>
              <w:rPr>
                <w:rFonts w:ascii="Arial" w:hAnsi="Arial" w:cs="Arial"/>
                <w:b/>
                <w:szCs w:val="24"/>
              </w:rPr>
            </w:pPr>
          </w:p>
        </w:tc>
        <w:tc>
          <w:tcPr>
            <w:tcW w:w="2070" w:type="dxa"/>
            <w:tcBorders>
              <w:top w:val="single" w:sz="4" w:space="0" w:color="auto"/>
              <w:left w:val="nil"/>
              <w:bottom w:val="single" w:sz="4" w:space="0" w:color="auto"/>
              <w:right w:val="single" w:sz="4" w:space="0" w:color="auto"/>
            </w:tcBorders>
            <w:shd w:val="clear" w:color="auto" w:fill="000000" w:themeFill="text1"/>
            <w:noWrap/>
            <w:vAlign w:val="bottom"/>
          </w:tcPr>
          <w:p w14:paraId="63B03791" w14:textId="1D700FF9" w:rsidR="003E2FA4" w:rsidRPr="009D290C" w:rsidRDefault="003E2FA4" w:rsidP="0037234A">
            <w:pPr>
              <w:ind w:right="50"/>
              <w:jc w:val="center"/>
              <w:rPr>
                <w:rFonts w:ascii="Arial" w:hAnsi="Arial" w:cs="Arial"/>
                <w:b/>
                <w:szCs w:val="24"/>
              </w:rPr>
            </w:pPr>
            <w:r w:rsidRPr="009D290C">
              <w:rPr>
                <w:rFonts w:ascii="Arial" w:hAnsi="Arial" w:cs="Arial"/>
                <w:b/>
                <w:szCs w:val="24"/>
              </w:rPr>
              <w:t>Total Shortfall</w:t>
            </w:r>
          </w:p>
          <w:p w14:paraId="7A509FEC" w14:textId="77777777" w:rsidR="003E2FA4" w:rsidRPr="009D290C" w:rsidRDefault="003E2FA4" w:rsidP="0037234A">
            <w:pPr>
              <w:ind w:right="50"/>
              <w:jc w:val="center"/>
              <w:rPr>
                <w:rFonts w:ascii="Arial" w:hAnsi="Arial" w:cs="Arial"/>
                <w:b/>
                <w:szCs w:val="24"/>
              </w:rPr>
            </w:pPr>
          </w:p>
        </w:tc>
      </w:tr>
      <w:tr w:rsidR="003E2FA4" w:rsidRPr="009D290C" w14:paraId="0FF3258E" w14:textId="77777777" w:rsidTr="009D290C">
        <w:trPr>
          <w:trHeight w:val="300"/>
          <w:jc w:val="center"/>
        </w:trPr>
        <w:tc>
          <w:tcPr>
            <w:tcW w:w="12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6542C" w14:textId="7E27ADAC" w:rsidR="003E2FA4" w:rsidRPr="009D290C" w:rsidRDefault="003E2FA4" w:rsidP="009D290C">
            <w:pPr>
              <w:jc w:val="center"/>
              <w:rPr>
                <w:rFonts w:ascii="Arial" w:hAnsi="Arial" w:cs="Arial"/>
                <w:b/>
                <w:szCs w:val="24"/>
              </w:rPr>
            </w:pPr>
            <w:r w:rsidRPr="009D290C">
              <w:rPr>
                <w:rFonts w:ascii="Arial" w:hAnsi="Arial" w:cs="Arial"/>
                <w:b/>
                <w:szCs w:val="24"/>
              </w:rPr>
              <w:t>2020</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4947C75E" w14:textId="33852EE4" w:rsidR="003E2FA4" w:rsidRPr="009D290C" w:rsidRDefault="003E2FA4" w:rsidP="0037234A">
            <w:pPr>
              <w:jc w:val="right"/>
              <w:rPr>
                <w:rFonts w:ascii="Arial" w:hAnsi="Arial" w:cs="Arial"/>
                <w:szCs w:val="24"/>
              </w:rPr>
            </w:pPr>
            <w:r w:rsidRPr="009D290C">
              <w:rPr>
                <w:rFonts w:ascii="Arial" w:hAnsi="Arial" w:cs="Arial"/>
                <w:szCs w:val="24"/>
              </w:rPr>
              <w:t>1.9%</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61B84181" w14:textId="72109238" w:rsidR="003E2FA4" w:rsidRPr="009D290C" w:rsidRDefault="005534CC" w:rsidP="0037234A">
            <w:pPr>
              <w:jc w:val="right"/>
              <w:rPr>
                <w:rFonts w:ascii="Arial" w:hAnsi="Arial" w:cs="Arial"/>
                <w:szCs w:val="24"/>
              </w:rPr>
            </w:pPr>
            <w:r w:rsidRPr="009D290C">
              <w:rPr>
                <w:rFonts w:ascii="Arial" w:hAnsi="Arial" w:cs="Arial"/>
                <w:szCs w:val="24"/>
              </w:rPr>
              <w:t>(</w:t>
            </w:r>
            <w:r w:rsidR="003E2FA4" w:rsidRPr="009D290C">
              <w:rPr>
                <w:rFonts w:ascii="Arial" w:hAnsi="Arial" w:cs="Arial"/>
                <w:szCs w:val="24"/>
              </w:rPr>
              <w:t>15.1%</w:t>
            </w:r>
            <w:r w:rsidR="00916800" w:rsidRPr="009D290C">
              <w:rPr>
                <w:rFonts w:ascii="Arial" w:hAnsi="Arial" w:cs="Arial"/>
                <w:szCs w:val="24"/>
              </w:rPr>
              <w:t>)</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74B5E254" w14:textId="122B5690" w:rsidR="003E2FA4" w:rsidRPr="009D290C" w:rsidRDefault="00916800" w:rsidP="0037234A">
            <w:pPr>
              <w:jc w:val="right"/>
              <w:rPr>
                <w:rFonts w:ascii="Arial" w:hAnsi="Arial" w:cs="Arial"/>
                <w:szCs w:val="24"/>
              </w:rPr>
            </w:pPr>
            <w:r w:rsidRPr="009D290C">
              <w:rPr>
                <w:rFonts w:ascii="Arial" w:hAnsi="Arial" w:cs="Arial"/>
                <w:szCs w:val="24"/>
              </w:rPr>
              <w:t>(</w:t>
            </w:r>
            <w:r w:rsidR="003E2FA4" w:rsidRPr="009D290C">
              <w:rPr>
                <w:rFonts w:ascii="Arial" w:hAnsi="Arial" w:cs="Arial"/>
                <w:szCs w:val="24"/>
              </w:rPr>
              <w:t>13.5%</w:t>
            </w:r>
            <w:r w:rsidRPr="009D290C">
              <w:rPr>
                <w:rFonts w:ascii="Arial" w:hAnsi="Arial" w:cs="Arial"/>
                <w:szCs w:val="24"/>
              </w:rPr>
              <w:t>)</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14:paraId="00B8A303" w14:textId="63FA1E04" w:rsidR="003E2FA4" w:rsidRPr="009D290C" w:rsidRDefault="00903F51" w:rsidP="0037234A">
            <w:pPr>
              <w:jc w:val="right"/>
              <w:rPr>
                <w:rFonts w:ascii="Arial" w:hAnsi="Arial" w:cs="Arial"/>
                <w:szCs w:val="24"/>
              </w:rPr>
            </w:pPr>
            <w:r w:rsidRPr="009D290C">
              <w:rPr>
                <w:rFonts w:ascii="Arial" w:hAnsi="Arial" w:cs="Arial"/>
                <w:szCs w:val="24"/>
              </w:rPr>
              <w:t>(</w:t>
            </w:r>
            <w:r w:rsidR="00916800" w:rsidRPr="009D290C">
              <w:rPr>
                <w:rFonts w:ascii="Arial" w:hAnsi="Arial" w:cs="Arial"/>
                <w:szCs w:val="24"/>
              </w:rPr>
              <w:t>1</w:t>
            </w:r>
            <w:r w:rsidR="003E2FA4" w:rsidRPr="009D290C">
              <w:rPr>
                <w:rFonts w:ascii="Arial" w:hAnsi="Arial" w:cs="Arial"/>
                <w:szCs w:val="24"/>
              </w:rPr>
              <w:t>0.0%</w:t>
            </w:r>
            <w:r w:rsidRPr="009D290C">
              <w:rPr>
                <w:rFonts w:ascii="Arial" w:hAnsi="Arial" w:cs="Arial"/>
                <w:szCs w:val="24"/>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46524C2F" w14:textId="6A06034C" w:rsidR="003E2FA4" w:rsidRPr="009D290C" w:rsidRDefault="008B5F66" w:rsidP="0037234A">
            <w:pPr>
              <w:jc w:val="right"/>
              <w:rPr>
                <w:rFonts w:ascii="Arial" w:hAnsi="Arial" w:cs="Arial"/>
                <w:szCs w:val="24"/>
              </w:rPr>
            </w:pPr>
            <w:r w:rsidRPr="009D290C">
              <w:rPr>
                <w:rFonts w:ascii="Arial" w:hAnsi="Arial" w:cs="Arial"/>
                <w:szCs w:val="24"/>
              </w:rPr>
              <w:t>(</w:t>
            </w:r>
            <w:r w:rsidR="003E2FA4" w:rsidRPr="009D290C">
              <w:rPr>
                <w:rFonts w:ascii="Arial" w:hAnsi="Arial" w:cs="Arial"/>
                <w:szCs w:val="24"/>
              </w:rPr>
              <w:t>$649,056</w:t>
            </w:r>
            <w:r w:rsidRPr="009D290C">
              <w:rPr>
                <w:rFonts w:ascii="Arial" w:hAnsi="Arial" w:cs="Arial"/>
                <w:szCs w:val="24"/>
              </w:rPr>
              <w:t>)</w:t>
            </w:r>
          </w:p>
        </w:tc>
      </w:tr>
      <w:tr w:rsidR="003E2FA4" w:rsidRPr="009D290C" w14:paraId="2150FBF4" w14:textId="77777777" w:rsidTr="009D290C">
        <w:trPr>
          <w:trHeight w:val="300"/>
          <w:jc w:val="center"/>
        </w:trPr>
        <w:tc>
          <w:tcPr>
            <w:tcW w:w="1262" w:type="dxa"/>
            <w:tcBorders>
              <w:top w:val="nil"/>
              <w:left w:val="single" w:sz="4" w:space="0" w:color="auto"/>
              <w:bottom w:val="single" w:sz="4" w:space="0" w:color="auto"/>
              <w:right w:val="single" w:sz="4" w:space="0" w:color="auto"/>
            </w:tcBorders>
            <w:shd w:val="clear" w:color="auto" w:fill="auto"/>
            <w:vAlign w:val="bottom"/>
            <w:hideMark/>
          </w:tcPr>
          <w:p w14:paraId="7DF4749A" w14:textId="0F33AD19" w:rsidR="003E2FA4" w:rsidRPr="009D290C" w:rsidRDefault="003E2FA4" w:rsidP="009D290C">
            <w:pPr>
              <w:jc w:val="center"/>
              <w:rPr>
                <w:rFonts w:ascii="Arial" w:hAnsi="Arial" w:cs="Arial"/>
                <w:b/>
                <w:szCs w:val="24"/>
              </w:rPr>
            </w:pPr>
            <w:r w:rsidRPr="009D290C">
              <w:rPr>
                <w:rFonts w:ascii="Arial" w:hAnsi="Arial" w:cs="Arial"/>
                <w:b/>
                <w:szCs w:val="24"/>
              </w:rPr>
              <w:t>2021</w:t>
            </w:r>
          </w:p>
        </w:tc>
        <w:tc>
          <w:tcPr>
            <w:tcW w:w="1483" w:type="dxa"/>
            <w:tcBorders>
              <w:top w:val="nil"/>
              <w:left w:val="nil"/>
              <w:bottom w:val="single" w:sz="4" w:space="0" w:color="auto"/>
              <w:right w:val="single" w:sz="4" w:space="0" w:color="auto"/>
            </w:tcBorders>
            <w:shd w:val="clear" w:color="auto" w:fill="auto"/>
            <w:noWrap/>
            <w:vAlign w:val="center"/>
            <w:hideMark/>
          </w:tcPr>
          <w:p w14:paraId="262A24BE" w14:textId="379CF7F1" w:rsidR="003E2FA4" w:rsidRPr="009D290C" w:rsidRDefault="001176E0" w:rsidP="0037234A">
            <w:pPr>
              <w:jc w:val="right"/>
              <w:rPr>
                <w:rFonts w:ascii="Arial" w:hAnsi="Arial" w:cs="Arial"/>
                <w:szCs w:val="24"/>
              </w:rPr>
            </w:pPr>
            <w:r w:rsidRPr="009D290C">
              <w:rPr>
                <w:rFonts w:ascii="Arial" w:hAnsi="Arial" w:cs="Arial"/>
                <w:szCs w:val="24"/>
              </w:rPr>
              <w:t>(15.0%</w:t>
            </w:r>
            <w:r w:rsidR="00B02355" w:rsidRPr="009D290C">
              <w:rPr>
                <w:rFonts w:ascii="Arial" w:hAnsi="Arial" w:cs="Arial"/>
                <w:szCs w:val="24"/>
              </w:rPr>
              <w:t>)</w:t>
            </w:r>
          </w:p>
        </w:tc>
        <w:tc>
          <w:tcPr>
            <w:tcW w:w="1483" w:type="dxa"/>
            <w:tcBorders>
              <w:top w:val="nil"/>
              <w:left w:val="nil"/>
              <w:bottom w:val="single" w:sz="4" w:space="0" w:color="auto"/>
              <w:right w:val="single" w:sz="4" w:space="0" w:color="auto"/>
            </w:tcBorders>
            <w:shd w:val="clear" w:color="auto" w:fill="auto"/>
            <w:noWrap/>
            <w:vAlign w:val="center"/>
            <w:hideMark/>
          </w:tcPr>
          <w:p w14:paraId="39D05CF9" w14:textId="46781D82" w:rsidR="003E2FA4" w:rsidRPr="009D290C" w:rsidRDefault="00B02355" w:rsidP="0037234A">
            <w:pPr>
              <w:jc w:val="right"/>
              <w:rPr>
                <w:rFonts w:ascii="Arial" w:hAnsi="Arial" w:cs="Arial"/>
                <w:szCs w:val="24"/>
              </w:rPr>
            </w:pPr>
            <w:r w:rsidRPr="009D290C">
              <w:rPr>
                <w:rFonts w:ascii="Arial" w:hAnsi="Arial" w:cs="Arial"/>
                <w:szCs w:val="24"/>
              </w:rPr>
              <w:t>(15.0%)</w:t>
            </w:r>
          </w:p>
        </w:tc>
        <w:tc>
          <w:tcPr>
            <w:tcW w:w="1483" w:type="dxa"/>
            <w:tcBorders>
              <w:top w:val="nil"/>
              <w:left w:val="nil"/>
              <w:bottom w:val="single" w:sz="4" w:space="0" w:color="auto"/>
              <w:right w:val="single" w:sz="4" w:space="0" w:color="auto"/>
            </w:tcBorders>
            <w:shd w:val="clear" w:color="auto" w:fill="auto"/>
            <w:noWrap/>
            <w:vAlign w:val="center"/>
            <w:hideMark/>
          </w:tcPr>
          <w:p w14:paraId="098B8F08" w14:textId="3EAE037E" w:rsidR="003E2FA4" w:rsidRPr="009D290C" w:rsidRDefault="00B02355" w:rsidP="0037234A">
            <w:pPr>
              <w:jc w:val="right"/>
              <w:rPr>
                <w:rFonts w:ascii="Arial" w:hAnsi="Arial" w:cs="Arial"/>
                <w:szCs w:val="24"/>
              </w:rPr>
            </w:pPr>
            <w:r w:rsidRPr="009D290C">
              <w:rPr>
                <w:rFonts w:ascii="Arial" w:hAnsi="Arial" w:cs="Arial"/>
                <w:szCs w:val="24"/>
              </w:rPr>
              <w:t>(1</w:t>
            </w:r>
            <w:r w:rsidR="001C3D4A" w:rsidRPr="009D290C">
              <w:rPr>
                <w:rFonts w:ascii="Arial" w:hAnsi="Arial" w:cs="Arial"/>
                <w:szCs w:val="24"/>
              </w:rPr>
              <w:t>0</w:t>
            </w:r>
            <w:r w:rsidRPr="009D290C">
              <w:rPr>
                <w:rFonts w:ascii="Arial" w:hAnsi="Arial" w:cs="Arial"/>
                <w:szCs w:val="24"/>
              </w:rPr>
              <w:t>.0%)</w:t>
            </w:r>
          </w:p>
        </w:tc>
        <w:tc>
          <w:tcPr>
            <w:tcW w:w="1484" w:type="dxa"/>
            <w:tcBorders>
              <w:top w:val="nil"/>
              <w:left w:val="nil"/>
              <w:bottom w:val="single" w:sz="4" w:space="0" w:color="auto"/>
              <w:right w:val="single" w:sz="4" w:space="0" w:color="auto"/>
            </w:tcBorders>
            <w:shd w:val="clear" w:color="auto" w:fill="auto"/>
            <w:noWrap/>
            <w:vAlign w:val="center"/>
            <w:hideMark/>
          </w:tcPr>
          <w:p w14:paraId="49FADFD3" w14:textId="1CE8EEDD" w:rsidR="003E2FA4" w:rsidRPr="009D290C" w:rsidRDefault="001C3D4A" w:rsidP="0037234A">
            <w:pPr>
              <w:jc w:val="right"/>
              <w:rPr>
                <w:rFonts w:ascii="Arial" w:hAnsi="Arial" w:cs="Arial"/>
                <w:szCs w:val="24"/>
              </w:rPr>
            </w:pPr>
            <w:r w:rsidRPr="009D290C">
              <w:rPr>
                <w:rFonts w:ascii="Arial" w:hAnsi="Arial" w:cs="Arial"/>
                <w:szCs w:val="24"/>
              </w:rPr>
              <w:t>(10.0%)</w:t>
            </w:r>
          </w:p>
        </w:tc>
        <w:tc>
          <w:tcPr>
            <w:tcW w:w="2070" w:type="dxa"/>
            <w:tcBorders>
              <w:top w:val="nil"/>
              <w:left w:val="nil"/>
              <w:bottom w:val="single" w:sz="4" w:space="0" w:color="auto"/>
              <w:right w:val="single" w:sz="4" w:space="0" w:color="auto"/>
            </w:tcBorders>
            <w:shd w:val="clear" w:color="auto" w:fill="auto"/>
            <w:noWrap/>
            <w:vAlign w:val="center"/>
            <w:hideMark/>
          </w:tcPr>
          <w:p w14:paraId="38698B27" w14:textId="58D965A0" w:rsidR="003E2FA4" w:rsidRPr="009D290C" w:rsidRDefault="00BD60C4" w:rsidP="0037234A">
            <w:pPr>
              <w:jc w:val="right"/>
              <w:rPr>
                <w:rFonts w:ascii="Arial" w:hAnsi="Arial" w:cs="Arial"/>
                <w:szCs w:val="24"/>
              </w:rPr>
            </w:pPr>
            <w:r w:rsidRPr="009D290C">
              <w:rPr>
                <w:rFonts w:ascii="Arial" w:hAnsi="Arial" w:cs="Arial"/>
                <w:szCs w:val="24"/>
              </w:rPr>
              <w:t>(</w:t>
            </w:r>
            <w:r w:rsidR="00353F20" w:rsidRPr="009D290C">
              <w:rPr>
                <w:rFonts w:ascii="Arial" w:hAnsi="Arial" w:cs="Arial"/>
                <w:szCs w:val="24"/>
              </w:rPr>
              <w:t>$21,682,191</w:t>
            </w:r>
            <w:r w:rsidRPr="009D290C">
              <w:rPr>
                <w:rFonts w:ascii="Arial" w:hAnsi="Arial" w:cs="Arial"/>
                <w:szCs w:val="24"/>
              </w:rPr>
              <w:t>)</w:t>
            </w:r>
          </w:p>
        </w:tc>
      </w:tr>
      <w:tr w:rsidR="003E2FA4" w:rsidRPr="009D290C" w14:paraId="48259EB6" w14:textId="77777777" w:rsidTr="009D290C">
        <w:trPr>
          <w:trHeight w:val="300"/>
          <w:jc w:val="center"/>
        </w:trPr>
        <w:tc>
          <w:tcPr>
            <w:tcW w:w="1262" w:type="dxa"/>
            <w:tcBorders>
              <w:top w:val="nil"/>
              <w:left w:val="single" w:sz="4" w:space="0" w:color="auto"/>
              <w:bottom w:val="single" w:sz="4" w:space="0" w:color="auto"/>
              <w:right w:val="single" w:sz="4" w:space="0" w:color="auto"/>
            </w:tcBorders>
            <w:shd w:val="clear" w:color="auto" w:fill="auto"/>
            <w:vAlign w:val="bottom"/>
            <w:hideMark/>
          </w:tcPr>
          <w:p w14:paraId="48F81A13" w14:textId="6985BF8C" w:rsidR="003E2FA4" w:rsidRPr="009D290C" w:rsidRDefault="003E2FA4" w:rsidP="009D290C">
            <w:pPr>
              <w:jc w:val="center"/>
              <w:rPr>
                <w:rFonts w:ascii="Arial" w:hAnsi="Arial" w:cs="Arial"/>
                <w:b/>
                <w:szCs w:val="24"/>
              </w:rPr>
            </w:pPr>
            <w:r w:rsidRPr="009D290C">
              <w:rPr>
                <w:rFonts w:ascii="Arial" w:hAnsi="Arial" w:cs="Arial"/>
                <w:b/>
                <w:szCs w:val="24"/>
              </w:rPr>
              <w:t>2022</w:t>
            </w:r>
          </w:p>
        </w:tc>
        <w:tc>
          <w:tcPr>
            <w:tcW w:w="1483" w:type="dxa"/>
            <w:tcBorders>
              <w:top w:val="nil"/>
              <w:left w:val="nil"/>
              <w:bottom w:val="single" w:sz="4" w:space="0" w:color="auto"/>
              <w:right w:val="single" w:sz="4" w:space="0" w:color="auto"/>
            </w:tcBorders>
            <w:shd w:val="clear" w:color="auto" w:fill="auto"/>
            <w:noWrap/>
            <w:vAlign w:val="center"/>
            <w:hideMark/>
          </w:tcPr>
          <w:p w14:paraId="710D1D8C" w14:textId="0971364F" w:rsidR="003E2FA4" w:rsidRPr="009D290C" w:rsidRDefault="00353F20" w:rsidP="0037234A">
            <w:pPr>
              <w:jc w:val="right"/>
              <w:rPr>
                <w:rFonts w:ascii="Arial" w:hAnsi="Arial" w:cs="Arial"/>
                <w:szCs w:val="24"/>
              </w:rPr>
            </w:pPr>
            <w:r w:rsidRPr="009D290C">
              <w:rPr>
                <w:rFonts w:ascii="Arial" w:hAnsi="Arial" w:cs="Arial"/>
                <w:szCs w:val="24"/>
              </w:rPr>
              <w:t>(10.0%)</w:t>
            </w:r>
          </w:p>
        </w:tc>
        <w:tc>
          <w:tcPr>
            <w:tcW w:w="1483" w:type="dxa"/>
            <w:tcBorders>
              <w:top w:val="nil"/>
              <w:left w:val="nil"/>
              <w:bottom w:val="single" w:sz="4" w:space="0" w:color="auto"/>
              <w:right w:val="single" w:sz="4" w:space="0" w:color="auto"/>
            </w:tcBorders>
            <w:shd w:val="clear" w:color="auto" w:fill="auto"/>
            <w:noWrap/>
            <w:vAlign w:val="center"/>
            <w:hideMark/>
          </w:tcPr>
          <w:p w14:paraId="1F336B1D" w14:textId="5F945F85" w:rsidR="003E2FA4" w:rsidRPr="009D290C" w:rsidRDefault="00353F20" w:rsidP="0037234A">
            <w:pPr>
              <w:jc w:val="right"/>
              <w:rPr>
                <w:rFonts w:ascii="Arial" w:hAnsi="Arial" w:cs="Arial"/>
                <w:szCs w:val="24"/>
              </w:rPr>
            </w:pPr>
            <w:r w:rsidRPr="009D290C">
              <w:rPr>
                <w:rFonts w:ascii="Arial" w:hAnsi="Arial" w:cs="Arial"/>
                <w:szCs w:val="24"/>
              </w:rPr>
              <w:t>(15.0%)</w:t>
            </w:r>
          </w:p>
        </w:tc>
        <w:tc>
          <w:tcPr>
            <w:tcW w:w="1483" w:type="dxa"/>
            <w:tcBorders>
              <w:top w:val="nil"/>
              <w:left w:val="nil"/>
              <w:bottom w:val="single" w:sz="4" w:space="0" w:color="auto"/>
              <w:right w:val="single" w:sz="4" w:space="0" w:color="auto"/>
            </w:tcBorders>
            <w:shd w:val="clear" w:color="auto" w:fill="auto"/>
            <w:noWrap/>
            <w:vAlign w:val="center"/>
            <w:hideMark/>
          </w:tcPr>
          <w:p w14:paraId="12A0F6B4" w14:textId="51DDD352" w:rsidR="003E2FA4" w:rsidRPr="009D290C" w:rsidRDefault="002671C4" w:rsidP="0037234A">
            <w:pPr>
              <w:jc w:val="right"/>
              <w:rPr>
                <w:rFonts w:ascii="Arial" w:hAnsi="Arial" w:cs="Arial"/>
                <w:szCs w:val="24"/>
              </w:rPr>
            </w:pPr>
            <w:r w:rsidRPr="009D290C">
              <w:rPr>
                <w:rFonts w:ascii="Arial" w:hAnsi="Arial" w:cs="Arial"/>
                <w:szCs w:val="24"/>
              </w:rPr>
              <w:t>(5.0%)</w:t>
            </w:r>
          </w:p>
        </w:tc>
        <w:tc>
          <w:tcPr>
            <w:tcW w:w="1484" w:type="dxa"/>
            <w:tcBorders>
              <w:top w:val="nil"/>
              <w:left w:val="nil"/>
              <w:bottom w:val="single" w:sz="4" w:space="0" w:color="auto"/>
              <w:right w:val="single" w:sz="4" w:space="0" w:color="auto"/>
            </w:tcBorders>
            <w:shd w:val="clear" w:color="auto" w:fill="auto"/>
            <w:noWrap/>
            <w:vAlign w:val="center"/>
            <w:hideMark/>
          </w:tcPr>
          <w:p w14:paraId="44250F96" w14:textId="1D9E22E1" w:rsidR="003E2FA4" w:rsidRPr="009D290C" w:rsidRDefault="002671C4" w:rsidP="0037234A">
            <w:pPr>
              <w:jc w:val="right"/>
              <w:rPr>
                <w:rFonts w:ascii="Arial" w:hAnsi="Arial" w:cs="Arial"/>
                <w:szCs w:val="24"/>
              </w:rPr>
            </w:pPr>
            <w:r w:rsidRPr="009D290C">
              <w:rPr>
                <w:rFonts w:ascii="Arial" w:hAnsi="Arial" w:cs="Arial"/>
                <w:szCs w:val="24"/>
              </w:rPr>
              <w:t>(5.0%)</w:t>
            </w:r>
          </w:p>
        </w:tc>
        <w:tc>
          <w:tcPr>
            <w:tcW w:w="2070" w:type="dxa"/>
            <w:tcBorders>
              <w:top w:val="nil"/>
              <w:left w:val="nil"/>
              <w:bottom w:val="single" w:sz="4" w:space="0" w:color="auto"/>
              <w:right w:val="single" w:sz="4" w:space="0" w:color="auto"/>
            </w:tcBorders>
            <w:shd w:val="clear" w:color="auto" w:fill="auto"/>
            <w:noWrap/>
            <w:vAlign w:val="center"/>
            <w:hideMark/>
          </w:tcPr>
          <w:p w14:paraId="5CD3D02C" w14:textId="4DF2A704" w:rsidR="003E2FA4" w:rsidRPr="009D290C" w:rsidRDefault="00786F27" w:rsidP="0037234A">
            <w:pPr>
              <w:jc w:val="right"/>
              <w:rPr>
                <w:rFonts w:ascii="Arial" w:hAnsi="Arial" w:cs="Arial"/>
                <w:szCs w:val="24"/>
              </w:rPr>
            </w:pPr>
            <w:r w:rsidRPr="009D290C">
              <w:rPr>
                <w:rFonts w:ascii="Arial" w:hAnsi="Arial" w:cs="Arial"/>
                <w:szCs w:val="24"/>
              </w:rPr>
              <w:t>($24,3</w:t>
            </w:r>
            <w:r w:rsidR="006001B0" w:rsidRPr="009D290C">
              <w:rPr>
                <w:rFonts w:ascii="Arial" w:hAnsi="Arial" w:cs="Arial"/>
                <w:szCs w:val="24"/>
              </w:rPr>
              <w:t>40,266)</w:t>
            </w:r>
          </w:p>
        </w:tc>
      </w:tr>
      <w:tr w:rsidR="00A273F1" w:rsidRPr="009D290C" w14:paraId="2DCE7BFB" w14:textId="77777777" w:rsidTr="009D290C">
        <w:trPr>
          <w:trHeight w:val="300"/>
          <w:jc w:val="center"/>
        </w:trPr>
        <w:tc>
          <w:tcPr>
            <w:tcW w:w="1262" w:type="dxa"/>
            <w:tcBorders>
              <w:top w:val="nil"/>
              <w:left w:val="single" w:sz="4" w:space="0" w:color="auto"/>
              <w:bottom w:val="single" w:sz="4" w:space="0" w:color="auto"/>
              <w:right w:val="single" w:sz="4" w:space="0" w:color="auto"/>
            </w:tcBorders>
            <w:shd w:val="clear" w:color="auto" w:fill="auto"/>
            <w:vAlign w:val="bottom"/>
          </w:tcPr>
          <w:p w14:paraId="0B25263A" w14:textId="4D6013A8" w:rsidR="00A273F1" w:rsidRPr="009D290C" w:rsidRDefault="00A273F1" w:rsidP="009D290C">
            <w:pPr>
              <w:jc w:val="center"/>
              <w:rPr>
                <w:rFonts w:ascii="Arial" w:hAnsi="Arial" w:cs="Arial"/>
                <w:b/>
                <w:szCs w:val="24"/>
              </w:rPr>
            </w:pPr>
            <w:r w:rsidRPr="009D290C">
              <w:rPr>
                <w:rFonts w:ascii="Arial" w:hAnsi="Arial" w:cs="Arial"/>
                <w:b/>
                <w:szCs w:val="24"/>
              </w:rPr>
              <w:t>2023</w:t>
            </w:r>
          </w:p>
        </w:tc>
        <w:tc>
          <w:tcPr>
            <w:tcW w:w="1483" w:type="dxa"/>
            <w:tcBorders>
              <w:top w:val="nil"/>
              <w:left w:val="nil"/>
              <w:bottom w:val="single" w:sz="4" w:space="0" w:color="auto"/>
              <w:right w:val="single" w:sz="4" w:space="0" w:color="auto"/>
            </w:tcBorders>
            <w:shd w:val="clear" w:color="auto" w:fill="auto"/>
            <w:noWrap/>
            <w:vAlign w:val="center"/>
          </w:tcPr>
          <w:p w14:paraId="2B383A44" w14:textId="79DEF210" w:rsidR="00A273F1" w:rsidRPr="009D290C" w:rsidRDefault="00A273F1" w:rsidP="00A273F1">
            <w:pPr>
              <w:jc w:val="right"/>
              <w:rPr>
                <w:rFonts w:ascii="Arial" w:hAnsi="Arial" w:cs="Arial"/>
                <w:szCs w:val="24"/>
              </w:rPr>
            </w:pPr>
            <w:r w:rsidRPr="009D290C">
              <w:rPr>
                <w:rFonts w:ascii="Arial" w:hAnsi="Arial" w:cs="Arial"/>
                <w:szCs w:val="24"/>
              </w:rPr>
              <w:t>0.0%</w:t>
            </w:r>
          </w:p>
        </w:tc>
        <w:tc>
          <w:tcPr>
            <w:tcW w:w="1483" w:type="dxa"/>
            <w:tcBorders>
              <w:top w:val="nil"/>
              <w:left w:val="nil"/>
              <w:bottom w:val="single" w:sz="4" w:space="0" w:color="auto"/>
              <w:right w:val="single" w:sz="4" w:space="0" w:color="auto"/>
            </w:tcBorders>
            <w:shd w:val="clear" w:color="auto" w:fill="auto"/>
            <w:noWrap/>
            <w:vAlign w:val="center"/>
          </w:tcPr>
          <w:p w14:paraId="27200936" w14:textId="78F94E70" w:rsidR="00A273F1" w:rsidRPr="009D290C" w:rsidRDefault="00A273F1" w:rsidP="00A273F1">
            <w:pPr>
              <w:jc w:val="right"/>
              <w:rPr>
                <w:rFonts w:ascii="Arial" w:hAnsi="Arial" w:cs="Arial"/>
                <w:szCs w:val="24"/>
              </w:rPr>
            </w:pPr>
            <w:r w:rsidRPr="009D290C">
              <w:rPr>
                <w:rFonts w:ascii="Arial" w:hAnsi="Arial" w:cs="Arial"/>
                <w:szCs w:val="24"/>
              </w:rPr>
              <w:t>0.0%</w:t>
            </w:r>
          </w:p>
        </w:tc>
        <w:tc>
          <w:tcPr>
            <w:tcW w:w="1483" w:type="dxa"/>
            <w:tcBorders>
              <w:top w:val="nil"/>
              <w:left w:val="nil"/>
              <w:bottom w:val="single" w:sz="4" w:space="0" w:color="auto"/>
              <w:right w:val="single" w:sz="4" w:space="0" w:color="auto"/>
            </w:tcBorders>
            <w:shd w:val="clear" w:color="auto" w:fill="auto"/>
            <w:noWrap/>
            <w:vAlign w:val="center"/>
          </w:tcPr>
          <w:p w14:paraId="130E3389" w14:textId="0F431DFE" w:rsidR="00A273F1" w:rsidRPr="009D290C" w:rsidRDefault="00A273F1" w:rsidP="00A273F1">
            <w:pPr>
              <w:jc w:val="right"/>
              <w:rPr>
                <w:rFonts w:ascii="Arial" w:hAnsi="Arial" w:cs="Arial"/>
                <w:szCs w:val="24"/>
              </w:rPr>
            </w:pPr>
            <w:r w:rsidRPr="009D290C">
              <w:rPr>
                <w:rFonts w:ascii="Arial" w:hAnsi="Arial" w:cs="Arial"/>
                <w:szCs w:val="24"/>
              </w:rPr>
              <w:t>0.0%</w:t>
            </w:r>
          </w:p>
        </w:tc>
        <w:tc>
          <w:tcPr>
            <w:tcW w:w="1484" w:type="dxa"/>
            <w:tcBorders>
              <w:top w:val="nil"/>
              <w:left w:val="nil"/>
              <w:bottom w:val="single" w:sz="4" w:space="0" w:color="auto"/>
              <w:right w:val="single" w:sz="4" w:space="0" w:color="auto"/>
            </w:tcBorders>
            <w:shd w:val="clear" w:color="auto" w:fill="auto"/>
            <w:noWrap/>
            <w:vAlign w:val="center"/>
          </w:tcPr>
          <w:p w14:paraId="22DBDD39" w14:textId="1D54BA09" w:rsidR="00A273F1" w:rsidRPr="009D290C" w:rsidRDefault="00EA312C" w:rsidP="00A273F1">
            <w:pPr>
              <w:jc w:val="right"/>
              <w:rPr>
                <w:rFonts w:ascii="Arial" w:hAnsi="Arial" w:cs="Arial"/>
                <w:szCs w:val="24"/>
              </w:rPr>
            </w:pPr>
            <w:r w:rsidRPr="009D290C">
              <w:rPr>
                <w:rFonts w:ascii="Arial" w:hAnsi="Arial" w:cs="Arial"/>
                <w:szCs w:val="24"/>
              </w:rPr>
              <w:t>0.0%</w:t>
            </w:r>
          </w:p>
        </w:tc>
        <w:tc>
          <w:tcPr>
            <w:tcW w:w="2070" w:type="dxa"/>
            <w:tcBorders>
              <w:top w:val="nil"/>
              <w:left w:val="nil"/>
              <w:bottom w:val="single" w:sz="4" w:space="0" w:color="auto"/>
              <w:right w:val="single" w:sz="4" w:space="0" w:color="auto"/>
            </w:tcBorders>
            <w:shd w:val="clear" w:color="auto" w:fill="auto"/>
            <w:noWrap/>
            <w:vAlign w:val="center"/>
          </w:tcPr>
          <w:p w14:paraId="67C28E00" w14:textId="34280B13" w:rsidR="00A273F1" w:rsidRPr="009D290C" w:rsidRDefault="00A273F1" w:rsidP="00A273F1">
            <w:pPr>
              <w:jc w:val="right"/>
              <w:rPr>
                <w:rFonts w:ascii="Arial" w:hAnsi="Arial" w:cs="Arial"/>
                <w:szCs w:val="24"/>
              </w:rPr>
            </w:pPr>
            <w:r w:rsidRPr="009D290C">
              <w:rPr>
                <w:rFonts w:ascii="Arial" w:hAnsi="Arial" w:cs="Arial"/>
                <w:szCs w:val="24"/>
              </w:rPr>
              <w:t>($16,067,252)</w:t>
            </w:r>
          </w:p>
        </w:tc>
      </w:tr>
      <w:tr w:rsidR="004F6DFE" w:rsidRPr="009D290C" w14:paraId="24D8C26D" w14:textId="77777777" w:rsidTr="004F6DFE">
        <w:trPr>
          <w:trHeight w:val="300"/>
          <w:jc w:val="center"/>
        </w:trPr>
        <w:tc>
          <w:tcPr>
            <w:tcW w:w="7195" w:type="dxa"/>
            <w:gridSpan w:val="5"/>
            <w:tcBorders>
              <w:top w:val="nil"/>
              <w:left w:val="single" w:sz="4" w:space="0" w:color="auto"/>
              <w:bottom w:val="single" w:sz="4" w:space="0" w:color="auto"/>
              <w:right w:val="single" w:sz="4" w:space="0" w:color="auto"/>
            </w:tcBorders>
            <w:shd w:val="clear" w:color="auto" w:fill="auto"/>
            <w:vAlign w:val="bottom"/>
          </w:tcPr>
          <w:p w14:paraId="328C774E" w14:textId="1F47AA51" w:rsidR="004F6DFE" w:rsidRPr="009D290C" w:rsidRDefault="004F6DFE" w:rsidP="00A273F1">
            <w:pPr>
              <w:jc w:val="right"/>
              <w:rPr>
                <w:rFonts w:ascii="Arial" w:hAnsi="Arial" w:cs="Arial"/>
                <w:szCs w:val="24"/>
              </w:rPr>
            </w:pPr>
            <w:r w:rsidRPr="00FE242F">
              <w:rPr>
                <w:rFonts w:ascii="Arial" w:hAnsi="Arial" w:cs="Arial"/>
                <w:b/>
                <w:szCs w:val="24"/>
              </w:rPr>
              <w:t>Total</w:t>
            </w:r>
          </w:p>
        </w:tc>
        <w:tc>
          <w:tcPr>
            <w:tcW w:w="2070" w:type="dxa"/>
            <w:tcBorders>
              <w:top w:val="nil"/>
              <w:left w:val="nil"/>
              <w:bottom w:val="single" w:sz="4" w:space="0" w:color="auto"/>
              <w:right w:val="single" w:sz="4" w:space="0" w:color="auto"/>
            </w:tcBorders>
            <w:shd w:val="clear" w:color="auto" w:fill="auto"/>
            <w:noWrap/>
            <w:vAlign w:val="center"/>
          </w:tcPr>
          <w:p w14:paraId="51C9C506" w14:textId="4A2C42CE" w:rsidR="004F6DFE" w:rsidRPr="00DE5664" w:rsidRDefault="004F6DFE" w:rsidP="00A273F1">
            <w:pPr>
              <w:jc w:val="right"/>
              <w:rPr>
                <w:rFonts w:ascii="Arial" w:hAnsi="Arial" w:cs="Arial"/>
                <w:b/>
                <w:bCs/>
                <w:szCs w:val="24"/>
              </w:rPr>
            </w:pPr>
            <w:r w:rsidRPr="00DE5664">
              <w:rPr>
                <w:rFonts w:ascii="Arial" w:hAnsi="Arial" w:cs="Arial"/>
                <w:b/>
                <w:bCs/>
                <w:szCs w:val="24"/>
              </w:rPr>
              <w:t>($62,738,765)</w:t>
            </w:r>
          </w:p>
        </w:tc>
      </w:tr>
    </w:tbl>
    <w:p w14:paraId="2AA79D13" w14:textId="33F56BCF" w:rsidR="00CA6C67" w:rsidRDefault="00CA6C67" w:rsidP="00CA6C67">
      <w:pPr>
        <w:jc w:val="both"/>
        <w:rPr>
          <w:rFonts w:ascii="Arial" w:hAnsi="Arial" w:cs="Arial"/>
        </w:rPr>
      </w:pPr>
    </w:p>
    <w:p w14:paraId="1F308B5A" w14:textId="52319060" w:rsidR="009D6538" w:rsidRDefault="006452B8" w:rsidP="003F5297">
      <w:pPr>
        <w:spacing w:line="264" w:lineRule="auto"/>
        <w:jc w:val="both"/>
        <w:rPr>
          <w:rFonts w:ascii="Arial" w:hAnsi="Arial" w:cs="Arial"/>
        </w:rPr>
      </w:pPr>
      <w:r>
        <w:rPr>
          <w:rFonts w:ascii="Arial" w:hAnsi="Arial" w:cs="Arial"/>
        </w:rPr>
        <w:t xml:space="preserve">Information provided by the </w:t>
      </w:r>
      <w:r w:rsidR="00B81175">
        <w:rPr>
          <w:rFonts w:ascii="Arial" w:hAnsi="Arial" w:cs="Arial"/>
        </w:rPr>
        <w:t xml:space="preserve">agency at the end of 2021 described </w:t>
      </w:r>
      <w:proofErr w:type="gramStart"/>
      <w:r w:rsidR="009C66E1">
        <w:rPr>
          <w:rFonts w:ascii="Arial" w:hAnsi="Arial" w:cs="Arial"/>
        </w:rPr>
        <w:t>a number of</w:t>
      </w:r>
      <w:proofErr w:type="gramEnd"/>
      <w:r w:rsidR="009C66E1">
        <w:rPr>
          <w:rFonts w:ascii="Arial" w:hAnsi="Arial" w:cs="Arial"/>
        </w:rPr>
        <w:t xml:space="preserve"> offsetting </w:t>
      </w:r>
      <w:r w:rsidR="00A35002">
        <w:rPr>
          <w:rFonts w:ascii="Arial" w:hAnsi="Arial" w:cs="Arial"/>
        </w:rPr>
        <w:t xml:space="preserve">impacts to COVID-19 related revenue shortfalls.  </w:t>
      </w:r>
      <w:r w:rsidR="000B24F3">
        <w:rPr>
          <w:rFonts w:ascii="Arial" w:hAnsi="Arial" w:cs="Arial"/>
        </w:rPr>
        <w:t xml:space="preserve">Historically low interest rates </w:t>
      </w:r>
      <w:r w:rsidR="00E80CC1">
        <w:rPr>
          <w:rFonts w:ascii="Arial" w:hAnsi="Arial" w:cs="Arial"/>
        </w:rPr>
        <w:t xml:space="preserve">resulted in a reduced cost of borrowing for the agency, which relies heavily on </w:t>
      </w:r>
      <w:r w:rsidR="00687790">
        <w:rPr>
          <w:rFonts w:ascii="Arial" w:hAnsi="Arial" w:cs="Arial"/>
        </w:rPr>
        <w:t xml:space="preserve">bond sales and federal and state loans to support capital </w:t>
      </w:r>
      <w:r w:rsidR="00676F35">
        <w:rPr>
          <w:rFonts w:ascii="Arial" w:hAnsi="Arial" w:cs="Arial"/>
        </w:rPr>
        <w:t xml:space="preserve">budgets. </w:t>
      </w:r>
      <w:r w:rsidR="00310BE5">
        <w:rPr>
          <w:rFonts w:ascii="Arial" w:hAnsi="Arial" w:cs="Arial"/>
        </w:rPr>
        <w:t xml:space="preserve"> In addition, there were savings</w:t>
      </w:r>
      <w:r w:rsidR="000D150F">
        <w:rPr>
          <w:rFonts w:ascii="Arial" w:hAnsi="Arial" w:cs="Arial"/>
        </w:rPr>
        <w:t xml:space="preserve"> realized in agency operations; together, these </w:t>
      </w:r>
      <w:r w:rsidR="00D3034C">
        <w:rPr>
          <w:rFonts w:ascii="Arial" w:hAnsi="Arial" w:cs="Arial"/>
        </w:rPr>
        <w:t>reduced costs and savings largely offset the impacts of the economic slowdown</w:t>
      </w:r>
      <w:r w:rsidR="001752D3">
        <w:rPr>
          <w:rFonts w:ascii="Arial" w:hAnsi="Arial" w:cs="Arial"/>
        </w:rPr>
        <w:t xml:space="preserve"> to the WTD budget.</w:t>
      </w:r>
      <w:r w:rsidR="00676F35">
        <w:rPr>
          <w:rFonts w:ascii="Arial" w:hAnsi="Arial" w:cs="Arial"/>
        </w:rPr>
        <w:t xml:space="preserve"> </w:t>
      </w:r>
    </w:p>
    <w:p w14:paraId="22BE05DB" w14:textId="77777777" w:rsidR="00CA6C67" w:rsidRDefault="00CA6C67" w:rsidP="003F5297">
      <w:pPr>
        <w:spacing w:line="264" w:lineRule="auto"/>
        <w:jc w:val="both"/>
        <w:rPr>
          <w:rFonts w:ascii="Arial" w:hAnsi="Arial" w:cs="Arial"/>
        </w:rPr>
      </w:pPr>
    </w:p>
    <w:p w14:paraId="6B38F247" w14:textId="0DEB77D6" w:rsidR="00CA6C67" w:rsidRDefault="00CA6C67" w:rsidP="005626EF">
      <w:pPr>
        <w:spacing w:line="264" w:lineRule="auto"/>
        <w:jc w:val="both"/>
        <w:rPr>
          <w:rFonts w:ascii="Arial" w:hAnsi="Arial" w:cs="Arial"/>
        </w:rPr>
      </w:pPr>
      <w:r w:rsidRPr="00DE5664">
        <w:rPr>
          <w:rFonts w:ascii="Arial" w:hAnsi="Arial" w:cs="Arial"/>
          <w:b/>
          <w:iCs/>
        </w:rPr>
        <w:t>Operating Expenses</w:t>
      </w:r>
      <w:r w:rsidR="009D290C" w:rsidRPr="00DE5664">
        <w:rPr>
          <w:rFonts w:ascii="Arial" w:hAnsi="Arial" w:cs="Arial"/>
          <w:b/>
          <w:iCs/>
        </w:rPr>
        <w:t xml:space="preserve">.  </w:t>
      </w:r>
      <w:r>
        <w:rPr>
          <w:rFonts w:ascii="Arial" w:hAnsi="Arial" w:cs="Arial"/>
        </w:rPr>
        <w:t>For 202</w:t>
      </w:r>
      <w:r w:rsidR="0026685A">
        <w:rPr>
          <w:rFonts w:ascii="Arial" w:hAnsi="Arial" w:cs="Arial"/>
        </w:rPr>
        <w:t>1</w:t>
      </w:r>
      <w:r>
        <w:rPr>
          <w:rFonts w:ascii="Arial" w:hAnsi="Arial" w:cs="Arial"/>
        </w:rPr>
        <w:t xml:space="preserve"> and 202</w:t>
      </w:r>
      <w:r w:rsidR="0026685A">
        <w:rPr>
          <w:rFonts w:ascii="Arial" w:hAnsi="Arial" w:cs="Arial"/>
        </w:rPr>
        <w:t>2</w:t>
      </w:r>
      <w:r>
        <w:rPr>
          <w:rFonts w:ascii="Arial" w:hAnsi="Arial" w:cs="Arial"/>
        </w:rPr>
        <w:t>, operating expenses are projected at $1</w:t>
      </w:r>
      <w:r w:rsidR="00B73E5A">
        <w:rPr>
          <w:rFonts w:ascii="Arial" w:hAnsi="Arial" w:cs="Arial"/>
        </w:rPr>
        <w:t>75</w:t>
      </w:r>
      <w:r>
        <w:rPr>
          <w:rFonts w:ascii="Arial" w:hAnsi="Arial" w:cs="Arial"/>
        </w:rPr>
        <w:t>.8 million and $17</w:t>
      </w:r>
      <w:r w:rsidR="00B73E5A">
        <w:rPr>
          <w:rFonts w:ascii="Arial" w:hAnsi="Arial" w:cs="Arial"/>
        </w:rPr>
        <w:t>7</w:t>
      </w:r>
      <w:r>
        <w:rPr>
          <w:rFonts w:ascii="Arial" w:hAnsi="Arial" w:cs="Arial"/>
        </w:rPr>
        <w:t>.1 million respectively.  Table 6 compares the forecast of operating expenses from the 202</w:t>
      </w:r>
      <w:r w:rsidR="005E2E91">
        <w:rPr>
          <w:rFonts w:ascii="Arial" w:hAnsi="Arial" w:cs="Arial"/>
        </w:rPr>
        <w:t>2</w:t>
      </w:r>
      <w:r>
        <w:rPr>
          <w:rFonts w:ascii="Arial" w:hAnsi="Arial" w:cs="Arial"/>
        </w:rPr>
        <w:t xml:space="preserve"> Proposed Rate to the 202</w:t>
      </w:r>
      <w:r w:rsidR="005E2E91">
        <w:rPr>
          <w:rFonts w:ascii="Arial" w:hAnsi="Arial" w:cs="Arial"/>
        </w:rPr>
        <w:t>1</w:t>
      </w:r>
      <w:r>
        <w:rPr>
          <w:rFonts w:ascii="Arial" w:hAnsi="Arial" w:cs="Arial"/>
        </w:rPr>
        <w:t xml:space="preserve"> Adopted Rate.</w:t>
      </w:r>
    </w:p>
    <w:p w14:paraId="042504E7" w14:textId="77777777" w:rsidR="00282A82" w:rsidRDefault="00282A82" w:rsidP="00CA6C67">
      <w:pPr>
        <w:jc w:val="center"/>
        <w:rPr>
          <w:rFonts w:ascii="Arial" w:hAnsi="Arial" w:cs="Arial"/>
          <w:b/>
        </w:rPr>
      </w:pPr>
    </w:p>
    <w:p w14:paraId="47DAB4D0" w14:textId="77777777" w:rsidR="009D290C" w:rsidRDefault="00CA6C67" w:rsidP="00CA6C67">
      <w:pPr>
        <w:jc w:val="center"/>
        <w:rPr>
          <w:rFonts w:ascii="Arial" w:hAnsi="Arial" w:cs="Arial"/>
          <w:b/>
        </w:rPr>
      </w:pPr>
      <w:r w:rsidRPr="00317822">
        <w:rPr>
          <w:rFonts w:ascii="Arial" w:hAnsi="Arial" w:cs="Arial"/>
          <w:b/>
        </w:rPr>
        <w:t xml:space="preserve">Table </w:t>
      </w:r>
      <w:r>
        <w:rPr>
          <w:rFonts w:ascii="Arial" w:hAnsi="Arial" w:cs="Arial"/>
          <w:b/>
        </w:rPr>
        <w:t>6</w:t>
      </w:r>
      <w:r w:rsidRPr="00317822">
        <w:rPr>
          <w:rFonts w:ascii="Arial" w:hAnsi="Arial" w:cs="Arial"/>
          <w:b/>
        </w:rPr>
        <w:t xml:space="preserve">.  </w:t>
      </w:r>
    </w:p>
    <w:p w14:paraId="3A6D0337" w14:textId="2C576F66" w:rsidR="00CA6C67" w:rsidRDefault="00CA6C67" w:rsidP="009D290C">
      <w:pPr>
        <w:jc w:val="center"/>
        <w:rPr>
          <w:rFonts w:ascii="Arial" w:hAnsi="Arial" w:cs="Arial"/>
          <w:b/>
        </w:rPr>
      </w:pPr>
      <w:r>
        <w:rPr>
          <w:rFonts w:ascii="Arial" w:hAnsi="Arial" w:cs="Arial"/>
          <w:b/>
        </w:rPr>
        <w:t>Operating Expenses — 202</w:t>
      </w:r>
      <w:r w:rsidR="00A11F38">
        <w:rPr>
          <w:rFonts w:ascii="Arial" w:hAnsi="Arial" w:cs="Arial"/>
          <w:b/>
        </w:rPr>
        <w:t>2</w:t>
      </w:r>
      <w:r>
        <w:rPr>
          <w:rFonts w:ascii="Arial" w:hAnsi="Arial" w:cs="Arial"/>
          <w:b/>
        </w:rPr>
        <w:t xml:space="preserve"> Proposed Rate, 202</w:t>
      </w:r>
      <w:r w:rsidR="00A11F38">
        <w:rPr>
          <w:rFonts w:ascii="Arial" w:hAnsi="Arial" w:cs="Arial"/>
          <w:b/>
        </w:rPr>
        <w:t>1</w:t>
      </w:r>
      <w:r>
        <w:rPr>
          <w:rFonts w:ascii="Arial" w:hAnsi="Arial" w:cs="Arial"/>
          <w:b/>
        </w:rPr>
        <w:t xml:space="preserve"> Adopted Forecast (in millions)</w:t>
      </w:r>
    </w:p>
    <w:p w14:paraId="19947798" w14:textId="6FBCB995" w:rsidR="008202C9" w:rsidRDefault="008202C9" w:rsidP="00CA6C67">
      <w:pPr>
        <w:jc w:val="center"/>
        <w:rPr>
          <w:rFonts w:ascii="Arial" w:hAnsi="Arial" w:cs="Arial"/>
          <w:b/>
        </w:rPr>
      </w:pPr>
    </w:p>
    <w:tbl>
      <w:tblPr>
        <w:tblW w:w="9090" w:type="dxa"/>
        <w:jc w:val="center"/>
        <w:tblLook w:val="04A0" w:firstRow="1" w:lastRow="0" w:firstColumn="1" w:lastColumn="0" w:noHBand="0" w:noVBand="1"/>
      </w:tblPr>
      <w:tblGrid>
        <w:gridCol w:w="2028"/>
        <w:gridCol w:w="1158"/>
        <w:gridCol w:w="1170"/>
        <w:gridCol w:w="1158"/>
        <w:gridCol w:w="1158"/>
        <w:gridCol w:w="1158"/>
        <w:gridCol w:w="1260"/>
      </w:tblGrid>
      <w:tr w:rsidR="008202C9" w:rsidRPr="009D290C" w14:paraId="0B41224D" w14:textId="77777777" w:rsidTr="009D290C">
        <w:trPr>
          <w:trHeight w:val="385"/>
          <w:jc w:val="center"/>
        </w:trPr>
        <w:tc>
          <w:tcPr>
            <w:tcW w:w="2028" w:type="dxa"/>
            <w:tcBorders>
              <w:top w:val="single" w:sz="8" w:space="0" w:color="auto"/>
              <w:left w:val="single" w:sz="8" w:space="0" w:color="auto"/>
              <w:bottom w:val="single" w:sz="8" w:space="0" w:color="auto"/>
              <w:right w:val="single" w:sz="8" w:space="0" w:color="auto"/>
            </w:tcBorders>
            <w:shd w:val="clear" w:color="000000" w:fill="000000"/>
            <w:vAlign w:val="bottom"/>
            <w:hideMark/>
          </w:tcPr>
          <w:p w14:paraId="362CE51F" w14:textId="77777777" w:rsidR="008202C9" w:rsidRPr="009D290C" w:rsidRDefault="008202C9" w:rsidP="008202C9">
            <w:pPr>
              <w:rPr>
                <w:rFonts w:ascii="Arial" w:hAnsi="Arial" w:cs="Arial"/>
                <w:color w:val="000000"/>
                <w:sz w:val="22"/>
                <w:szCs w:val="22"/>
              </w:rPr>
            </w:pPr>
            <w:r w:rsidRPr="009D290C">
              <w:rPr>
                <w:rFonts w:ascii="Arial" w:hAnsi="Arial" w:cs="Arial"/>
                <w:color w:val="000000"/>
                <w:sz w:val="22"/>
                <w:szCs w:val="22"/>
              </w:rPr>
              <w:t> </w:t>
            </w:r>
          </w:p>
        </w:tc>
        <w:tc>
          <w:tcPr>
            <w:tcW w:w="1158" w:type="dxa"/>
            <w:tcBorders>
              <w:top w:val="single" w:sz="8" w:space="0" w:color="auto"/>
              <w:left w:val="nil"/>
              <w:bottom w:val="single" w:sz="8" w:space="0" w:color="auto"/>
              <w:right w:val="single" w:sz="8" w:space="0" w:color="auto"/>
            </w:tcBorders>
            <w:shd w:val="clear" w:color="000000" w:fill="000000"/>
            <w:noWrap/>
            <w:vAlign w:val="center"/>
            <w:hideMark/>
          </w:tcPr>
          <w:p w14:paraId="735E98F2" w14:textId="77777777" w:rsidR="008202C9" w:rsidRPr="009D290C" w:rsidRDefault="008202C9" w:rsidP="008202C9">
            <w:pPr>
              <w:jc w:val="center"/>
              <w:rPr>
                <w:rFonts w:ascii="Arial" w:hAnsi="Arial" w:cs="Arial"/>
                <w:b/>
                <w:bCs/>
                <w:color w:val="FFFFFF"/>
                <w:sz w:val="22"/>
                <w:szCs w:val="22"/>
              </w:rPr>
            </w:pPr>
            <w:r w:rsidRPr="009D290C">
              <w:rPr>
                <w:rFonts w:ascii="Arial" w:hAnsi="Arial" w:cs="Arial"/>
                <w:b/>
                <w:bCs/>
                <w:color w:val="FFFFFF"/>
                <w:sz w:val="22"/>
                <w:szCs w:val="22"/>
              </w:rPr>
              <w:t>2021</w:t>
            </w:r>
          </w:p>
        </w:tc>
        <w:tc>
          <w:tcPr>
            <w:tcW w:w="1170" w:type="dxa"/>
            <w:tcBorders>
              <w:top w:val="single" w:sz="8" w:space="0" w:color="auto"/>
              <w:left w:val="nil"/>
              <w:bottom w:val="single" w:sz="8" w:space="0" w:color="auto"/>
              <w:right w:val="single" w:sz="8" w:space="0" w:color="auto"/>
            </w:tcBorders>
            <w:shd w:val="clear" w:color="000000" w:fill="000000"/>
            <w:noWrap/>
            <w:vAlign w:val="center"/>
            <w:hideMark/>
          </w:tcPr>
          <w:p w14:paraId="0F1E6F15" w14:textId="77777777" w:rsidR="008202C9" w:rsidRPr="009D290C" w:rsidRDefault="008202C9" w:rsidP="008202C9">
            <w:pPr>
              <w:jc w:val="center"/>
              <w:rPr>
                <w:rFonts w:ascii="Arial" w:hAnsi="Arial" w:cs="Arial"/>
                <w:b/>
                <w:bCs/>
                <w:color w:val="FFFFFF"/>
                <w:sz w:val="22"/>
                <w:szCs w:val="22"/>
              </w:rPr>
            </w:pPr>
            <w:r w:rsidRPr="009D290C">
              <w:rPr>
                <w:rFonts w:ascii="Arial" w:hAnsi="Arial" w:cs="Arial"/>
                <w:b/>
                <w:bCs/>
                <w:color w:val="FFFFFF"/>
                <w:sz w:val="22"/>
                <w:szCs w:val="22"/>
              </w:rPr>
              <w:t>2022</w:t>
            </w:r>
          </w:p>
        </w:tc>
        <w:tc>
          <w:tcPr>
            <w:tcW w:w="1158" w:type="dxa"/>
            <w:tcBorders>
              <w:top w:val="single" w:sz="8" w:space="0" w:color="auto"/>
              <w:left w:val="nil"/>
              <w:bottom w:val="single" w:sz="8" w:space="0" w:color="auto"/>
              <w:right w:val="single" w:sz="8" w:space="0" w:color="auto"/>
            </w:tcBorders>
            <w:shd w:val="clear" w:color="000000" w:fill="000000"/>
            <w:noWrap/>
            <w:vAlign w:val="center"/>
            <w:hideMark/>
          </w:tcPr>
          <w:p w14:paraId="1D983326" w14:textId="77777777" w:rsidR="008202C9" w:rsidRPr="009D290C" w:rsidRDefault="008202C9" w:rsidP="008202C9">
            <w:pPr>
              <w:jc w:val="center"/>
              <w:rPr>
                <w:rFonts w:ascii="Arial" w:hAnsi="Arial" w:cs="Arial"/>
                <w:b/>
                <w:bCs/>
                <w:color w:val="FFFFFF"/>
                <w:sz w:val="22"/>
                <w:szCs w:val="22"/>
              </w:rPr>
            </w:pPr>
            <w:r w:rsidRPr="009D290C">
              <w:rPr>
                <w:rFonts w:ascii="Arial" w:hAnsi="Arial" w:cs="Arial"/>
                <w:b/>
                <w:bCs/>
                <w:color w:val="FFFFFF"/>
                <w:sz w:val="22"/>
                <w:szCs w:val="22"/>
              </w:rPr>
              <w:t>2023</w:t>
            </w:r>
          </w:p>
        </w:tc>
        <w:tc>
          <w:tcPr>
            <w:tcW w:w="1158" w:type="dxa"/>
            <w:tcBorders>
              <w:top w:val="single" w:sz="8" w:space="0" w:color="auto"/>
              <w:left w:val="nil"/>
              <w:bottom w:val="single" w:sz="8" w:space="0" w:color="auto"/>
              <w:right w:val="single" w:sz="8" w:space="0" w:color="auto"/>
            </w:tcBorders>
            <w:shd w:val="clear" w:color="000000" w:fill="000000"/>
            <w:noWrap/>
            <w:vAlign w:val="center"/>
            <w:hideMark/>
          </w:tcPr>
          <w:p w14:paraId="72EF0D52" w14:textId="77777777" w:rsidR="008202C9" w:rsidRPr="009D290C" w:rsidRDefault="008202C9" w:rsidP="008202C9">
            <w:pPr>
              <w:jc w:val="center"/>
              <w:rPr>
                <w:rFonts w:ascii="Arial" w:hAnsi="Arial" w:cs="Arial"/>
                <w:b/>
                <w:bCs/>
                <w:color w:val="FFFFFF"/>
                <w:sz w:val="22"/>
                <w:szCs w:val="22"/>
              </w:rPr>
            </w:pPr>
            <w:r w:rsidRPr="009D290C">
              <w:rPr>
                <w:rFonts w:ascii="Arial" w:hAnsi="Arial" w:cs="Arial"/>
                <w:b/>
                <w:bCs/>
                <w:color w:val="FFFFFF"/>
                <w:sz w:val="22"/>
                <w:szCs w:val="22"/>
              </w:rPr>
              <w:t>2024</w:t>
            </w:r>
          </w:p>
        </w:tc>
        <w:tc>
          <w:tcPr>
            <w:tcW w:w="1158" w:type="dxa"/>
            <w:tcBorders>
              <w:top w:val="single" w:sz="8" w:space="0" w:color="auto"/>
              <w:left w:val="nil"/>
              <w:bottom w:val="single" w:sz="8" w:space="0" w:color="auto"/>
              <w:right w:val="single" w:sz="8" w:space="0" w:color="auto"/>
            </w:tcBorders>
            <w:shd w:val="clear" w:color="000000" w:fill="000000"/>
            <w:noWrap/>
            <w:vAlign w:val="center"/>
            <w:hideMark/>
          </w:tcPr>
          <w:p w14:paraId="57DEFECB" w14:textId="77777777" w:rsidR="008202C9" w:rsidRPr="009D290C" w:rsidRDefault="008202C9" w:rsidP="008202C9">
            <w:pPr>
              <w:jc w:val="center"/>
              <w:rPr>
                <w:rFonts w:ascii="Arial" w:hAnsi="Arial" w:cs="Arial"/>
                <w:b/>
                <w:bCs/>
                <w:color w:val="FFFFFF"/>
                <w:sz w:val="22"/>
                <w:szCs w:val="22"/>
              </w:rPr>
            </w:pPr>
            <w:r w:rsidRPr="009D290C">
              <w:rPr>
                <w:rFonts w:ascii="Arial" w:hAnsi="Arial" w:cs="Arial"/>
                <w:b/>
                <w:bCs/>
                <w:color w:val="FFFFFF"/>
                <w:sz w:val="22"/>
                <w:szCs w:val="22"/>
              </w:rPr>
              <w:t>2025</w:t>
            </w:r>
          </w:p>
        </w:tc>
        <w:tc>
          <w:tcPr>
            <w:tcW w:w="1260" w:type="dxa"/>
            <w:tcBorders>
              <w:top w:val="single" w:sz="8" w:space="0" w:color="auto"/>
              <w:left w:val="nil"/>
              <w:bottom w:val="single" w:sz="8" w:space="0" w:color="auto"/>
              <w:right w:val="single" w:sz="8" w:space="0" w:color="auto"/>
            </w:tcBorders>
            <w:shd w:val="clear" w:color="000000" w:fill="000000"/>
            <w:noWrap/>
            <w:vAlign w:val="center"/>
            <w:hideMark/>
          </w:tcPr>
          <w:p w14:paraId="20E1A344" w14:textId="77777777" w:rsidR="008202C9" w:rsidRPr="009D290C" w:rsidRDefault="008202C9" w:rsidP="008202C9">
            <w:pPr>
              <w:jc w:val="center"/>
              <w:rPr>
                <w:rFonts w:ascii="Arial" w:hAnsi="Arial" w:cs="Arial"/>
                <w:b/>
                <w:bCs/>
                <w:color w:val="FFFFFF"/>
                <w:sz w:val="22"/>
                <w:szCs w:val="22"/>
              </w:rPr>
            </w:pPr>
            <w:r w:rsidRPr="009D290C">
              <w:rPr>
                <w:rFonts w:ascii="Arial" w:hAnsi="Arial" w:cs="Arial"/>
                <w:b/>
                <w:bCs/>
                <w:color w:val="FFFFFF"/>
                <w:sz w:val="22"/>
                <w:szCs w:val="22"/>
              </w:rPr>
              <w:t>2026</w:t>
            </w:r>
          </w:p>
        </w:tc>
      </w:tr>
      <w:tr w:rsidR="00820DD0" w:rsidRPr="009D290C" w14:paraId="0062F327" w14:textId="77777777" w:rsidTr="009D290C">
        <w:trPr>
          <w:trHeight w:val="385"/>
          <w:jc w:val="center"/>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5CCD9918" w14:textId="77777777" w:rsidR="008202C9" w:rsidRPr="009D290C" w:rsidRDefault="008202C9" w:rsidP="008202C9">
            <w:pPr>
              <w:rPr>
                <w:rFonts w:ascii="Arial" w:hAnsi="Arial" w:cs="Arial"/>
                <w:b/>
                <w:bCs/>
                <w:color w:val="000000"/>
                <w:sz w:val="22"/>
                <w:szCs w:val="22"/>
              </w:rPr>
            </w:pPr>
            <w:r w:rsidRPr="009D290C">
              <w:rPr>
                <w:rFonts w:ascii="Arial" w:hAnsi="Arial" w:cs="Arial"/>
                <w:b/>
                <w:bCs/>
                <w:color w:val="000000"/>
                <w:sz w:val="22"/>
                <w:szCs w:val="22"/>
              </w:rPr>
              <w:t>2022 Proposed Rate Forecast</w:t>
            </w:r>
          </w:p>
        </w:tc>
        <w:tc>
          <w:tcPr>
            <w:tcW w:w="1158" w:type="dxa"/>
            <w:tcBorders>
              <w:top w:val="nil"/>
              <w:left w:val="nil"/>
              <w:bottom w:val="single" w:sz="8" w:space="0" w:color="auto"/>
              <w:right w:val="single" w:sz="8" w:space="0" w:color="auto"/>
            </w:tcBorders>
            <w:shd w:val="clear" w:color="auto" w:fill="auto"/>
            <w:noWrap/>
            <w:vAlign w:val="center"/>
            <w:hideMark/>
          </w:tcPr>
          <w:p w14:paraId="5677259A" w14:textId="1D60FFB2" w:rsidR="008202C9" w:rsidRPr="009D290C" w:rsidRDefault="008202C9" w:rsidP="009D290C">
            <w:pPr>
              <w:jc w:val="right"/>
              <w:rPr>
                <w:rFonts w:ascii="Arial" w:hAnsi="Arial" w:cs="Arial"/>
                <w:color w:val="000000"/>
                <w:sz w:val="22"/>
                <w:szCs w:val="22"/>
              </w:rPr>
            </w:pPr>
            <w:r w:rsidRPr="009D290C">
              <w:rPr>
                <w:rFonts w:ascii="Arial" w:hAnsi="Arial" w:cs="Arial"/>
                <w:color w:val="000000"/>
                <w:sz w:val="22"/>
                <w:szCs w:val="22"/>
              </w:rPr>
              <w:t xml:space="preserve"> (</w:t>
            </w:r>
            <w:r w:rsidR="009D290C" w:rsidRPr="009D290C">
              <w:rPr>
                <w:rFonts w:ascii="Arial" w:hAnsi="Arial" w:cs="Arial"/>
                <w:color w:val="000000"/>
                <w:sz w:val="22"/>
                <w:szCs w:val="22"/>
              </w:rPr>
              <w:t>$</w:t>
            </w:r>
            <w:r w:rsidRPr="009D290C">
              <w:rPr>
                <w:rFonts w:ascii="Arial" w:hAnsi="Arial" w:cs="Arial"/>
                <w:color w:val="000000"/>
                <w:sz w:val="22"/>
                <w:szCs w:val="22"/>
              </w:rPr>
              <w:t>175.8)</w:t>
            </w:r>
          </w:p>
        </w:tc>
        <w:tc>
          <w:tcPr>
            <w:tcW w:w="1170" w:type="dxa"/>
            <w:tcBorders>
              <w:top w:val="nil"/>
              <w:left w:val="nil"/>
              <w:bottom w:val="single" w:sz="8" w:space="0" w:color="auto"/>
              <w:right w:val="single" w:sz="8" w:space="0" w:color="auto"/>
            </w:tcBorders>
            <w:shd w:val="clear" w:color="auto" w:fill="auto"/>
            <w:noWrap/>
            <w:vAlign w:val="center"/>
            <w:hideMark/>
          </w:tcPr>
          <w:p w14:paraId="33EA76C3" w14:textId="2D3E16EC" w:rsidR="008202C9" w:rsidRPr="009D290C" w:rsidRDefault="008202C9" w:rsidP="009D290C">
            <w:pPr>
              <w:jc w:val="right"/>
              <w:rPr>
                <w:rFonts w:ascii="Arial" w:hAnsi="Arial" w:cs="Arial"/>
                <w:color w:val="000000"/>
                <w:sz w:val="22"/>
                <w:szCs w:val="22"/>
              </w:rPr>
            </w:pPr>
            <w:r w:rsidRPr="009D290C">
              <w:rPr>
                <w:rFonts w:ascii="Arial" w:hAnsi="Arial" w:cs="Arial"/>
                <w:color w:val="000000"/>
                <w:sz w:val="22"/>
                <w:szCs w:val="22"/>
              </w:rPr>
              <w:t xml:space="preserve"> (</w:t>
            </w:r>
            <w:r w:rsidR="009D290C" w:rsidRPr="009D290C">
              <w:rPr>
                <w:rFonts w:ascii="Arial" w:hAnsi="Arial" w:cs="Arial"/>
                <w:color w:val="000000"/>
                <w:sz w:val="22"/>
                <w:szCs w:val="22"/>
              </w:rPr>
              <w:t>$</w:t>
            </w:r>
            <w:r w:rsidRPr="009D290C">
              <w:rPr>
                <w:rFonts w:ascii="Arial" w:hAnsi="Arial" w:cs="Arial"/>
                <w:color w:val="000000"/>
                <w:sz w:val="22"/>
                <w:szCs w:val="22"/>
              </w:rPr>
              <w:t>177.1)</w:t>
            </w:r>
          </w:p>
        </w:tc>
        <w:tc>
          <w:tcPr>
            <w:tcW w:w="1158" w:type="dxa"/>
            <w:tcBorders>
              <w:top w:val="nil"/>
              <w:left w:val="nil"/>
              <w:bottom w:val="single" w:sz="8" w:space="0" w:color="auto"/>
              <w:right w:val="single" w:sz="8" w:space="0" w:color="auto"/>
            </w:tcBorders>
            <w:shd w:val="clear" w:color="auto" w:fill="auto"/>
            <w:noWrap/>
            <w:vAlign w:val="center"/>
            <w:hideMark/>
          </w:tcPr>
          <w:p w14:paraId="44DAED4F" w14:textId="42022B9C" w:rsidR="008202C9" w:rsidRPr="009D290C" w:rsidRDefault="008202C9" w:rsidP="009D290C">
            <w:pPr>
              <w:jc w:val="right"/>
              <w:rPr>
                <w:rFonts w:ascii="Arial" w:hAnsi="Arial" w:cs="Arial"/>
                <w:color w:val="000000"/>
                <w:sz w:val="22"/>
                <w:szCs w:val="22"/>
              </w:rPr>
            </w:pPr>
            <w:r w:rsidRPr="009D290C">
              <w:rPr>
                <w:rFonts w:ascii="Arial" w:hAnsi="Arial" w:cs="Arial"/>
                <w:color w:val="000000"/>
                <w:sz w:val="22"/>
                <w:szCs w:val="22"/>
              </w:rPr>
              <w:t xml:space="preserve"> (</w:t>
            </w:r>
            <w:r w:rsidR="009D290C" w:rsidRPr="009D290C">
              <w:rPr>
                <w:rFonts w:ascii="Arial" w:hAnsi="Arial" w:cs="Arial"/>
                <w:color w:val="000000"/>
                <w:sz w:val="22"/>
                <w:szCs w:val="22"/>
              </w:rPr>
              <w:t>$</w:t>
            </w:r>
            <w:r w:rsidRPr="009D290C">
              <w:rPr>
                <w:rFonts w:ascii="Arial" w:hAnsi="Arial" w:cs="Arial"/>
                <w:color w:val="000000"/>
                <w:sz w:val="22"/>
                <w:szCs w:val="22"/>
              </w:rPr>
              <w:t>182.8)</w:t>
            </w:r>
          </w:p>
        </w:tc>
        <w:tc>
          <w:tcPr>
            <w:tcW w:w="1158" w:type="dxa"/>
            <w:tcBorders>
              <w:top w:val="nil"/>
              <w:left w:val="nil"/>
              <w:bottom w:val="single" w:sz="8" w:space="0" w:color="auto"/>
              <w:right w:val="single" w:sz="8" w:space="0" w:color="auto"/>
            </w:tcBorders>
            <w:shd w:val="clear" w:color="auto" w:fill="auto"/>
            <w:noWrap/>
            <w:vAlign w:val="center"/>
            <w:hideMark/>
          </w:tcPr>
          <w:p w14:paraId="1DCEBAB4" w14:textId="684FCB46" w:rsidR="008202C9" w:rsidRPr="009D290C" w:rsidRDefault="008202C9" w:rsidP="009D290C">
            <w:pPr>
              <w:jc w:val="right"/>
              <w:rPr>
                <w:rFonts w:ascii="Arial" w:hAnsi="Arial" w:cs="Arial"/>
                <w:color w:val="000000"/>
                <w:sz w:val="22"/>
                <w:szCs w:val="22"/>
              </w:rPr>
            </w:pPr>
            <w:r w:rsidRPr="009D290C">
              <w:rPr>
                <w:rFonts w:ascii="Arial" w:hAnsi="Arial" w:cs="Arial"/>
                <w:color w:val="000000"/>
                <w:sz w:val="22"/>
                <w:szCs w:val="22"/>
              </w:rPr>
              <w:t>(</w:t>
            </w:r>
            <w:r w:rsidR="009D290C" w:rsidRPr="009D290C">
              <w:rPr>
                <w:rFonts w:ascii="Arial" w:hAnsi="Arial" w:cs="Arial"/>
                <w:color w:val="000000"/>
                <w:sz w:val="22"/>
                <w:szCs w:val="22"/>
              </w:rPr>
              <w:t>$</w:t>
            </w:r>
            <w:r w:rsidRPr="009D290C">
              <w:rPr>
                <w:rFonts w:ascii="Arial" w:hAnsi="Arial" w:cs="Arial"/>
                <w:color w:val="000000"/>
                <w:sz w:val="22"/>
                <w:szCs w:val="22"/>
              </w:rPr>
              <w:t>192.2)</w:t>
            </w:r>
          </w:p>
        </w:tc>
        <w:tc>
          <w:tcPr>
            <w:tcW w:w="1158" w:type="dxa"/>
            <w:tcBorders>
              <w:top w:val="nil"/>
              <w:left w:val="nil"/>
              <w:bottom w:val="single" w:sz="8" w:space="0" w:color="auto"/>
              <w:right w:val="single" w:sz="8" w:space="0" w:color="auto"/>
            </w:tcBorders>
            <w:shd w:val="clear" w:color="auto" w:fill="auto"/>
            <w:noWrap/>
            <w:vAlign w:val="center"/>
            <w:hideMark/>
          </w:tcPr>
          <w:p w14:paraId="1EDD5E6A" w14:textId="583620D5" w:rsidR="008202C9" w:rsidRPr="009D290C" w:rsidRDefault="008202C9" w:rsidP="009D290C">
            <w:pPr>
              <w:jc w:val="right"/>
              <w:rPr>
                <w:rFonts w:ascii="Arial" w:hAnsi="Arial" w:cs="Arial"/>
                <w:color w:val="000000"/>
                <w:sz w:val="22"/>
                <w:szCs w:val="22"/>
              </w:rPr>
            </w:pPr>
            <w:r w:rsidRPr="009D290C">
              <w:rPr>
                <w:rFonts w:ascii="Arial" w:hAnsi="Arial" w:cs="Arial"/>
                <w:color w:val="000000"/>
                <w:sz w:val="22"/>
                <w:szCs w:val="22"/>
              </w:rPr>
              <w:t xml:space="preserve"> (</w:t>
            </w:r>
            <w:r w:rsidR="009D290C" w:rsidRPr="009D290C">
              <w:rPr>
                <w:rFonts w:ascii="Arial" w:hAnsi="Arial" w:cs="Arial"/>
                <w:color w:val="000000"/>
                <w:sz w:val="22"/>
                <w:szCs w:val="22"/>
              </w:rPr>
              <w:t>$</w:t>
            </w:r>
            <w:r w:rsidRPr="009D290C">
              <w:rPr>
                <w:rFonts w:ascii="Arial" w:hAnsi="Arial" w:cs="Arial"/>
                <w:color w:val="000000"/>
                <w:sz w:val="22"/>
                <w:szCs w:val="22"/>
              </w:rPr>
              <w:t>202.7)</w:t>
            </w:r>
          </w:p>
        </w:tc>
        <w:tc>
          <w:tcPr>
            <w:tcW w:w="1260" w:type="dxa"/>
            <w:tcBorders>
              <w:top w:val="nil"/>
              <w:left w:val="nil"/>
              <w:bottom w:val="single" w:sz="8" w:space="0" w:color="auto"/>
              <w:right w:val="single" w:sz="8" w:space="0" w:color="auto"/>
            </w:tcBorders>
            <w:shd w:val="clear" w:color="auto" w:fill="auto"/>
            <w:noWrap/>
            <w:vAlign w:val="center"/>
            <w:hideMark/>
          </w:tcPr>
          <w:p w14:paraId="2D7BC5E0" w14:textId="2F967481" w:rsidR="008202C9" w:rsidRPr="009D290C" w:rsidRDefault="009D290C" w:rsidP="009D290C">
            <w:pPr>
              <w:jc w:val="right"/>
              <w:rPr>
                <w:rFonts w:ascii="Arial" w:hAnsi="Arial" w:cs="Arial"/>
                <w:color w:val="000000"/>
                <w:sz w:val="22"/>
                <w:szCs w:val="22"/>
              </w:rPr>
            </w:pPr>
            <w:r w:rsidRPr="009D290C" w:rsidDel="009D290C">
              <w:rPr>
                <w:rFonts w:ascii="Arial" w:hAnsi="Arial" w:cs="Arial"/>
                <w:color w:val="000000"/>
                <w:sz w:val="22"/>
                <w:szCs w:val="22"/>
              </w:rPr>
              <w:t xml:space="preserve"> </w:t>
            </w:r>
            <w:r w:rsidR="008202C9" w:rsidRPr="009D290C">
              <w:rPr>
                <w:rFonts w:ascii="Arial" w:hAnsi="Arial" w:cs="Arial"/>
                <w:color w:val="000000"/>
                <w:sz w:val="22"/>
                <w:szCs w:val="22"/>
              </w:rPr>
              <w:t>(</w:t>
            </w:r>
            <w:r w:rsidRPr="009D290C">
              <w:rPr>
                <w:rFonts w:ascii="Arial" w:hAnsi="Arial" w:cs="Arial"/>
                <w:color w:val="000000"/>
                <w:sz w:val="22"/>
                <w:szCs w:val="22"/>
              </w:rPr>
              <w:t>$</w:t>
            </w:r>
            <w:r w:rsidR="008202C9" w:rsidRPr="009D290C">
              <w:rPr>
                <w:rFonts w:ascii="Arial" w:hAnsi="Arial" w:cs="Arial"/>
                <w:color w:val="000000"/>
                <w:sz w:val="22"/>
                <w:szCs w:val="22"/>
              </w:rPr>
              <w:t>211.4)</w:t>
            </w:r>
          </w:p>
        </w:tc>
      </w:tr>
      <w:tr w:rsidR="00820DD0" w:rsidRPr="009D290C" w14:paraId="4048C568" w14:textId="77777777" w:rsidTr="009D290C">
        <w:trPr>
          <w:trHeight w:val="385"/>
          <w:jc w:val="center"/>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6F16CB4C" w14:textId="77777777" w:rsidR="008202C9" w:rsidRPr="009D290C" w:rsidRDefault="008202C9" w:rsidP="008202C9">
            <w:pPr>
              <w:rPr>
                <w:rFonts w:ascii="Arial" w:hAnsi="Arial" w:cs="Arial"/>
                <w:b/>
                <w:bCs/>
                <w:color w:val="000000"/>
                <w:sz w:val="22"/>
                <w:szCs w:val="22"/>
              </w:rPr>
            </w:pPr>
            <w:r w:rsidRPr="009D290C">
              <w:rPr>
                <w:rFonts w:ascii="Arial" w:hAnsi="Arial" w:cs="Arial"/>
                <w:b/>
                <w:bCs/>
                <w:color w:val="000000"/>
                <w:sz w:val="22"/>
                <w:szCs w:val="22"/>
              </w:rPr>
              <w:t>2021 Adopted Rate Forecast</w:t>
            </w:r>
          </w:p>
        </w:tc>
        <w:tc>
          <w:tcPr>
            <w:tcW w:w="1158" w:type="dxa"/>
            <w:tcBorders>
              <w:top w:val="nil"/>
              <w:left w:val="nil"/>
              <w:bottom w:val="single" w:sz="8" w:space="0" w:color="auto"/>
              <w:right w:val="single" w:sz="8" w:space="0" w:color="auto"/>
            </w:tcBorders>
            <w:shd w:val="clear" w:color="auto" w:fill="auto"/>
            <w:noWrap/>
            <w:vAlign w:val="center"/>
            <w:hideMark/>
          </w:tcPr>
          <w:p w14:paraId="5882224A" w14:textId="3A004CA2" w:rsidR="008202C9" w:rsidRPr="009D290C" w:rsidRDefault="008202C9" w:rsidP="009D290C">
            <w:pPr>
              <w:jc w:val="right"/>
              <w:rPr>
                <w:rFonts w:ascii="Arial" w:hAnsi="Arial" w:cs="Arial"/>
                <w:color w:val="000000"/>
                <w:sz w:val="22"/>
                <w:szCs w:val="22"/>
              </w:rPr>
            </w:pPr>
            <w:r w:rsidRPr="009D290C">
              <w:rPr>
                <w:rFonts w:ascii="Arial" w:hAnsi="Arial" w:cs="Arial"/>
                <w:color w:val="000000"/>
                <w:sz w:val="22"/>
                <w:szCs w:val="22"/>
              </w:rPr>
              <w:t xml:space="preserve"> (</w:t>
            </w:r>
            <w:r w:rsidR="009D290C" w:rsidRPr="009D290C">
              <w:rPr>
                <w:rFonts w:ascii="Arial" w:hAnsi="Arial" w:cs="Arial"/>
                <w:color w:val="000000"/>
                <w:sz w:val="22"/>
                <w:szCs w:val="22"/>
              </w:rPr>
              <w:t>$</w:t>
            </w:r>
            <w:r w:rsidRPr="009D290C">
              <w:rPr>
                <w:rFonts w:ascii="Arial" w:hAnsi="Arial" w:cs="Arial"/>
                <w:color w:val="000000"/>
                <w:sz w:val="22"/>
                <w:szCs w:val="22"/>
              </w:rPr>
              <w:t>173.1)</w:t>
            </w:r>
          </w:p>
        </w:tc>
        <w:tc>
          <w:tcPr>
            <w:tcW w:w="1170" w:type="dxa"/>
            <w:tcBorders>
              <w:top w:val="nil"/>
              <w:left w:val="nil"/>
              <w:bottom w:val="single" w:sz="8" w:space="0" w:color="auto"/>
              <w:right w:val="single" w:sz="8" w:space="0" w:color="auto"/>
            </w:tcBorders>
            <w:shd w:val="clear" w:color="auto" w:fill="auto"/>
            <w:noWrap/>
            <w:vAlign w:val="center"/>
            <w:hideMark/>
          </w:tcPr>
          <w:p w14:paraId="136A4687" w14:textId="3888BF8A" w:rsidR="008202C9" w:rsidRPr="009D290C" w:rsidRDefault="008202C9" w:rsidP="009D290C">
            <w:pPr>
              <w:jc w:val="right"/>
              <w:rPr>
                <w:rFonts w:ascii="Arial" w:hAnsi="Arial" w:cs="Arial"/>
                <w:color w:val="000000"/>
                <w:sz w:val="22"/>
                <w:szCs w:val="22"/>
              </w:rPr>
            </w:pPr>
            <w:r w:rsidRPr="009D290C">
              <w:rPr>
                <w:rFonts w:ascii="Arial" w:hAnsi="Arial" w:cs="Arial"/>
                <w:color w:val="000000"/>
                <w:sz w:val="22"/>
                <w:szCs w:val="22"/>
              </w:rPr>
              <w:t xml:space="preserve"> (</w:t>
            </w:r>
            <w:r w:rsidR="009D290C" w:rsidRPr="009D290C">
              <w:rPr>
                <w:rFonts w:ascii="Arial" w:hAnsi="Arial" w:cs="Arial"/>
                <w:color w:val="000000"/>
                <w:sz w:val="22"/>
                <w:szCs w:val="22"/>
              </w:rPr>
              <w:t>$</w:t>
            </w:r>
            <w:r w:rsidRPr="009D290C">
              <w:rPr>
                <w:rFonts w:ascii="Arial" w:hAnsi="Arial" w:cs="Arial"/>
                <w:color w:val="000000"/>
                <w:sz w:val="22"/>
                <w:szCs w:val="22"/>
              </w:rPr>
              <w:t>181.9)</w:t>
            </w:r>
          </w:p>
        </w:tc>
        <w:tc>
          <w:tcPr>
            <w:tcW w:w="1158" w:type="dxa"/>
            <w:tcBorders>
              <w:top w:val="nil"/>
              <w:left w:val="nil"/>
              <w:bottom w:val="single" w:sz="8" w:space="0" w:color="auto"/>
              <w:right w:val="single" w:sz="8" w:space="0" w:color="auto"/>
            </w:tcBorders>
            <w:shd w:val="clear" w:color="auto" w:fill="auto"/>
            <w:noWrap/>
            <w:vAlign w:val="center"/>
            <w:hideMark/>
          </w:tcPr>
          <w:p w14:paraId="6F20741E" w14:textId="7128DF0E" w:rsidR="008202C9" w:rsidRPr="009D290C" w:rsidRDefault="008202C9" w:rsidP="009D290C">
            <w:pPr>
              <w:jc w:val="right"/>
              <w:rPr>
                <w:rFonts w:ascii="Arial" w:hAnsi="Arial" w:cs="Arial"/>
                <w:color w:val="000000"/>
                <w:sz w:val="22"/>
                <w:szCs w:val="22"/>
              </w:rPr>
            </w:pPr>
            <w:r w:rsidRPr="009D290C">
              <w:rPr>
                <w:rFonts w:ascii="Arial" w:hAnsi="Arial" w:cs="Arial"/>
                <w:color w:val="000000"/>
                <w:sz w:val="22"/>
                <w:szCs w:val="22"/>
              </w:rPr>
              <w:t xml:space="preserve"> (</w:t>
            </w:r>
            <w:r w:rsidR="009D290C" w:rsidRPr="009D290C">
              <w:rPr>
                <w:rFonts w:ascii="Arial" w:hAnsi="Arial" w:cs="Arial"/>
                <w:color w:val="000000"/>
                <w:sz w:val="22"/>
                <w:szCs w:val="22"/>
              </w:rPr>
              <w:t>$</w:t>
            </w:r>
            <w:r w:rsidRPr="009D290C">
              <w:rPr>
                <w:rFonts w:ascii="Arial" w:hAnsi="Arial" w:cs="Arial"/>
                <w:color w:val="000000"/>
                <w:sz w:val="22"/>
                <w:szCs w:val="22"/>
              </w:rPr>
              <w:t>191.6)</w:t>
            </w:r>
          </w:p>
        </w:tc>
        <w:tc>
          <w:tcPr>
            <w:tcW w:w="1158" w:type="dxa"/>
            <w:tcBorders>
              <w:top w:val="nil"/>
              <w:left w:val="nil"/>
              <w:bottom w:val="single" w:sz="8" w:space="0" w:color="auto"/>
              <w:right w:val="single" w:sz="8" w:space="0" w:color="auto"/>
            </w:tcBorders>
            <w:shd w:val="clear" w:color="auto" w:fill="auto"/>
            <w:noWrap/>
            <w:vAlign w:val="center"/>
            <w:hideMark/>
          </w:tcPr>
          <w:p w14:paraId="4B13A340" w14:textId="480218B1" w:rsidR="008202C9" w:rsidRPr="009D290C" w:rsidRDefault="008202C9" w:rsidP="009D290C">
            <w:pPr>
              <w:jc w:val="right"/>
              <w:rPr>
                <w:rFonts w:ascii="Arial" w:hAnsi="Arial" w:cs="Arial"/>
                <w:color w:val="000000"/>
                <w:sz w:val="22"/>
                <w:szCs w:val="22"/>
              </w:rPr>
            </w:pPr>
            <w:r w:rsidRPr="009D290C">
              <w:rPr>
                <w:rFonts w:ascii="Arial" w:hAnsi="Arial" w:cs="Arial"/>
                <w:color w:val="000000"/>
                <w:sz w:val="22"/>
                <w:szCs w:val="22"/>
              </w:rPr>
              <w:t xml:space="preserve"> (</w:t>
            </w:r>
            <w:r w:rsidR="009D290C" w:rsidRPr="009D290C">
              <w:rPr>
                <w:rFonts w:ascii="Arial" w:hAnsi="Arial" w:cs="Arial"/>
                <w:color w:val="000000"/>
                <w:sz w:val="22"/>
                <w:szCs w:val="22"/>
              </w:rPr>
              <w:t>$</w:t>
            </w:r>
            <w:r w:rsidRPr="009D290C">
              <w:rPr>
                <w:rFonts w:ascii="Arial" w:hAnsi="Arial" w:cs="Arial"/>
                <w:color w:val="000000"/>
                <w:sz w:val="22"/>
                <w:szCs w:val="22"/>
              </w:rPr>
              <w:t>203.1)</w:t>
            </w:r>
          </w:p>
        </w:tc>
        <w:tc>
          <w:tcPr>
            <w:tcW w:w="1158" w:type="dxa"/>
            <w:tcBorders>
              <w:top w:val="nil"/>
              <w:left w:val="nil"/>
              <w:bottom w:val="single" w:sz="8" w:space="0" w:color="auto"/>
              <w:right w:val="single" w:sz="8" w:space="0" w:color="auto"/>
            </w:tcBorders>
            <w:shd w:val="clear" w:color="auto" w:fill="auto"/>
            <w:noWrap/>
            <w:vAlign w:val="center"/>
            <w:hideMark/>
          </w:tcPr>
          <w:p w14:paraId="4B6AADEF" w14:textId="137A1AD7" w:rsidR="008202C9" w:rsidRPr="009D290C" w:rsidRDefault="008202C9" w:rsidP="009D290C">
            <w:pPr>
              <w:jc w:val="right"/>
              <w:rPr>
                <w:rFonts w:ascii="Arial" w:hAnsi="Arial" w:cs="Arial"/>
                <w:color w:val="000000"/>
                <w:sz w:val="22"/>
                <w:szCs w:val="22"/>
              </w:rPr>
            </w:pPr>
            <w:r w:rsidRPr="009D290C">
              <w:rPr>
                <w:rFonts w:ascii="Arial" w:hAnsi="Arial" w:cs="Arial"/>
                <w:color w:val="000000"/>
                <w:sz w:val="22"/>
                <w:szCs w:val="22"/>
              </w:rPr>
              <w:t>(</w:t>
            </w:r>
            <w:r w:rsidR="009D290C" w:rsidRPr="009D290C">
              <w:rPr>
                <w:rFonts w:ascii="Arial" w:hAnsi="Arial" w:cs="Arial"/>
                <w:color w:val="000000"/>
                <w:sz w:val="22"/>
                <w:szCs w:val="22"/>
              </w:rPr>
              <w:t>$</w:t>
            </w:r>
            <w:r w:rsidRPr="009D290C">
              <w:rPr>
                <w:rFonts w:ascii="Arial" w:hAnsi="Arial" w:cs="Arial"/>
                <w:color w:val="000000"/>
                <w:sz w:val="22"/>
                <w:szCs w:val="22"/>
              </w:rPr>
              <w:t>213.4)</w:t>
            </w:r>
          </w:p>
        </w:tc>
        <w:tc>
          <w:tcPr>
            <w:tcW w:w="1260" w:type="dxa"/>
            <w:tcBorders>
              <w:top w:val="nil"/>
              <w:left w:val="nil"/>
              <w:bottom w:val="single" w:sz="8" w:space="0" w:color="auto"/>
              <w:right w:val="single" w:sz="8" w:space="0" w:color="auto"/>
            </w:tcBorders>
            <w:shd w:val="clear" w:color="auto" w:fill="auto"/>
            <w:noWrap/>
            <w:vAlign w:val="center"/>
            <w:hideMark/>
          </w:tcPr>
          <w:p w14:paraId="569F81F0" w14:textId="4E646A18" w:rsidR="008202C9" w:rsidRPr="009D290C" w:rsidRDefault="009D290C" w:rsidP="009D290C">
            <w:pPr>
              <w:jc w:val="right"/>
              <w:rPr>
                <w:rFonts w:ascii="Arial" w:hAnsi="Arial" w:cs="Arial"/>
                <w:color w:val="000000"/>
                <w:sz w:val="22"/>
                <w:szCs w:val="22"/>
              </w:rPr>
            </w:pPr>
            <w:r w:rsidRPr="009D290C" w:rsidDel="009D290C">
              <w:rPr>
                <w:rFonts w:ascii="Arial" w:hAnsi="Arial" w:cs="Arial"/>
                <w:color w:val="000000"/>
                <w:sz w:val="22"/>
                <w:szCs w:val="22"/>
              </w:rPr>
              <w:t xml:space="preserve"> </w:t>
            </w:r>
            <w:r w:rsidR="008202C9" w:rsidRPr="009D290C">
              <w:rPr>
                <w:rFonts w:ascii="Arial" w:hAnsi="Arial" w:cs="Arial"/>
                <w:color w:val="000000"/>
                <w:sz w:val="22"/>
                <w:szCs w:val="22"/>
              </w:rPr>
              <w:t>(</w:t>
            </w:r>
            <w:r w:rsidRPr="009D290C">
              <w:rPr>
                <w:rFonts w:ascii="Arial" w:hAnsi="Arial" w:cs="Arial"/>
                <w:color w:val="000000"/>
                <w:sz w:val="22"/>
                <w:szCs w:val="22"/>
              </w:rPr>
              <w:t>$</w:t>
            </w:r>
            <w:r w:rsidR="008202C9" w:rsidRPr="009D290C">
              <w:rPr>
                <w:rFonts w:ascii="Arial" w:hAnsi="Arial" w:cs="Arial"/>
                <w:color w:val="000000"/>
                <w:sz w:val="22"/>
                <w:szCs w:val="22"/>
              </w:rPr>
              <w:t>221.8)</w:t>
            </w:r>
          </w:p>
        </w:tc>
      </w:tr>
      <w:tr w:rsidR="00820DD0" w:rsidRPr="009D290C" w14:paraId="393D2FC0" w14:textId="77777777" w:rsidTr="009D290C">
        <w:trPr>
          <w:trHeight w:val="385"/>
          <w:jc w:val="center"/>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42C9EBDE" w14:textId="77777777" w:rsidR="008202C9" w:rsidRPr="009D290C" w:rsidRDefault="008202C9" w:rsidP="008202C9">
            <w:pPr>
              <w:rPr>
                <w:rFonts w:ascii="Arial" w:hAnsi="Arial" w:cs="Arial"/>
                <w:b/>
                <w:bCs/>
                <w:color w:val="000000"/>
                <w:sz w:val="22"/>
                <w:szCs w:val="22"/>
              </w:rPr>
            </w:pPr>
            <w:r w:rsidRPr="009D290C">
              <w:rPr>
                <w:rFonts w:ascii="Arial" w:hAnsi="Arial" w:cs="Arial"/>
                <w:b/>
                <w:bCs/>
                <w:color w:val="000000"/>
                <w:sz w:val="22"/>
                <w:szCs w:val="22"/>
              </w:rPr>
              <w:t>Difference</w:t>
            </w:r>
          </w:p>
        </w:tc>
        <w:tc>
          <w:tcPr>
            <w:tcW w:w="1158" w:type="dxa"/>
            <w:tcBorders>
              <w:top w:val="nil"/>
              <w:left w:val="nil"/>
              <w:bottom w:val="single" w:sz="8" w:space="0" w:color="auto"/>
              <w:right w:val="single" w:sz="8" w:space="0" w:color="auto"/>
            </w:tcBorders>
            <w:shd w:val="clear" w:color="auto" w:fill="auto"/>
            <w:noWrap/>
            <w:vAlign w:val="center"/>
            <w:hideMark/>
          </w:tcPr>
          <w:p w14:paraId="576A6941" w14:textId="7D46F933" w:rsidR="008202C9" w:rsidRPr="009D290C" w:rsidRDefault="008202C9" w:rsidP="009D290C">
            <w:pPr>
              <w:jc w:val="right"/>
              <w:rPr>
                <w:rFonts w:ascii="Arial" w:hAnsi="Arial" w:cs="Arial"/>
                <w:b/>
                <w:bCs/>
                <w:color w:val="000000"/>
                <w:sz w:val="22"/>
                <w:szCs w:val="22"/>
              </w:rPr>
            </w:pPr>
            <w:r w:rsidRPr="009D290C">
              <w:rPr>
                <w:rFonts w:ascii="Arial" w:hAnsi="Arial" w:cs="Arial"/>
                <w:b/>
                <w:bCs/>
                <w:color w:val="000000"/>
                <w:sz w:val="22"/>
                <w:szCs w:val="22"/>
              </w:rPr>
              <w:t xml:space="preserve"> $2.7 </w:t>
            </w:r>
          </w:p>
        </w:tc>
        <w:tc>
          <w:tcPr>
            <w:tcW w:w="1170" w:type="dxa"/>
            <w:tcBorders>
              <w:top w:val="nil"/>
              <w:left w:val="nil"/>
              <w:bottom w:val="single" w:sz="8" w:space="0" w:color="auto"/>
              <w:right w:val="single" w:sz="8" w:space="0" w:color="auto"/>
            </w:tcBorders>
            <w:shd w:val="clear" w:color="auto" w:fill="auto"/>
            <w:noWrap/>
            <w:vAlign w:val="center"/>
            <w:hideMark/>
          </w:tcPr>
          <w:p w14:paraId="2854D900" w14:textId="26D31B9B" w:rsidR="008202C9" w:rsidRPr="009D290C" w:rsidRDefault="009D290C" w:rsidP="009D290C">
            <w:pPr>
              <w:jc w:val="right"/>
              <w:rPr>
                <w:rFonts w:ascii="Arial" w:hAnsi="Arial" w:cs="Arial"/>
                <w:b/>
                <w:bCs/>
                <w:color w:val="000000"/>
                <w:sz w:val="22"/>
                <w:szCs w:val="22"/>
              </w:rPr>
            </w:pPr>
            <w:r w:rsidRPr="009D290C" w:rsidDel="009D290C">
              <w:rPr>
                <w:rFonts w:ascii="Arial" w:hAnsi="Arial" w:cs="Arial"/>
                <w:b/>
                <w:bCs/>
                <w:color w:val="000000"/>
                <w:sz w:val="22"/>
                <w:szCs w:val="22"/>
              </w:rPr>
              <w:t xml:space="preserve"> </w:t>
            </w:r>
            <w:r w:rsidR="008202C9" w:rsidRPr="009D290C">
              <w:rPr>
                <w:rFonts w:ascii="Arial" w:hAnsi="Arial" w:cs="Arial"/>
                <w:b/>
                <w:bCs/>
                <w:color w:val="000000"/>
                <w:sz w:val="22"/>
                <w:szCs w:val="22"/>
              </w:rPr>
              <w:t>(</w:t>
            </w:r>
            <w:r w:rsidRPr="009D290C">
              <w:rPr>
                <w:rFonts w:ascii="Arial" w:hAnsi="Arial" w:cs="Arial"/>
                <w:b/>
                <w:bCs/>
                <w:color w:val="000000"/>
                <w:sz w:val="22"/>
                <w:szCs w:val="22"/>
              </w:rPr>
              <w:t>$</w:t>
            </w:r>
            <w:r w:rsidR="008202C9" w:rsidRPr="009D290C">
              <w:rPr>
                <w:rFonts w:ascii="Arial" w:hAnsi="Arial" w:cs="Arial"/>
                <w:b/>
                <w:bCs/>
                <w:color w:val="000000"/>
                <w:sz w:val="22"/>
                <w:szCs w:val="22"/>
              </w:rPr>
              <w:t>4.8)</w:t>
            </w:r>
          </w:p>
        </w:tc>
        <w:tc>
          <w:tcPr>
            <w:tcW w:w="1158" w:type="dxa"/>
            <w:tcBorders>
              <w:top w:val="nil"/>
              <w:left w:val="nil"/>
              <w:bottom w:val="single" w:sz="8" w:space="0" w:color="auto"/>
              <w:right w:val="single" w:sz="8" w:space="0" w:color="auto"/>
            </w:tcBorders>
            <w:shd w:val="clear" w:color="auto" w:fill="auto"/>
            <w:noWrap/>
            <w:vAlign w:val="center"/>
            <w:hideMark/>
          </w:tcPr>
          <w:p w14:paraId="5A15AE8A" w14:textId="0BD6C960" w:rsidR="008202C9" w:rsidRPr="009D290C" w:rsidRDefault="009D290C" w:rsidP="009D290C">
            <w:pPr>
              <w:jc w:val="right"/>
              <w:rPr>
                <w:rFonts w:ascii="Arial" w:hAnsi="Arial" w:cs="Arial"/>
                <w:b/>
                <w:bCs/>
                <w:color w:val="000000"/>
                <w:sz w:val="22"/>
                <w:szCs w:val="22"/>
              </w:rPr>
            </w:pPr>
            <w:r w:rsidRPr="009D290C" w:rsidDel="009D290C">
              <w:rPr>
                <w:rFonts w:ascii="Arial" w:hAnsi="Arial" w:cs="Arial"/>
                <w:b/>
                <w:bCs/>
                <w:color w:val="000000"/>
                <w:sz w:val="22"/>
                <w:szCs w:val="22"/>
              </w:rPr>
              <w:t xml:space="preserve"> </w:t>
            </w:r>
            <w:r w:rsidR="008202C9" w:rsidRPr="009D290C">
              <w:rPr>
                <w:rFonts w:ascii="Arial" w:hAnsi="Arial" w:cs="Arial"/>
                <w:b/>
                <w:bCs/>
                <w:color w:val="000000"/>
                <w:sz w:val="22"/>
                <w:szCs w:val="22"/>
              </w:rPr>
              <w:t>(</w:t>
            </w:r>
            <w:r w:rsidRPr="009D290C">
              <w:rPr>
                <w:rFonts w:ascii="Arial" w:hAnsi="Arial" w:cs="Arial"/>
                <w:b/>
                <w:bCs/>
                <w:color w:val="000000"/>
                <w:sz w:val="22"/>
                <w:szCs w:val="22"/>
              </w:rPr>
              <w:t>$</w:t>
            </w:r>
            <w:r w:rsidR="008202C9" w:rsidRPr="009D290C">
              <w:rPr>
                <w:rFonts w:ascii="Arial" w:hAnsi="Arial" w:cs="Arial"/>
                <w:b/>
                <w:bCs/>
                <w:color w:val="000000"/>
                <w:sz w:val="22"/>
                <w:szCs w:val="22"/>
              </w:rPr>
              <w:t>8.8)</w:t>
            </w:r>
          </w:p>
        </w:tc>
        <w:tc>
          <w:tcPr>
            <w:tcW w:w="1158" w:type="dxa"/>
            <w:tcBorders>
              <w:top w:val="nil"/>
              <w:left w:val="nil"/>
              <w:bottom w:val="single" w:sz="8" w:space="0" w:color="auto"/>
              <w:right w:val="single" w:sz="8" w:space="0" w:color="auto"/>
            </w:tcBorders>
            <w:shd w:val="clear" w:color="auto" w:fill="auto"/>
            <w:noWrap/>
            <w:vAlign w:val="center"/>
            <w:hideMark/>
          </w:tcPr>
          <w:p w14:paraId="0CD5C04C" w14:textId="49F826F7" w:rsidR="008202C9" w:rsidRPr="009D290C" w:rsidRDefault="009D290C" w:rsidP="009D290C">
            <w:pPr>
              <w:jc w:val="right"/>
              <w:rPr>
                <w:rFonts w:ascii="Arial" w:hAnsi="Arial" w:cs="Arial"/>
                <w:b/>
                <w:bCs/>
                <w:color w:val="000000"/>
                <w:sz w:val="22"/>
                <w:szCs w:val="22"/>
              </w:rPr>
            </w:pPr>
            <w:r w:rsidRPr="009D290C" w:rsidDel="009D290C">
              <w:rPr>
                <w:rFonts w:ascii="Arial" w:hAnsi="Arial" w:cs="Arial"/>
                <w:b/>
                <w:bCs/>
                <w:color w:val="000000"/>
                <w:sz w:val="22"/>
                <w:szCs w:val="22"/>
              </w:rPr>
              <w:t xml:space="preserve"> </w:t>
            </w:r>
            <w:r w:rsidR="008202C9" w:rsidRPr="009D290C">
              <w:rPr>
                <w:rFonts w:ascii="Arial" w:hAnsi="Arial" w:cs="Arial"/>
                <w:b/>
                <w:bCs/>
                <w:color w:val="000000"/>
                <w:sz w:val="22"/>
                <w:szCs w:val="22"/>
              </w:rPr>
              <w:t>(</w:t>
            </w:r>
            <w:r w:rsidRPr="009D290C">
              <w:rPr>
                <w:rFonts w:ascii="Arial" w:hAnsi="Arial" w:cs="Arial"/>
                <w:b/>
                <w:bCs/>
                <w:color w:val="000000"/>
                <w:sz w:val="22"/>
                <w:szCs w:val="22"/>
              </w:rPr>
              <w:t>$</w:t>
            </w:r>
            <w:r w:rsidR="008202C9" w:rsidRPr="009D290C">
              <w:rPr>
                <w:rFonts w:ascii="Arial" w:hAnsi="Arial" w:cs="Arial"/>
                <w:b/>
                <w:bCs/>
                <w:color w:val="000000"/>
                <w:sz w:val="22"/>
                <w:szCs w:val="22"/>
              </w:rPr>
              <w:t>11.0)</w:t>
            </w:r>
          </w:p>
        </w:tc>
        <w:tc>
          <w:tcPr>
            <w:tcW w:w="1158" w:type="dxa"/>
            <w:tcBorders>
              <w:top w:val="nil"/>
              <w:left w:val="nil"/>
              <w:bottom w:val="single" w:sz="8" w:space="0" w:color="auto"/>
              <w:right w:val="single" w:sz="8" w:space="0" w:color="auto"/>
            </w:tcBorders>
            <w:shd w:val="clear" w:color="auto" w:fill="auto"/>
            <w:noWrap/>
            <w:vAlign w:val="center"/>
            <w:hideMark/>
          </w:tcPr>
          <w:p w14:paraId="7F3EE71E" w14:textId="4FFBA952" w:rsidR="008202C9" w:rsidRPr="009D290C" w:rsidRDefault="009D290C" w:rsidP="009D290C">
            <w:pPr>
              <w:jc w:val="right"/>
              <w:rPr>
                <w:rFonts w:ascii="Arial" w:hAnsi="Arial" w:cs="Arial"/>
                <w:b/>
                <w:bCs/>
                <w:color w:val="000000"/>
                <w:sz w:val="22"/>
                <w:szCs w:val="22"/>
              </w:rPr>
            </w:pPr>
            <w:r w:rsidRPr="009D290C" w:rsidDel="009D290C">
              <w:rPr>
                <w:rFonts w:ascii="Arial" w:hAnsi="Arial" w:cs="Arial"/>
                <w:b/>
                <w:bCs/>
                <w:color w:val="000000"/>
                <w:sz w:val="22"/>
                <w:szCs w:val="22"/>
              </w:rPr>
              <w:t xml:space="preserve"> </w:t>
            </w:r>
            <w:r w:rsidR="008202C9" w:rsidRPr="009D290C">
              <w:rPr>
                <w:rFonts w:ascii="Arial" w:hAnsi="Arial" w:cs="Arial"/>
                <w:b/>
                <w:bCs/>
                <w:color w:val="000000"/>
                <w:sz w:val="22"/>
                <w:szCs w:val="22"/>
              </w:rPr>
              <w:t>(</w:t>
            </w:r>
            <w:r w:rsidRPr="009D290C">
              <w:rPr>
                <w:rFonts w:ascii="Arial" w:hAnsi="Arial" w:cs="Arial"/>
                <w:b/>
                <w:bCs/>
                <w:color w:val="000000"/>
                <w:sz w:val="22"/>
                <w:szCs w:val="22"/>
              </w:rPr>
              <w:t>$</w:t>
            </w:r>
            <w:r w:rsidR="008202C9" w:rsidRPr="009D290C">
              <w:rPr>
                <w:rFonts w:ascii="Arial" w:hAnsi="Arial" w:cs="Arial"/>
                <w:b/>
                <w:bCs/>
                <w:color w:val="000000"/>
                <w:sz w:val="22"/>
                <w:szCs w:val="22"/>
              </w:rPr>
              <w:t>10.7)</w:t>
            </w:r>
          </w:p>
        </w:tc>
        <w:tc>
          <w:tcPr>
            <w:tcW w:w="1260" w:type="dxa"/>
            <w:tcBorders>
              <w:top w:val="nil"/>
              <w:left w:val="nil"/>
              <w:bottom w:val="single" w:sz="8" w:space="0" w:color="auto"/>
              <w:right w:val="single" w:sz="8" w:space="0" w:color="auto"/>
            </w:tcBorders>
            <w:shd w:val="clear" w:color="auto" w:fill="auto"/>
            <w:noWrap/>
            <w:vAlign w:val="center"/>
            <w:hideMark/>
          </w:tcPr>
          <w:p w14:paraId="2B355CFD" w14:textId="049B9598" w:rsidR="008202C9" w:rsidRPr="009D290C" w:rsidRDefault="009D290C" w:rsidP="009D290C">
            <w:pPr>
              <w:jc w:val="right"/>
              <w:rPr>
                <w:rFonts w:ascii="Arial" w:hAnsi="Arial" w:cs="Arial"/>
                <w:b/>
                <w:bCs/>
                <w:color w:val="000000"/>
                <w:sz w:val="22"/>
                <w:szCs w:val="22"/>
              </w:rPr>
            </w:pPr>
            <w:r w:rsidRPr="009D290C" w:rsidDel="009D290C">
              <w:rPr>
                <w:rFonts w:ascii="Arial" w:hAnsi="Arial" w:cs="Arial"/>
                <w:b/>
                <w:bCs/>
                <w:color w:val="000000"/>
                <w:sz w:val="22"/>
                <w:szCs w:val="22"/>
              </w:rPr>
              <w:t xml:space="preserve"> </w:t>
            </w:r>
            <w:r w:rsidR="008202C9" w:rsidRPr="009D290C">
              <w:rPr>
                <w:rFonts w:ascii="Arial" w:hAnsi="Arial" w:cs="Arial"/>
                <w:b/>
                <w:bCs/>
                <w:color w:val="000000"/>
                <w:sz w:val="22"/>
                <w:szCs w:val="22"/>
              </w:rPr>
              <w:t>(</w:t>
            </w:r>
            <w:r w:rsidRPr="009D290C">
              <w:rPr>
                <w:rFonts w:ascii="Arial" w:hAnsi="Arial" w:cs="Arial"/>
                <w:b/>
                <w:bCs/>
                <w:color w:val="000000"/>
                <w:sz w:val="22"/>
                <w:szCs w:val="22"/>
              </w:rPr>
              <w:t>$</w:t>
            </w:r>
            <w:r w:rsidR="008202C9" w:rsidRPr="009D290C">
              <w:rPr>
                <w:rFonts w:ascii="Arial" w:hAnsi="Arial" w:cs="Arial"/>
                <w:b/>
                <w:bCs/>
                <w:color w:val="000000"/>
                <w:sz w:val="22"/>
                <w:szCs w:val="22"/>
              </w:rPr>
              <w:t>10.4)</w:t>
            </w:r>
          </w:p>
        </w:tc>
      </w:tr>
    </w:tbl>
    <w:p w14:paraId="36288AA0" w14:textId="77777777" w:rsidR="008202C9" w:rsidRDefault="008202C9" w:rsidP="00CA6C67">
      <w:pPr>
        <w:jc w:val="center"/>
        <w:rPr>
          <w:rFonts w:ascii="Arial" w:hAnsi="Arial" w:cs="Arial"/>
        </w:rPr>
      </w:pPr>
    </w:p>
    <w:p w14:paraId="01262EB2" w14:textId="30FFC7AE" w:rsidR="00BC5397" w:rsidRPr="009D290C" w:rsidRDefault="00BC5397" w:rsidP="009D290C">
      <w:pPr>
        <w:spacing w:line="264" w:lineRule="auto"/>
        <w:jc w:val="both"/>
        <w:rPr>
          <w:rFonts w:ascii="Arial" w:hAnsi="Arial" w:cs="Arial"/>
          <w:b/>
          <w:i/>
          <w:iCs/>
        </w:rPr>
      </w:pPr>
      <w:r w:rsidRPr="009D290C">
        <w:rPr>
          <w:rFonts w:ascii="Arial" w:hAnsi="Arial" w:cs="Arial"/>
          <w:b/>
        </w:rPr>
        <w:t>Capital Revenue</w:t>
      </w:r>
      <w:r w:rsidR="009D290C" w:rsidRPr="009D290C">
        <w:rPr>
          <w:rFonts w:ascii="Arial" w:hAnsi="Arial" w:cs="Arial"/>
          <w:b/>
        </w:rPr>
        <w:t xml:space="preserve">. </w:t>
      </w:r>
      <w:r w:rsidRPr="005017A6">
        <w:rPr>
          <w:rFonts w:ascii="Arial" w:hAnsi="Arial" w:cs="Arial"/>
          <w:b/>
          <w:i/>
          <w:iCs/>
        </w:rPr>
        <w:t xml:space="preserve"> </w:t>
      </w:r>
      <w:r w:rsidR="00E47571">
        <w:rPr>
          <w:rFonts w:ascii="Arial" w:hAnsi="Arial" w:cs="Arial"/>
        </w:rPr>
        <w:t>R</w:t>
      </w:r>
      <w:r w:rsidRPr="00E835B6">
        <w:rPr>
          <w:rFonts w:ascii="Arial" w:hAnsi="Arial" w:cs="Arial"/>
        </w:rPr>
        <w:t xml:space="preserve">evenue support for capital expenditures is derived from both rate-supported cash transfers to capital accounts, and from borrowing, including bond sales, state and federal loans and other debt instruments.  Cash transfers are intended to provide 40% of the cost of capital projects in cash, over time.  This cash-funded capital helps to assure sufficient “debt coverage”—the amount of revenue available to pay regular debt obligations, described as, for example, “1.5x” (one-and-a-half times the amount of revenue available compared to that needed to pay debt payments due).   Table </w:t>
      </w:r>
      <w:r w:rsidR="000E2E6E">
        <w:rPr>
          <w:rFonts w:ascii="Arial" w:hAnsi="Arial" w:cs="Arial"/>
        </w:rPr>
        <w:t>7</w:t>
      </w:r>
      <w:r w:rsidRPr="00E835B6">
        <w:rPr>
          <w:rFonts w:ascii="Arial" w:hAnsi="Arial" w:cs="Arial"/>
        </w:rPr>
        <w:t xml:space="preserve"> below illustrates the various standards for debt coverage, and the </w:t>
      </w:r>
      <w:r w:rsidR="005626EF">
        <w:rPr>
          <w:rFonts w:ascii="Arial" w:hAnsi="Arial" w:cs="Arial"/>
        </w:rPr>
        <w:t>wastewater system’s</w:t>
      </w:r>
      <w:r w:rsidRPr="00E835B6">
        <w:rPr>
          <w:rFonts w:ascii="Arial" w:hAnsi="Arial" w:cs="Arial"/>
        </w:rPr>
        <w:t xml:space="preserve"> debt coverage level for 2019.</w:t>
      </w:r>
    </w:p>
    <w:p w14:paraId="30DA1BFC" w14:textId="26FF02DB" w:rsidR="00BC5397" w:rsidRDefault="00BC5397" w:rsidP="00BC5397">
      <w:pPr>
        <w:ind w:left="720"/>
        <w:jc w:val="both"/>
        <w:rPr>
          <w:rFonts w:ascii="Arial" w:hAnsi="Arial" w:cs="Arial"/>
          <w:bCs/>
        </w:rPr>
      </w:pPr>
    </w:p>
    <w:p w14:paraId="5A413D50" w14:textId="77777777" w:rsidR="00186053" w:rsidRDefault="004432F5" w:rsidP="00BC3925">
      <w:pPr>
        <w:ind w:left="720"/>
        <w:jc w:val="center"/>
        <w:rPr>
          <w:rFonts w:ascii="Arial" w:hAnsi="Arial" w:cs="Arial"/>
          <w:b/>
          <w:bCs/>
        </w:rPr>
      </w:pPr>
      <w:r>
        <w:rPr>
          <w:rFonts w:ascii="Arial" w:hAnsi="Arial" w:cs="Arial"/>
          <w:b/>
          <w:bCs/>
        </w:rPr>
        <w:t xml:space="preserve">Table 7.  </w:t>
      </w:r>
    </w:p>
    <w:p w14:paraId="201D5A29" w14:textId="13DA15B5" w:rsidR="004432F5" w:rsidRDefault="004432F5" w:rsidP="00BC3925">
      <w:pPr>
        <w:ind w:left="720"/>
        <w:jc w:val="center"/>
        <w:rPr>
          <w:rFonts w:ascii="Arial" w:hAnsi="Arial" w:cs="Arial"/>
          <w:b/>
          <w:bCs/>
        </w:rPr>
      </w:pPr>
      <w:r>
        <w:rPr>
          <w:rFonts w:ascii="Arial" w:hAnsi="Arial" w:cs="Arial"/>
          <w:b/>
          <w:bCs/>
        </w:rPr>
        <w:t xml:space="preserve">Debt Coverage </w:t>
      </w:r>
      <w:r w:rsidR="00CC1B76">
        <w:rPr>
          <w:rFonts w:ascii="Arial" w:hAnsi="Arial" w:cs="Arial"/>
          <w:b/>
          <w:bCs/>
        </w:rPr>
        <w:t>Standards</w:t>
      </w:r>
    </w:p>
    <w:p w14:paraId="307F8CF5" w14:textId="77777777" w:rsidR="00186053" w:rsidRDefault="00186053" w:rsidP="00BC3925">
      <w:pPr>
        <w:ind w:left="720"/>
        <w:jc w:val="center"/>
        <w:rPr>
          <w:rFonts w:ascii="Arial" w:hAnsi="Arial" w:cs="Arial"/>
          <w:bCs/>
        </w:rPr>
      </w:pPr>
    </w:p>
    <w:tbl>
      <w:tblPr>
        <w:tblStyle w:val="TableGrid"/>
        <w:tblW w:w="0" w:type="auto"/>
        <w:tblInd w:w="85" w:type="dxa"/>
        <w:tblLook w:val="04A0" w:firstRow="1" w:lastRow="0" w:firstColumn="1" w:lastColumn="0" w:noHBand="0" w:noVBand="1"/>
      </w:tblPr>
      <w:tblGrid>
        <w:gridCol w:w="1778"/>
        <w:gridCol w:w="2185"/>
        <w:gridCol w:w="1347"/>
        <w:gridCol w:w="1170"/>
        <w:gridCol w:w="1170"/>
        <w:gridCol w:w="1615"/>
      </w:tblGrid>
      <w:tr w:rsidR="00186053" w14:paraId="4A115442" w14:textId="77777777" w:rsidTr="00186053">
        <w:tc>
          <w:tcPr>
            <w:tcW w:w="1778" w:type="dxa"/>
            <w:shd w:val="clear" w:color="auto" w:fill="000000" w:themeFill="text1"/>
          </w:tcPr>
          <w:p w14:paraId="3A706AAA" w14:textId="77777777" w:rsidR="00BC5397" w:rsidRPr="00DE5664" w:rsidRDefault="00BC5397" w:rsidP="00BC3925">
            <w:pPr>
              <w:jc w:val="center"/>
              <w:rPr>
                <w:rFonts w:ascii="Arial" w:hAnsi="Arial" w:cs="Arial"/>
                <w:b/>
                <w:sz w:val="22"/>
                <w:szCs w:val="22"/>
              </w:rPr>
            </w:pPr>
            <w:r w:rsidRPr="00DE5664">
              <w:rPr>
                <w:rFonts w:ascii="Arial" w:hAnsi="Arial" w:cs="Arial"/>
                <w:b/>
                <w:sz w:val="22"/>
                <w:szCs w:val="22"/>
              </w:rPr>
              <w:t>Minimum Requirements of Debt Covenants and Code</w:t>
            </w:r>
          </w:p>
        </w:tc>
        <w:tc>
          <w:tcPr>
            <w:tcW w:w="2185" w:type="dxa"/>
            <w:shd w:val="clear" w:color="auto" w:fill="000000" w:themeFill="text1"/>
          </w:tcPr>
          <w:p w14:paraId="05B8D21E" w14:textId="1E9C94FD" w:rsidR="00BC5397" w:rsidRPr="00DE5664" w:rsidRDefault="00BC5397" w:rsidP="00BC3925">
            <w:pPr>
              <w:jc w:val="center"/>
              <w:rPr>
                <w:rFonts w:ascii="Arial" w:hAnsi="Arial" w:cs="Arial"/>
                <w:b/>
                <w:sz w:val="22"/>
                <w:szCs w:val="22"/>
              </w:rPr>
            </w:pPr>
            <w:r w:rsidRPr="00DE5664">
              <w:rPr>
                <w:rFonts w:ascii="Arial" w:hAnsi="Arial" w:cs="Arial"/>
                <w:b/>
                <w:sz w:val="22"/>
                <w:szCs w:val="22"/>
              </w:rPr>
              <w:t>Minimum for Rate Setting—Debt Review Rec</w:t>
            </w:r>
            <w:r w:rsidR="00186053">
              <w:rPr>
                <w:rFonts w:ascii="Arial" w:hAnsi="Arial" w:cs="Arial"/>
                <w:b/>
                <w:sz w:val="22"/>
                <w:szCs w:val="22"/>
              </w:rPr>
              <w:t>omm</w:t>
            </w:r>
            <w:r w:rsidRPr="00DE5664">
              <w:rPr>
                <w:rFonts w:ascii="Arial" w:hAnsi="Arial" w:cs="Arial"/>
                <w:b/>
                <w:sz w:val="22"/>
                <w:szCs w:val="22"/>
              </w:rPr>
              <w:t>endations</w:t>
            </w:r>
          </w:p>
        </w:tc>
        <w:tc>
          <w:tcPr>
            <w:tcW w:w="1347" w:type="dxa"/>
            <w:shd w:val="clear" w:color="auto" w:fill="000000" w:themeFill="text1"/>
          </w:tcPr>
          <w:p w14:paraId="1E61764F" w14:textId="77777777" w:rsidR="00BC5397" w:rsidRPr="00DE5664" w:rsidRDefault="00BC5397" w:rsidP="00BC3925">
            <w:pPr>
              <w:jc w:val="center"/>
              <w:rPr>
                <w:rFonts w:ascii="Arial" w:hAnsi="Arial" w:cs="Arial"/>
                <w:b/>
                <w:sz w:val="22"/>
                <w:szCs w:val="22"/>
              </w:rPr>
            </w:pPr>
            <w:r w:rsidRPr="00DE5664">
              <w:rPr>
                <w:rFonts w:ascii="Arial" w:hAnsi="Arial" w:cs="Arial"/>
                <w:b/>
                <w:sz w:val="22"/>
                <w:szCs w:val="22"/>
              </w:rPr>
              <w:t>2019 Actual</w:t>
            </w:r>
          </w:p>
        </w:tc>
        <w:tc>
          <w:tcPr>
            <w:tcW w:w="1170" w:type="dxa"/>
            <w:shd w:val="clear" w:color="auto" w:fill="000000" w:themeFill="text1"/>
          </w:tcPr>
          <w:p w14:paraId="1C046B06" w14:textId="780C5D7D" w:rsidR="00BC5397" w:rsidRPr="00DE5664" w:rsidRDefault="00BC5397" w:rsidP="00BC3925">
            <w:pPr>
              <w:jc w:val="center"/>
              <w:rPr>
                <w:rFonts w:ascii="Arial" w:hAnsi="Arial" w:cs="Arial"/>
                <w:b/>
                <w:sz w:val="22"/>
                <w:szCs w:val="22"/>
              </w:rPr>
            </w:pPr>
            <w:r w:rsidRPr="00DE5664">
              <w:rPr>
                <w:rFonts w:ascii="Arial" w:hAnsi="Arial" w:cs="Arial"/>
                <w:b/>
                <w:sz w:val="22"/>
                <w:szCs w:val="22"/>
              </w:rPr>
              <w:t xml:space="preserve">Moody’s </w:t>
            </w:r>
            <w:proofErr w:type="spellStart"/>
            <w:r w:rsidRPr="00DE5664">
              <w:rPr>
                <w:rFonts w:ascii="Arial" w:hAnsi="Arial" w:cs="Arial"/>
                <w:b/>
                <w:sz w:val="22"/>
                <w:szCs w:val="22"/>
              </w:rPr>
              <w:t>Recc</w:t>
            </w:r>
            <w:proofErr w:type="spellEnd"/>
            <w:r w:rsidR="00186053">
              <w:rPr>
                <w:rFonts w:ascii="Arial" w:hAnsi="Arial" w:cs="Arial"/>
                <w:b/>
                <w:sz w:val="22"/>
                <w:szCs w:val="22"/>
              </w:rPr>
              <w:t>.</w:t>
            </w:r>
            <w:r w:rsidRPr="00DE5664">
              <w:rPr>
                <w:rFonts w:ascii="Arial" w:hAnsi="Arial" w:cs="Arial"/>
                <w:b/>
                <w:sz w:val="22"/>
                <w:szCs w:val="22"/>
              </w:rPr>
              <w:t xml:space="preserve"> for Aa Rating</w:t>
            </w:r>
          </w:p>
        </w:tc>
        <w:tc>
          <w:tcPr>
            <w:tcW w:w="1170" w:type="dxa"/>
            <w:shd w:val="clear" w:color="auto" w:fill="000000" w:themeFill="text1"/>
          </w:tcPr>
          <w:p w14:paraId="708A931A" w14:textId="0D6B6B5D" w:rsidR="00BC5397" w:rsidRPr="00DE5664" w:rsidRDefault="00BC5397" w:rsidP="00BC3925">
            <w:pPr>
              <w:jc w:val="center"/>
              <w:rPr>
                <w:rFonts w:ascii="Arial" w:hAnsi="Arial" w:cs="Arial"/>
                <w:b/>
                <w:sz w:val="22"/>
                <w:szCs w:val="22"/>
              </w:rPr>
            </w:pPr>
            <w:r w:rsidRPr="00DE5664">
              <w:rPr>
                <w:rFonts w:ascii="Arial" w:hAnsi="Arial" w:cs="Arial"/>
                <w:b/>
                <w:sz w:val="22"/>
                <w:szCs w:val="22"/>
              </w:rPr>
              <w:t xml:space="preserve">S&amp;P </w:t>
            </w:r>
            <w:proofErr w:type="spellStart"/>
            <w:r w:rsidRPr="00DE5664">
              <w:rPr>
                <w:rFonts w:ascii="Arial" w:hAnsi="Arial" w:cs="Arial"/>
                <w:b/>
                <w:sz w:val="22"/>
                <w:szCs w:val="22"/>
              </w:rPr>
              <w:t>Recc</w:t>
            </w:r>
            <w:proofErr w:type="spellEnd"/>
            <w:r w:rsidR="00186053">
              <w:rPr>
                <w:rFonts w:ascii="Arial" w:hAnsi="Arial" w:cs="Arial"/>
                <w:b/>
                <w:sz w:val="22"/>
                <w:szCs w:val="22"/>
              </w:rPr>
              <w:t>.</w:t>
            </w:r>
            <w:r w:rsidRPr="00DE5664">
              <w:rPr>
                <w:rFonts w:ascii="Arial" w:hAnsi="Arial" w:cs="Arial"/>
                <w:b/>
                <w:sz w:val="22"/>
                <w:szCs w:val="22"/>
              </w:rPr>
              <w:t xml:space="preserve"> for Aa Rating</w:t>
            </w:r>
          </w:p>
        </w:tc>
        <w:tc>
          <w:tcPr>
            <w:tcW w:w="1615" w:type="dxa"/>
            <w:shd w:val="clear" w:color="auto" w:fill="000000" w:themeFill="text1"/>
          </w:tcPr>
          <w:p w14:paraId="3E799AAB" w14:textId="77777777" w:rsidR="00BC5397" w:rsidRDefault="00BC5397" w:rsidP="00BC3925">
            <w:pPr>
              <w:jc w:val="center"/>
              <w:rPr>
                <w:rFonts w:ascii="Arial" w:hAnsi="Arial" w:cs="Arial"/>
                <w:b/>
                <w:sz w:val="22"/>
                <w:szCs w:val="22"/>
              </w:rPr>
            </w:pPr>
            <w:r w:rsidRPr="00DE5664">
              <w:rPr>
                <w:rFonts w:ascii="Arial" w:hAnsi="Arial" w:cs="Arial"/>
                <w:b/>
                <w:sz w:val="22"/>
                <w:szCs w:val="22"/>
              </w:rPr>
              <w:t xml:space="preserve">2018 </w:t>
            </w:r>
            <w:r w:rsidR="00186053">
              <w:rPr>
                <w:rFonts w:ascii="Arial" w:hAnsi="Arial" w:cs="Arial"/>
                <w:b/>
                <w:sz w:val="22"/>
                <w:szCs w:val="22"/>
              </w:rPr>
              <w:t>M</w:t>
            </w:r>
            <w:r w:rsidRPr="00DE5664">
              <w:rPr>
                <w:rFonts w:ascii="Arial" w:hAnsi="Arial" w:cs="Arial"/>
                <w:b/>
                <w:sz w:val="22"/>
                <w:szCs w:val="22"/>
              </w:rPr>
              <w:t>edian for Aa Sewer Utilities</w:t>
            </w:r>
          </w:p>
          <w:p w14:paraId="0F3A490E" w14:textId="475FBA44" w:rsidR="00186053" w:rsidRPr="00DE5664" w:rsidRDefault="00186053" w:rsidP="00BC3925">
            <w:pPr>
              <w:jc w:val="center"/>
              <w:rPr>
                <w:rFonts w:ascii="Arial" w:hAnsi="Arial" w:cs="Arial"/>
                <w:b/>
                <w:sz w:val="22"/>
                <w:szCs w:val="22"/>
              </w:rPr>
            </w:pPr>
          </w:p>
        </w:tc>
      </w:tr>
      <w:tr w:rsidR="00186053" w14:paraId="2BC15F31" w14:textId="77777777" w:rsidTr="00186053">
        <w:tc>
          <w:tcPr>
            <w:tcW w:w="1778" w:type="dxa"/>
          </w:tcPr>
          <w:p w14:paraId="15DA4E55" w14:textId="77777777" w:rsidR="00BC5397" w:rsidRPr="00DE5664" w:rsidRDefault="00BC5397" w:rsidP="00BC3925">
            <w:pPr>
              <w:jc w:val="center"/>
              <w:rPr>
                <w:rFonts w:ascii="Arial" w:hAnsi="Arial" w:cs="Arial"/>
                <w:b/>
                <w:sz w:val="22"/>
                <w:szCs w:val="22"/>
              </w:rPr>
            </w:pPr>
            <w:r w:rsidRPr="00DE5664">
              <w:rPr>
                <w:rFonts w:ascii="Arial" w:hAnsi="Arial" w:cs="Arial"/>
                <w:b/>
                <w:sz w:val="22"/>
                <w:szCs w:val="22"/>
              </w:rPr>
              <w:t>1.15x</w:t>
            </w:r>
          </w:p>
        </w:tc>
        <w:tc>
          <w:tcPr>
            <w:tcW w:w="2185" w:type="dxa"/>
          </w:tcPr>
          <w:p w14:paraId="72FBCAFF" w14:textId="77777777" w:rsidR="00BC5397" w:rsidRPr="00DE5664" w:rsidRDefault="00BC5397" w:rsidP="00BC3925">
            <w:pPr>
              <w:jc w:val="center"/>
              <w:rPr>
                <w:rFonts w:ascii="Arial" w:hAnsi="Arial" w:cs="Arial"/>
                <w:b/>
                <w:sz w:val="22"/>
                <w:szCs w:val="22"/>
              </w:rPr>
            </w:pPr>
            <w:r w:rsidRPr="00DE5664">
              <w:rPr>
                <w:rFonts w:ascii="Arial" w:hAnsi="Arial" w:cs="Arial"/>
                <w:b/>
                <w:sz w:val="22"/>
                <w:szCs w:val="22"/>
              </w:rPr>
              <w:t>1.40x</w:t>
            </w:r>
          </w:p>
        </w:tc>
        <w:tc>
          <w:tcPr>
            <w:tcW w:w="1347" w:type="dxa"/>
          </w:tcPr>
          <w:p w14:paraId="40A79AB6" w14:textId="77777777" w:rsidR="00BC5397" w:rsidRPr="00DE5664" w:rsidRDefault="00BC5397" w:rsidP="00BC3925">
            <w:pPr>
              <w:jc w:val="center"/>
              <w:rPr>
                <w:rFonts w:ascii="Arial" w:hAnsi="Arial" w:cs="Arial"/>
                <w:b/>
                <w:sz w:val="22"/>
                <w:szCs w:val="22"/>
              </w:rPr>
            </w:pPr>
            <w:r w:rsidRPr="00DE5664">
              <w:rPr>
                <w:rFonts w:ascii="Arial" w:hAnsi="Arial" w:cs="Arial"/>
                <w:b/>
                <w:sz w:val="22"/>
                <w:szCs w:val="22"/>
              </w:rPr>
              <w:t>1.57x</w:t>
            </w:r>
          </w:p>
        </w:tc>
        <w:tc>
          <w:tcPr>
            <w:tcW w:w="1170" w:type="dxa"/>
          </w:tcPr>
          <w:p w14:paraId="78E71E8A" w14:textId="77777777" w:rsidR="00BC5397" w:rsidRPr="00DE5664" w:rsidRDefault="00BC5397" w:rsidP="00BC3925">
            <w:pPr>
              <w:jc w:val="center"/>
              <w:rPr>
                <w:rFonts w:ascii="Arial" w:hAnsi="Arial" w:cs="Arial"/>
                <w:b/>
                <w:sz w:val="22"/>
                <w:szCs w:val="22"/>
              </w:rPr>
            </w:pPr>
            <w:r w:rsidRPr="00DE5664">
              <w:rPr>
                <w:rFonts w:ascii="Arial" w:hAnsi="Arial" w:cs="Arial"/>
                <w:b/>
                <w:sz w:val="22"/>
                <w:szCs w:val="22"/>
              </w:rPr>
              <w:t>1.70x</w:t>
            </w:r>
          </w:p>
        </w:tc>
        <w:tc>
          <w:tcPr>
            <w:tcW w:w="1170" w:type="dxa"/>
          </w:tcPr>
          <w:p w14:paraId="558B9FF3" w14:textId="77777777" w:rsidR="00BC5397" w:rsidRPr="00DE5664" w:rsidRDefault="00BC5397" w:rsidP="00BC3925">
            <w:pPr>
              <w:jc w:val="center"/>
              <w:rPr>
                <w:rFonts w:ascii="Arial" w:hAnsi="Arial" w:cs="Arial"/>
                <w:b/>
                <w:sz w:val="22"/>
                <w:szCs w:val="22"/>
              </w:rPr>
            </w:pPr>
            <w:r w:rsidRPr="00DE5664">
              <w:rPr>
                <w:rFonts w:ascii="Arial" w:hAnsi="Arial" w:cs="Arial"/>
                <w:b/>
                <w:sz w:val="22"/>
                <w:szCs w:val="22"/>
              </w:rPr>
              <w:t>1.40x</w:t>
            </w:r>
          </w:p>
        </w:tc>
        <w:tc>
          <w:tcPr>
            <w:tcW w:w="1615" w:type="dxa"/>
          </w:tcPr>
          <w:p w14:paraId="69B7BDBE" w14:textId="77777777" w:rsidR="00BC5397" w:rsidRDefault="00BC5397" w:rsidP="00BC3925">
            <w:pPr>
              <w:jc w:val="center"/>
              <w:rPr>
                <w:rFonts w:ascii="Arial" w:hAnsi="Arial" w:cs="Arial"/>
                <w:b/>
                <w:sz w:val="22"/>
                <w:szCs w:val="22"/>
              </w:rPr>
            </w:pPr>
            <w:r w:rsidRPr="00DE5664">
              <w:rPr>
                <w:rFonts w:ascii="Arial" w:hAnsi="Arial" w:cs="Arial"/>
                <w:b/>
                <w:sz w:val="22"/>
                <w:szCs w:val="22"/>
              </w:rPr>
              <w:t>2.20x</w:t>
            </w:r>
          </w:p>
          <w:p w14:paraId="68840504" w14:textId="5A2F7566" w:rsidR="00186053" w:rsidRPr="00DE5664" w:rsidRDefault="00186053" w:rsidP="00BC3925">
            <w:pPr>
              <w:jc w:val="center"/>
              <w:rPr>
                <w:rFonts w:ascii="Arial" w:hAnsi="Arial" w:cs="Arial"/>
                <w:b/>
                <w:sz w:val="22"/>
                <w:szCs w:val="22"/>
              </w:rPr>
            </w:pPr>
          </w:p>
        </w:tc>
      </w:tr>
    </w:tbl>
    <w:p w14:paraId="346DB47E" w14:textId="77777777" w:rsidR="00BC5397" w:rsidRDefault="00BC5397" w:rsidP="00BC5397">
      <w:pPr>
        <w:ind w:left="720"/>
        <w:jc w:val="both"/>
        <w:rPr>
          <w:rFonts w:ascii="Arial" w:hAnsi="Arial" w:cs="Arial"/>
          <w:bCs/>
        </w:rPr>
      </w:pPr>
    </w:p>
    <w:p w14:paraId="6FB20982" w14:textId="75B00304" w:rsidR="00BC5397" w:rsidRDefault="00BC5397" w:rsidP="003F5297">
      <w:pPr>
        <w:spacing w:line="264" w:lineRule="auto"/>
        <w:jc w:val="both"/>
        <w:rPr>
          <w:rFonts w:ascii="Arial" w:hAnsi="Arial" w:cs="Arial"/>
        </w:rPr>
      </w:pPr>
      <w:r w:rsidRPr="001B2C86">
        <w:rPr>
          <w:rFonts w:ascii="Arial" w:hAnsi="Arial" w:cs="Arial"/>
        </w:rPr>
        <w:t xml:space="preserve">Table </w:t>
      </w:r>
      <w:r w:rsidR="000E2E6E">
        <w:rPr>
          <w:rFonts w:ascii="Arial" w:hAnsi="Arial" w:cs="Arial"/>
        </w:rPr>
        <w:t>8</w:t>
      </w:r>
      <w:r w:rsidRPr="001B2C86">
        <w:rPr>
          <w:rFonts w:ascii="Arial" w:hAnsi="Arial" w:cs="Arial"/>
        </w:rPr>
        <w:t xml:space="preserve"> below describes the recent debt rating history of WTD debt instruments, and the debt coverage ratio history.  </w:t>
      </w:r>
    </w:p>
    <w:p w14:paraId="06B53AA2" w14:textId="77777777" w:rsidR="000E5723" w:rsidRPr="001B2C86" w:rsidRDefault="000E5723" w:rsidP="003F5297">
      <w:pPr>
        <w:spacing w:line="264" w:lineRule="auto"/>
        <w:jc w:val="both"/>
        <w:rPr>
          <w:rFonts w:ascii="Arial" w:hAnsi="Arial" w:cs="Arial"/>
        </w:rPr>
      </w:pPr>
    </w:p>
    <w:p w14:paraId="2B50705E" w14:textId="77777777" w:rsidR="00186053" w:rsidRDefault="006E5225" w:rsidP="00077866">
      <w:pPr>
        <w:ind w:left="720"/>
        <w:jc w:val="center"/>
        <w:rPr>
          <w:rFonts w:ascii="Arial" w:hAnsi="Arial" w:cs="Arial"/>
          <w:b/>
          <w:bCs/>
        </w:rPr>
      </w:pPr>
      <w:r>
        <w:rPr>
          <w:rFonts w:ascii="Arial" w:hAnsi="Arial" w:cs="Arial"/>
          <w:b/>
          <w:bCs/>
        </w:rPr>
        <w:t xml:space="preserve">Table 8. </w:t>
      </w:r>
      <w:r w:rsidR="00050887">
        <w:rPr>
          <w:rFonts w:ascii="Arial" w:hAnsi="Arial" w:cs="Arial"/>
          <w:b/>
          <w:bCs/>
        </w:rPr>
        <w:t xml:space="preserve"> </w:t>
      </w:r>
      <w:r w:rsidR="00077866">
        <w:rPr>
          <w:rFonts w:ascii="Arial" w:hAnsi="Arial" w:cs="Arial"/>
          <w:b/>
          <w:bCs/>
        </w:rPr>
        <w:t xml:space="preserve"> </w:t>
      </w:r>
    </w:p>
    <w:p w14:paraId="1C23A1DC" w14:textId="47F38BE8" w:rsidR="00BC5397" w:rsidRDefault="00077866" w:rsidP="00077866">
      <w:pPr>
        <w:ind w:left="720"/>
        <w:jc w:val="center"/>
        <w:rPr>
          <w:rFonts w:ascii="Arial" w:hAnsi="Arial" w:cs="Arial"/>
          <w:b/>
          <w:bCs/>
        </w:rPr>
      </w:pPr>
      <w:r>
        <w:rPr>
          <w:rFonts w:ascii="Arial" w:hAnsi="Arial" w:cs="Arial"/>
          <w:b/>
          <w:bCs/>
        </w:rPr>
        <w:t>WTD Debt Coverage Ratios and Rating History</w:t>
      </w:r>
    </w:p>
    <w:p w14:paraId="654B213D" w14:textId="77777777" w:rsidR="00186053" w:rsidRDefault="00186053" w:rsidP="00077866">
      <w:pPr>
        <w:ind w:left="720"/>
        <w:jc w:val="center"/>
        <w:rPr>
          <w:rFonts w:ascii="Arial" w:hAnsi="Arial" w:cs="Arial"/>
          <w:bCs/>
        </w:rPr>
      </w:pPr>
    </w:p>
    <w:tbl>
      <w:tblPr>
        <w:tblStyle w:val="TableGrid"/>
        <w:tblW w:w="0" w:type="auto"/>
        <w:tblInd w:w="85" w:type="dxa"/>
        <w:tblLook w:val="04A0" w:firstRow="1" w:lastRow="0" w:firstColumn="1" w:lastColumn="0" w:noHBand="0" w:noVBand="1"/>
      </w:tblPr>
      <w:tblGrid>
        <w:gridCol w:w="1170"/>
        <w:gridCol w:w="674"/>
        <w:gridCol w:w="675"/>
        <w:gridCol w:w="674"/>
        <w:gridCol w:w="675"/>
        <w:gridCol w:w="674"/>
        <w:gridCol w:w="675"/>
        <w:gridCol w:w="675"/>
        <w:gridCol w:w="674"/>
        <w:gridCol w:w="675"/>
        <w:gridCol w:w="674"/>
        <w:gridCol w:w="675"/>
        <w:gridCol w:w="675"/>
      </w:tblGrid>
      <w:tr w:rsidR="00BC5397" w:rsidRPr="00186053" w14:paraId="5ECE8A5D" w14:textId="77777777" w:rsidTr="00186053">
        <w:tc>
          <w:tcPr>
            <w:tcW w:w="1170" w:type="dxa"/>
            <w:shd w:val="clear" w:color="auto" w:fill="000000" w:themeFill="text1"/>
          </w:tcPr>
          <w:p w14:paraId="1E05427A" w14:textId="77777777" w:rsidR="00BC5397" w:rsidRPr="00186053" w:rsidRDefault="00BC5397" w:rsidP="00BC3925">
            <w:pPr>
              <w:jc w:val="both"/>
              <w:rPr>
                <w:rFonts w:ascii="Arial" w:hAnsi="Arial" w:cs="Arial"/>
                <w:b/>
                <w:sz w:val="18"/>
                <w:szCs w:val="18"/>
              </w:rPr>
            </w:pPr>
          </w:p>
        </w:tc>
        <w:tc>
          <w:tcPr>
            <w:tcW w:w="674" w:type="dxa"/>
            <w:shd w:val="clear" w:color="auto" w:fill="000000" w:themeFill="text1"/>
          </w:tcPr>
          <w:p w14:paraId="4AD3F5B9" w14:textId="77777777" w:rsidR="00BC5397" w:rsidRPr="00186053" w:rsidRDefault="00BC5397" w:rsidP="00BC3925">
            <w:pPr>
              <w:jc w:val="both"/>
              <w:rPr>
                <w:rFonts w:ascii="Arial" w:hAnsi="Arial" w:cs="Arial"/>
                <w:b/>
                <w:sz w:val="18"/>
                <w:szCs w:val="18"/>
              </w:rPr>
            </w:pPr>
            <w:r w:rsidRPr="00186053">
              <w:rPr>
                <w:rFonts w:ascii="Arial" w:hAnsi="Arial" w:cs="Arial"/>
                <w:b/>
                <w:sz w:val="18"/>
                <w:szCs w:val="18"/>
              </w:rPr>
              <w:t>2008</w:t>
            </w:r>
          </w:p>
        </w:tc>
        <w:tc>
          <w:tcPr>
            <w:tcW w:w="675" w:type="dxa"/>
            <w:shd w:val="clear" w:color="auto" w:fill="000000" w:themeFill="text1"/>
          </w:tcPr>
          <w:p w14:paraId="408684E9" w14:textId="77777777" w:rsidR="00BC5397" w:rsidRPr="00186053" w:rsidRDefault="00BC5397" w:rsidP="00BC3925">
            <w:pPr>
              <w:jc w:val="both"/>
              <w:rPr>
                <w:rFonts w:ascii="Arial" w:hAnsi="Arial" w:cs="Arial"/>
                <w:b/>
                <w:sz w:val="18"/>
                <w:szCs w:val="18"/>
              </w:rPr>
            </w:pPr>
            <w:r w:rsidRPr="00186053">
              <w:rPr>
                <w:rFonts w:ascii="Arial" w:hAnsi="Arial" w:cs="Arial"/>
                <w:b/>
                <w:sz w:val="18"/>
                <w:szCs w:val="18"/>
              </w:rPr>
              <w:t>2009</w:t>
            </w:r>
          </w:p>
        </w:tc>
        <w:tc>
          <w:tcPr>
            <w:tcW w:w="674" w:type="dxa"/>
            <w:shd w:val="clear" w:color="auto" w:fill="000000" w:themeFill="text1"/>
          </w:tcPr>
          <w:p w14:paraId="03A5BC29" w14:textId="77777777" w:rsidR="00BC5397" w:rsidRPr="00186053" w:rsidRDefault="00BC5397" w:rsidP="00BC3925">
            <w:pPr>
              <w:jc w:val="both"/>
              <w:rPr>
                <w:rFonts w:ascii="Arial" w:hAnsi="Arial" w:cs="Arial"/>
                <w:b/>
                <w:sz w:val="18"/>
                <w:szCs w:val="18"/>
              </w:rPr>
            </w:pPr>
            <w:r w:rsidRPr="00186053">
              <w:rPr>
                <w:rFonts w:ascii="Arial" w:hAnsi="Arial" w:cs="Arial"/>
                <w:b/>
                <w:sz w:val="18"/>
                <w:szCs w:val="18"/>
              </w:rPr>
              <w:t>2010</w:t>
            </w:r>
          </w:p>
        </w:tc>
        <w:tc>
          <w:tcPr>
            <w:tcW w:w="675" w:type="dxa"/>
            <w:shd w:val="clear" w:color="auto" w:fill="000000" w:themeFill="text1"/>
          </w:tcPr>
          <w:p w14:paraId="08301863" w14:textId="77777777" w:rsidR="00BC5397" w:rsidRPr="00186053" w:rsidRDefault="00BC5397" w:rsidP="00BC3925">
            <w:pPr>
              <w:jc w:val="both"/>
              <w:rPr>
                <w:rFonts w:ascii="Arial" w:hAnsi="Arial" w:cs="Arial"/>
                <w:b/>
                <w:sz w:val="18"/>
                <w:szCs w:val="18"/>
              </w:rPr>
            </w:pPr>
            <w:r w:rsidRPr="00186053">
              <w:rPr>
                <w:rFonts w:ascii="Arial" w:hAnsi="Arial" w:cs="Arial"/>
                <w:b/>
                <w:sz w:val="18"/>
                <w:szCs w:val="18"/>
              </w:rPr>
              <w:t>2011</w:t>
            </w:r>
          </w:p>
        </w:tc>
        <w:tc>
          <w:tcPr>
            <w:tcW w:w="674" w:type="dxa"/>
            <w:shd w:val="clear" w:color="auto" w:fill="000000" w:themeFill="text1"/>
          </w:tcPr>
          <w:p w14:paraId="382436E0" w14:textId="77777777" w:rsidR="00BC5397" w:rsidRPr="00186053" w:rsidRDefault="00BC5397" w:rsidP="00BC3925">
            <w:pPr>
              <w:jc w:val="both"/>
              <w:rPr>
                <w:rFonts w:ascii="Arial" w:hAnsi="Arial" w:cs="Arial"/>
                <w:b/>
                <w:sz w:val="18"/>
                <w:szCs w:val="18"/>
              </w:rPr>
            </w:pPr>
            <w:r w:rsidRPr="00186053">
              <w:rPr>
                <w:rFonts w:ascii="Arial" w:hAnsi="Arial" w:cs="Arial"/>
                <w:b/>
                <w:sz w:val="18"/>
                <w:szCs w:val="18"/>
              </w:rPr>
              <w:t>2012</w:t>
            </w:r>
          </w:p>
        </w:tc>
        <w:tc>
          <w:tcPr>
            <w:tcW w:w="675" w:type="dxa"/>
            <w:shd w:val="clear" w:color="auto" w:fill="000000" w:themeFill="text1"/>
          </w:tcPr>
          <w:p w14:paraId="605A0FF5" w14:textId="77777777" w:rsidR="00BC5397" w:rsidRPr="00186053" w:rsidRDefault="00BC5397" w:rsidP="00BC3925">
            <w:pPr>
              <w:jc w:val="both"/>
              <w:rPr>
                <w:rFonts w:ascii="Arial" w:hAnsi="Arial" w:cs="Arial"/>
                <w:b/>
                <w:sz w:val="18"/>
                <w:szCs w:val="18"/>
              </w:rPr>
            </w:pPr>
            <w:r w:rsidRPr="00186053">
              <w:rPr>
                <w:rFonts w:ascii="Arial" w:hAnsi="Arial" w:cs="Arial"/>
                <w:b/>
                <w:sz w:val="18"/>
                <w:szCs w:val="18"/>
              </w:rPr>
              <w:t>2013</w:t>
            </w:r>
          </w:p>
        </w:tc>
        <w:tc>
          <w:tcPr>
            <w:tcW w:w="675" w:type="dxa"/>
            <w:shd w:val="clear" w:color="auto" w:fill="000000" w:themeFill="text1"/>
          </w:tcPr>
          <w:p w14:paraId="7A230902" w14:textId="77777777" w:rsidR="00BC5397" w:rsidRPr="00186053" w:rsidRDefault="00BC5397" w:rsidP="00BC3925">
            <w:pPr>
              <w:jc w:val="both"/>
              <w:rPr>
                <w:rFonts w:ascii="Arial" w:hAnsi="Arial" w:cs="Arial"/>
                <w:b/>
                <w:sz w:val="18"/>
                <w:szCs w:val="18"/>
              </w:rPr>
            </w:pPr>
            <w:r w:rsidRPr="00186053">
              <w:rPr>
                <w:rFonts w:ascii="Arial" w:hAnsi="Arial" w:cs="Arial"/>
                <w:b/>
                <w:sz w:val="18"/>
                <w:szCs w:val="18"/>
              </w:rPr>
              <w:t>2014</w:t>
            </w:r>
          </w:p>
        </w:tc>
        <w:tc>
          <w:tcPr>
            <w:tcW w:w="674" w:type="dxa"/>
            <w:shd w:val="clear" w:color="auto" w:fill="000000" w:themeFill="text1"/>
          </w:tcPr>
          <w:p w14:paraId="2D1D9E38" w14:textId="77777777" w:rsidR="00BC5397" w:rsidRPr="00186053" w:rsidRDefault="00BC5397" w:rsidP="00BC3925">
            <w:pPr>
              <w:jc w:val="both"/>
              <w:rPr>
                <w:rFonts w:ascii="Arial" w:hAnsi="Arial" w:cs="Arial"/>
                <w:b/>
                <w:sz w:val="18"/>
                <w:szCs w:val="18"/>
              </w:rPr>
            </w:pPr>
            <w:r w:rsidRPr="00186053">
              <w:rPr>
                <w:rFonts w:ascii="Arial" w:hAnsi="Arial" w:cs="Arial"/>
                <w:b/>
                <w:sz w:val="18"/>
                <w:szCs w:val="18"/>
              </w:rPr>
              <w:t>2015</w:t>
            </w:r>
          </w:p>
        </w:tc>
        <w:tc>
          <w:tcPr>
            <w:tcW w:w="675" w:type="dxa"/>
            <w:shd w:val="clear" w:color="auto" w:fill="000000" w:themeFill="text1"/>
          </w:tcPr>
          <w:p w14:paraId="644B93FF" w14:textId="77777777" w:rsidR="00BC5397" w:rsidRPr="00186053" w:rsidRDefault="00BC5397" w:rsidP="00BC3925">
            <w:pPr>
              <w:jc w:val="both"/>
              <w:rPr>
                <w:rFonts w:ascii="Arial" w:hAnsi="Arial" w:cs="Arial"/>
                <w:b/>
                <w:sz w:val="18"/>
                <w:szCs w:val="18"/>
              </w:rPr>
            </w:pPr>
            <w:r w:rsidRPr="00186053">
              <w:rPr>
                <w:rFonts w:ascii="Arial" w:hAnsi="Arial" w:cs="Arial"/>
                <w:b/>
                <w:sz w:val="18"/>
                <w:szCs w:val="18"/>
              </w:rPr>
              <w:t>2016</w:t>
            </w:r>
          </w:p>
        </w:tc>
        <w:tc>
          <w:tcPr>
            <w:tcW w:w="674" w:type="dxa"/>
            <w:shd w:val="clear" w:color="auto" w:fill="000000" w:themeFill="text1"/>
          </w:tcPr>
          <w:p w14:paraId="42798CAE" w14:textId="77777777" w:rsidR="00BC5397" w:rsidRPr="00186053" w:rsidRDefault="00BC5397" w:rsidP="00BC3925">
            <w:pPr>
              <w:jc w:val="both"/>
              <w:rPr>
                <w:rFonts w:ascii="Arial" w:hAnsi="Arial" w:cs="Arial"/>
                <w:b/>
                <w:sz w:val="18"/>
                <w:szCs w:val="18"/>
              </w:rPr>
            </w:pPr>
            <w:r w:rsidRPr="00186053">
              <w:rPr>
                <w:rFonts w:ascii="Arial" w:hAnsi="Arial" w:cs="Arial"/>
                <w:b/>
                <w:sz w:val="18"/>
                <w:szCs w:val="18"/>
              </w:rPr>
              <w:t>2017</w:t>
            </w:r>
          </w:p>
        </w:tc>
        <w:tc>
          <w:tcPr>
            <w:tcW w:w="675" w:type="dxa"/>
            <w:shd w:val="clear" w:color="auto" w:fill="000000" w:themeFill="text1"/>
          </w:tcPr>
          <w:p w14:paraId="4C16D064" w14:textId="77777777" w:rsidR="00BC5397" w:rsidRPr="00186053" w:rsidRDefault="00BC5397" w:rsidP="00BC3925">
            <w:pPr>
              <w:jc w:val="both"/>
              <w:rPr>
                <w:rFonts w:ascii="Arial" w:hAnsi="Arial" w:cs="Arial"/>
                <w:b/>
                <w:sz w:val="18"/>
                <w:szCs w:val="18"/>
              </w:rPr>
            </w:pPr>
            <w:r w:rsidRPr="00186053">
              <w:rPr>
                <w:rFonts w:ascii="Arial" w:hAnsi="Arial" w:cs="Arial"/>
                <w:b/>
                <w:sz w:val="18"/>
                <w:szCs w:val="18"/>
              </w:rPr>
              <w:t>2018</w:t>
            </w:r>
          </w:p>
        </w:tc>
        <w:tc>
          <w:tcPr>
            <w:tcW w:w="675" w:type="dxa"/>
            <w:shd w:val="clear" w:color="auto" w:fill="000000" w:themeFill="text1"/>
          </w:tcPr>
          <w:p w14:paraId="65629E74" w14:textId="77777777" w:rsidR="00BC5397" w:rsidRDefault="00BC5397" w:rsidP="00BC3925">
            <w:pPr>
              <w:jc w:val="both"/>
              <w:rPr>
                <w:rFonts w:ascii="Arial" w:hAnsi="Arial" w:cs="Arial"/>
                <w:b/>
                <w:sz w:val="18"/>
                <w:szCs w:val="18"/>
              </w:rPr>
            </w:pPr>
            <w:r w:rsidRPr="00186053">
              <w:rPr>
                <w:rFonts w:ascii="Arial" w:hAnsi="Arial" w:cs="Arial"/>
                <w:b/>
                <w:sz w:val="18"/>
                <w:szCs w:val="18"/>
              </w:rPr>
              <w:t>2019</w:t>
            </w:r>
          </w:p>
          <w:p w14:paraId="22457CB9" w14:textId="42FC5556" w:rsidR="00186053" w:rsidRPr="00186053" w:rsidRDefault="00186053" w:rsidP="00BC3925">
            <w:pPr>
              <w:jc w:val="both"/>
              <w:rPr>
                <w:rFonts w:ascii="Arial" w:hAnsi="Arial" w:cs="Arial"/>
                <w:b/>
                <w:sz w:val="18"/>
                <w:szCs w:val="18"/>
              </w:rPr>
            </w:pPr>
          </w:p>
        </w:tc>
      </w:tr>
      <w:tr w:rsidR="00BC5397" w:rsidRPr="00186053" w14:paraId="050E8914" w14:textId="77777777" w:rsidTr="00186053">
        <w:tc>
          <w:tcPr>
            <w:tcW w:w="1170" w:type="dxa"/>
          </w:tcPr>
          <w:p w14:paraId="297A75B4" w14:textId="77777777" w:rsidR="00BC5397" w:rsidRDefault="00BC5397" w:rsidP="00186053">
            <w:pPr>
              <w:rPr>
                <w:rFonts w:ascii="Arial" w:hAnsi="Arial" w:cs="Arial"/>
                <w:bCs/>
                <w:sz w:val="18"/>
                <w:szCs w:val="18"/>
              </w:rPr>
            </w:pPr>
            <w:r w:rsidRPr="00186053">
              <w:rPr>
                <w:rFonts w:ascii="Arial" w:hAnsi="Arial" w:cs="Arial"/>
                <w:bCs/>
                <w:sz w:val="18"/>
                <w:szCs w:val="18"/>
              </w:rPr>
              <w:t>WTD Debt Ratio</w:t>
            </w:r>
          </w:p>
          <w:p w14:paraId="349F04BA" w14:textId="06208AD3" w:rsidR="00186053" w:rsidRPr="00186053" w:rsidRDefault="00186053" w:rsidP="00186053">
            <w:pPr>
              <w:rPr>
                <w:rFonts w:ascii="Arial" w:hAnsi="Arial" w:cs="Arial"/>
                <w:bCs/>
                <w:sz w:val="18"/>
                <w:szCs w:val="18"/>
              </w:rPr>
            </w:pPr>
          </w:p>
        </w:tc>
        <w:tc>
          <w:tcPr>
            <w:tcW w:w="674" w:type="dxa"/>
          </w:tcPr>
          <w:p w14:paraId="53851F79"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1.24x</w:t>
            </w:r>
          </w:p>
        </w:tc>
        <w:tc>
          <w:tcPr>
            <w:tcW w:w="675" w:type="dxa"/>
          </w:tcPr>
          <w:p w14:paraId="35153EDF"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1.33x</w:t>
            </w:r>
          </w:p>
        </w:tc>
        <w:tc>
          <w:tcPr>
            <w:tcW w:w="674" w:type="dxa"/>
          </w:tcPr>
          <w:p w14:paraId="0B19C9A8"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1.30x</w:t>
            </w:r>
          </w:p>
        </w:tc>
        <w:tc>
          <w:tcPr>
            <w:tcW w:w="675" w:type="dxa"/>
          </w:tcPr>
          <w:p w14:paraId="7759E0EF"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1.32x</w:t>
            </w:r>
          </w:p>
        </w:tc>
        <w:tc>
          <w:tcPr>
            <w:tcW w:w="674" w:type="dxa"/>
          </w:tcPr>
          <w:p w14:paraId="4E1725C9"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1.28x</w:t>
            </w:r>
          </w:p>
        </w:tc>
        <w:tc>
          <w:tcPr>
            <w:tcW w:w="675" w:type="dxa"/>
          </w:tcPr>
          <w:p w14:paraId="69117EB0"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1.33x</w:t>
            </w:r>
          </w:p>
        </w:tc>
        <w:tc>
          <w:tcPr>
            <w:tcW w:w="675" w:type="dxa"/>
          </w:tcPr>
          <w:p w14:paraId="5F360AA4"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1.33x</w:t>
            </w:r>
          </w:p>
        </w:tc>
        <w:tc>
          <w:tcPr>
            <w:tcW w:w="674" w:type="dxa"/>
          </w:tcPr>
          <w:p w14:paraId="37431437"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1.36x</w:t>
            </w:r>
          </w:p>
        </w:tc>
        <w:tc>
          <w:tcPr>
            <w:tcW w:w="675" w:type="dxa"/>
          </w:tcPr>
          <w:p w14:paraId="236B4545"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1.41x</w:t>
            </w:r>
          </w:p>
        </w:tc>
        <w:tc>
          <w:tcPr>
            <w:tcW w:w="674" w:type="dxa"/>
          </w:tcPr>
          <w:p w14:paraId="654D1FE3"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1.51x</w:t>
            </w:r>
          </w:p>
        </w:tc>
        <w:tc>
          <w:tcPr>
            <w:tcW w:w="675" w:type="dxa"/>
          </w:tcPr>
          <w:p w14:paraId="5ACD2DAA"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1.49x</w:t>
            </w:r>
          </w:p>
        </w:tc>
        <w:tc>
          <w:tcPr>
            <w:tcW w:w="675" w:type="dxa"/>
          </w:tcPr>
          <w:p w14:paraId="0C5DC9AC"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1.58x</w:t>
            </w:r>
          </w:p>
        </w:tc>
      </w:tr>
      <w:tr w:rsidR="00BC5397" w:rsidRPr="00186053" w14:paraId="6B5BC947" w14:textId="77777777" w:rsidTr="00186053">
        <w:tc>
          <w:tcPr>
            <w:tcW w:w="1170" w:type="dxa"/>
          </w:tcPr>
          <w:p w14:paraId="241BC77D" w14:textId="77777777" w:rsidR="00BC5397" w:rsidRDefault="00BC5397" w:rsidP="00BC3925">
            <w:pPr>
              <w:jc w:val="both"/>
              <w:rPr>
                <w:rFonts w:ascii="Arial" w:hAnsi="Arial" w:cs="Arial"/>
                <w:bCs/>
                <w:sz w:val="18"/>
                <w:szCs w:val="18"/>
              </w:rPr>
            </w:pPr>
            <w:r w:rsidRPr="00186053">
              <w:rPr>
                <w:rFonts w:ascii="Arial" w:hAnsi="Arial" w:cs="Arial"/>
                <w:bCs/>
                <w:sz w:val="18"/>
                <w:szCs w:val="18"/>
              </w:rPr>
              <w:t>S&amp;P Rating</w:t>
            </w:r>
          </w:p>
          <w:p w14:paraId="19AD8395" w14:textId="58C0DC80" w:rsidR="00186053" w:rsidRPr="00186053" w:rsidRDefault="00186053" w:rsidP="00BC3925">
            <w:pPr>
              <w:jc w:val="both"/>
              <w:rPr>
                <w:rFonts w:ascii="Arial" w:hAnsi="Arial" w:cs="Arial"/>
                <w:bCs/>
                <w:sz w:val="18"/>
                <w:szCs w:val="18"/>
              </w:rPr>
            </w:pPr>
          </w:p>
        </w:tc>
        <w:tc>
          <w:tcPr>
            <w:tcW w:w="674" w:type="dxa"/>
          </w:tcPr>
          <w:p w14:paraId="309DB143"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w:t>
            </w:r>
          </w:p>
        </w:tc>
        <w:tc>
          <w:tcPr>
            <w:tcW w:w="675" w:type="dxa"/>
          </w:tcPr>
          <w:p w14:paraId="2CA631C8"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w:t>
            </w:r>
          </w:p>
        </w:tc>
        <w:tc>
          <w:tcPr>
            <w:tcW w:w="674" w:type="dxa"/>
          </w:tcPr>
          <w:p w14:paraId="7ED08258"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w:t>
            </w:r>
          </w:p>
        </w:tc>
        <w:tc>
          <w:tcPr>
            <w:tcW w:w="675" w:type="dxa"/>
          </w:tcPr>
          <w:p w14:paraId="20256F1E"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w:t>
            </w:r>
          </w:p>
        </w:tc>
        <w:tc>
          <w:tcPr>
            <w:tcW w:w="674" w:type="dxa"/>
          </w:tcPr>
          <w:p w14:paraId="5724A332"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w:t>
            </w:r>
          </w:p>
        </w:tc>
        <w:tc>
          <w:tcPr>
            <w:tcW w:w="675" w:type="dxa"/>
          </w:tcPr>
          <w:p w14:paraId="33959214"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w:t>
            </w:r>
          </w:p>
        </w:tc>
        <w:tc>
          <w:tcPr>
            <w:tcW w:w="675" w:type="dxa"/>
          </w:tcPr>
          <w:p w14:paraId="0C11C5BC"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w:t>
            </w:r>
          </w:p>
        </w:tc>
        <w:tc>
          <w:tcPr>
            <w:tcW w:w="674" w:type="dxa"/>
          </w:tcPr>
          <w:p w14:paraId="20DB872E"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w:t>
            </w:r>
          </w:p>
        </w:tc>
        <w:tc>
          <w:tcPr>
            <w:tcW w:w="675" w:type="dxa"/>
          </w:tcPr>
          <w:p w14:paraId="20DDA6EF"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w:t>
            </w:r>
          </w:p>
        </w:tc>
        <w:tc>
          <w:tcPr>
            <w:tcW w:w="674" w:type="dxa"/>
          </w:tcPr>
          <w:p w14:paraId="7259F3A4"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w:t>
            </w:r>
          </w:p>
        </w:tc>
        <w:tc>
          <w:tcPr>
            <w:tcW w:w="675" w:type="dxa"/>
          </w:tcPr>
          <w:p w14:paraId="7FE4CC17"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w:t>
            </w:r>
          </w:p>
        </w:tc>
        <w:tc>
          <w:tcPr>
            <w:tcW w:w="675" w:type="dxa"/>
          </w:tcPr>
          <w:p w14:paraId="077695C1"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w:t>
            </w:r>
          </w:p>
        </w:tc>
      </w:tr>
      <w:tr w:rsidR="00BC5397" w:rsidRPr="00186053" w14:paraId="1F1209BD" w14:textId="77777777" w:rsidTr="00186053">
        <w:tc>
          <w:tcPr>
            <w:tcW w:w="1170" w:type="dxa"/>
          </w:tcPr>
          <w:p w14:paraId="70FBF2C9" w14:textId="77777777" w:rsidR="00BC5397" w:rsidRDefault="00BC5397" w:rsidP="00BC3925">
            <w:pPr>
              <w:jc w:val="both"/>
              <w:rPr>
                <w:rFonts w:ascii="Arial" w:hAnsi="Arial" w:cs="Arial"/>
                <w:bCs/>
                <w:sz w:val="18"/>
                <w:szCs w:val="18"/>
              </w:rPr>
            </w:pPr>
            <w:r w:rsidRPr="00186053">
              <w:rPr>
                <w:rFonts w:ascii="Arial" w:hAnsi="Arial" w:cs="Arial"/>
                <w:bCs/>
                <w:sz w:val="18"/>
                <w:szCs w:val="18"/>
              </w:rPr>
              <w:t>Moody’s Rating</w:t>
            </w:r>
          </w:p>
          <w:p w14:paraId="3B45A387" w14:textId="70D33097" w:rsidR="00186053" w:rsidRPr="00186053" w:rsidRDefault="00186053" w:rsidP="00BC3925">
            <w:pPr>
              <w:jc w:val="both"/>
              <w:rPr>
                <w:rFonts w:ascii="Arial" w:hAnsi="Arial" w:cs="Arial"/>
                <w:bCs/>
                <w:sz w:val="18"/>
                <w:szCs w:val="18"/>
              </w:rPr>
            </w:pPr>
          </w:p>
        </w:tc>
        <w:tc>
          <w:tcPr>
            <w:tcW w:w="674" w:type="dxa"/>
          </w:tcPr>
          <w:p w14:paraId="799F39E5"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Aa3</w:t>
            </w:r>
          </w:p>
        </w:tc>
        <w:tc>
          <w:tcPr>
            <w:tcW w:w="675" w:type="dxa"/>
          </w:tcPr>
          <w:p w14:paraId="6C7D0DCF"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Aa3</w:t>
            </w:r>
          </w:p>
        </w:tc>
        <w:tc>
          <w:tcPr>
            <w:tcW w:w="674" w:type="dxa"/>
          </w:tcPr>
          <w:p w14:paraId="1487B5B6"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Aa2</w:t>
            </w:r>
          </w:p>
        </w:tc>
        <w:tc>
          <w:tcPr>
            <w:tcW w:w="675" w:type="dxa"/>
          </w:tcPr>
          <w:p w14:paraId="3552D62B"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Aa2</w:t>
            </w:r>
          </w:p>
        </w:tc>
        <w:tc>
          <w:tcPr>
            <w:tcW w:w="674" w:type="dxa"/>
          </w:tcPr>
          <w:p w14:paraId="45EEFB4C"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Aa2</w:t>
            </w:r>
          </w:p>
        </w:tc>
        <w:tc>
          <w:tcPr>
            <w:tcW w:w="675" w:type="dxa"/>
          </w:tcPr>
          <w:p w14:paraId="7C2B7DFA"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Aa2</w:t>
            </w:r>
          </w:p>
        </w:tc>
        <w:tc>
          <w:tcPr>
            <w:tcW w:w="675" w:type="dxa"/>
          </w:tcPr>
          <w:p w14:paraId="2B8CEB30"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Aa2</w:t>
            </w:r>
          </w:p>
        </w:tc>
        <w:tc>
          <w:tcPr>
            <w:tcW w:w="674" w:type="dxa"/>
          </w:tcPr>
          <w:p w14:paraId="58276495"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Aa2</w:t>
            </w:r>
          </w:p>
        </w:tc>
        <w:tc>
          <w:tcPr>
            <w:tcW w:w="675" w:type="dxa"/>
          </w:tcPr>
          <w:p w14:paraId="7A4A814A"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Aa2</w:t>
            </w:r>
          </w:p>
        </w:tc>
        <w:tc>
          <w:tcPr>
            <w:tcW w:w="674" w:type="dxa"/>
          </w:tcPr>
          <w:p w14:paraId="174EF9EF"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Aa1</w:t>
            </w:r>
          </w:p>
        </w:tc>
        <w:tc>
          <w:tcPr>
            <w:tcW w:w="675" w:type="dxa"/>
          </w:tcPr>
          <w:p w14:paraId="4BD6F7A7"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Aa1</w:t>
            </w:r>
          </w:p>
        </w:tc>
        <w:tc>
          <w:tcPr>
            <w:tcW w:w="675" w:type="dxa"/>
          </w:tcPr>
          <w:p w14:paraId="10E7937E" w14:textId="77777777" w:rsidR="00BC5397" w:rsidRPr="00186053" w:rsidRDefault="00BC5397" w:rsidP="00186053">
            <w:pPr>
              <w:jc w:val="center"/>
              <w:rPr>
                <w:rFonts w:ascii="Arial" w:hAnsi="Arial" w:cs="Arial"/>
                <w:bCs/>
                <w:sz w:val="18"/>
                <w:szCs w:val="18"/>
              </w:rPr>
            </w:pPr>
            <w:r w:rsidRPr="00186053">
              <w:rPr>
                <w:rFonts w:ascii="Arial" w:hAnsi="Arial" w:cs="Arial"/>
                <w:bCs/>
                <w:sz w:val="18"/>
                <w:szCs w:val="18"/>
              </w:rPr>
              <w:t>Aa1</w:t>
            </w:r>
          </w:p>
        </w:tc>
      </w:tr>
    </w:tbl>
    <w:p w14:paraId="120C5DA5" w14:textId="77777777" w:rsidR="00BC5397" w:rsidRDefault="00BC5397" w:rsidP="00BC5397">
      <w:pPr>
        <w:jc w:val="both"/>
        <w:rPr>
          <w:rFonts w:ascii="Arial" w:hAnsi="Arial" w:cs="Arial"/>
          <w:bCs/>
        </w:rPr>
      </w:pPr>
    </w:p>
    <w:p w14:paraId="14CD5881" w14:textId="77777777" w:rsidR="006679B5" w:rsidRDefault="006679B5" w:rsidP="003F5297">
      <w:pPr>
        <w:spacing w:line="264" w:lineRule="auto"/>
        <w:jc w:val="both"/>
        <w:rPr>
          <w:rFonts w:ascii="Arial" w:hAnsi="Arial" w:cs="Arial"/>
        </w:rPr>
      </w:pPr>
    </w:p>
    <w:p w14:paraId="7F714F71" w14:textId="72B10AC3" w:rsidR="00BC5397" w:rsidRPr="001B2C86" w:rsidRDefault="00BC5397" w:rsidP="003F5297">
      <w:pPr>
        <w:spacing w:line="264" w:lineRule="auto"/>
        <w:jc w:val="both"/>
        <w:rPr>
          <w:rFonts w:ascii="Arial" w:hAnsi="Arial" w:cs="Arial"/>
        </w:rPr>
      </w:pPr>
      <w:r w:rsidRPr="001B2C86">
        <w:rPr>
          <w:rFonts w:ascii="Arial" w:hAnsi="Arial" w:cs="Arial"/>
        </w:rPr>
        <w:t xml:space="preserve">Bond sales and loans result in outstanding debt that is repaid by regular debt payments, supported by the sewer rate.  </w:t>
      </w:r>
      <w:r w:rsidR="006679B5">
        <w:rPr>
          <w:rFonts w:ascii="Arial" w:hAnsi="Arial" w:cs="Arial"/>
        </w:rPr>
        <w:t>C</w:t>
      </w:r>
      <w:r w:rsidRPr="001B2C86">
        <w:rPr>
          <w:rFonts w:ascii="Arial" w:hAnsi="Arial" w:cs="Arial"/>
        </w:rPr>
        <w:t xml:space="preserve">hart </w:t>
      </w:r>
      <w:r w:rsidR="006679B5">
        <w:rPr>
          <w:rFonts w:ascii="Arial" w:hAnsi="Arial" w:cs="Arial"/>
        </w:rPr>
        <w:t xml:space="preserve">1 </w:t>
      </w:r>
      <w:r w:rsidRPr="001B2C86">
        <w:rPr>
          <w:rFonts w:ascii="Arial" w:hAnsi="Arial" w:cs="Arial"/>
        </w:rPr>
        <w:t>below illustrates the declining amount of overall existing debt principal, from approximately $3.4 billion currently to approximately $2.4 billion in 2031.  That decline, however, is expected to be offset by increasing amounts of new debt, amounting to more than $2 billion in principal by 2031.</w:t>
      </w:r>
    </w:p>
    <w:p w14:paraId="3575B295" w14:textId="7F50D81D" w:rsidR="005B2B7A" w:rsidRDefault="005B2B7A" w:rsidP="003F5297">
      <w:pPr>
        <w:spacing w:line="264" w:lineRule="auto"/>
        <w:rPr>
          <w:rFonts w:ascii="Arial" w:hAnsi="Arial" w:cs="Arial"/>
          <w:b/>
        </w:rPr>
      </w:pPr>
    </w:p>
    <w:p w14:paraId="58A523C3" w14:textId="77777777" w:rsidR="003F5297" w:rsidRDefault="00DF6728" w:rsidP="00DE5664">
      <w:pPr>
        <w:keepNext/>
        <w:ind w:left="720"/>
        <w:jc w:val="center"/>
        <w:rPr>
          <w:rFonts w:ascii="Arial" w:hAnsi="Arial" w:cs="Arial"/>
          <w:b/>
        </w:rPr>
      </w:pPr>
      <w:r>
        <w:rPr>
          <w:rFonts w:ascii="Arial" w:hAnsi="Arial" w:cs="Arial"/>
          <w:b/>
        </w:rPr>
        <w:lastRenderedPageBreak/>
        <w:t xml:space="preserve">Chart 1.  </w:t>
      </w:r>
    </w:p>
    <w:p w14:paraId="5B7FD681" w14:textId="2C0F3D4E" w:rsidR="005B2B7A" w:rsidRDefault="00DF6728" w:rsidP="00DE5664">
      <w:pPr>
        <w:keepNext/>
        <w:ind w:left="720"/>
        <w:jc w:val="center"/>
        <w:rPr>
          <w:rFonts w:ascii="Arial" w:hAnsi="Arial" w:cs="Arial"/>
          <w:b/>
        </w:rPr>
      </w:pPr>
      <w:r>
        <w:rPr>
          <w:rFonts w:ascii="Arial" w:hAnsi="Arial" w:cs="Arial"/>
          <w:b/>
        </w:rPr>
        <w:t>Outstanding Debt</w:t>
      </w:r>
      <w:r w:rsidR="003F5297">
        <w:rPr>
          <w:rFonts w:ascii="Arial" w:hAnsi="Arial" w:cs="Arial"/>
          <w:b/>
        </w:rPr>
        <w:t xml:space="preserve"> – </w:t>
      </w:r>
      <w:r w:rsidR="00072313">
        <w:rPr>
          <w:rFonts w:ascii="Arial" w:hAnsi="Arial" w:cs="Arial"/>
          <w:b/>
        </w:rPr>
        <w:t>Existing and New</w:t>
      </w:r>
    </w:p>
    <w:p w14:paraId="5D218CBD" w14:textId="77777777" w:rsidR="003F5297" w:rsidRDefault="003F5297" w:rsidP="00DE5664">
      <w:pPr>
        <w:keepNext/>
        <w:ind w:left="720"/>
        <w:jc w:val="center"/>
        <w:rPr>
          <w:rFonts w:ascii="Arial" w:hAnsi="Arial" w:cs="Arial"/>
          <w:b/>
        </w:rPr>
      </w:pPr>
    </w:p>
    <w:p w14:paraId="0B986D5F" w14:textId="77777777" w:rsidR="00BC5397" w:rsidRDefault="00BC5397" w:rsidP="00DE5664">
      <w:pPr>
        <w:keepNext/>
        <w:jc w:val="center"/>
        <w:rPr>
          <w:rFonts w:ascii="Arial" w:hAnsi="Arial" w:cs="Arial"/>
          <w:b/>
        </w:rPr>
      </w:pPr>
      <w:r>
        <w:rPr>
          <w:rFonts w:asciiTheme="minorHAnsi" w:hAnsiTheme="minorHAnsi" w:cstheme="minorHAnsi"/>
          <w:noProof/>
          <w:sz w:val="22"/>
          <w:szCs w:val="22"/>
        </w:rPr>
        <w:drawing>
          <wp:inline distT="0" distB="0" distL="0" distR="0" wp14:anchorId="695FC64C" wp14:editId="181D8858">
            <wp:extent cx="6067425" cy="2777623"/>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6619" cy="2827611"/>
                    </a:xfrm>
                    <a:prstGeom prst="rect">
                      <a:avLst/>
                    </a:prstGeom>
                    <a:noFill/>
                  </pic:spPr>
                </pic:pic>
              </a:graphicData>
            </a:graphic>
          </wp:inline>
        </w:drawing>
      </w:r>
    </w:p>
    <w:p w14:paraId="71A88769" w14:textId="77777777" w:rsidR="00BC5397" w:rsidRDefault="00BC5397" w:rsidP="00BC5397">
      <w:pPr>
        <w:ind w:left="720"/>
        <w:jc w:val="center"/>
        <w:rPr>
          <w:rFonts w:ascii="Arial" w:hAnsi="Arial" w:cs="Arial"/>
          <w:b/>
        </w:rPr>
      </w:pPr>
    </w:p>
    <w:p w14:paraId="242BE63E" w14:textId="77777777" w:rsidR="006679B5" w:rsidRDefault="006679B5" w:rsidP="003F5297">
      <w:pPr>
        <w:spacing w:line="264" w:lineRule="auto"/>
        <w:jc w:val="both"/>
        <w:rPr>
          <w:rFonts w:ascii="Arial" w:hAnsi="Arial" w:cs="Arial"/>
          <w:b/>
          <w:iCs/>
        </w:rPr>
      </w:pPr>
    </w:p>
    <w:p w14:paraId="633C3D37" w14:textId="0CF6CD2F" w:rsidR="00203203" w:rsidRPr="006679B5" w:rsidRDefault="008D63C2" w:rsidP="003F5297">
      <w:pPr>
        <w:spacing w:line="264" w:lineRule="auto"/>
        <w:jc w:val="both"/>
        <w:rPr>
          <w:rFonts w:ascii="Arial" w:hAnsi="Arial" w:cs="Arial"/>
          <w:b/>
          <w:i/>
        </w:rPr>
      </w:pPr>
      <w:r w:rsidRPr="00DE5664">
        <w:rPr>
          <w:rFonts w:ascii="Arial" w:hAnsi="Arial" w:cs="Arial"/>
          <w:b/>
          <w:iCs/>
        </w:rPr>
        <w:t>Capital Expenditures</w:t>
      </w:r>
      <w:r w:rsidR="006679B5" w:rsidRPr="00DE5664">
        <w:rPr>
          <w:rFonts w:ascii="Arial" w:hAnsi="Arial" w:cs="Arial"/>
          <w:b/>
          <w:iCs/>
        </w:rPr>
        <w:t xml:space="preserve">. </w:t>
      </w:r>
      <w:r w:rsidR="006679B5">
        <w:rPr>
          <w:rFonts w:ascii="Arial" w:hAnsi="Arial" w:cs="Arial"/>
          <w:b/>
          <w:i/>
        </w:rPr>
        <w:t xml:space="preserve"> </w:t>
      </w:r>
      <w:r w:rsidR="00CA6C67">
        <w:rPr>
          <w:rFonts w:ascii="Arial" w:hAnsi="Arial" w:cs="Arial"/>
        </w:rPr>
        <w:t>T</w:t>
      </w:r>
      <w:r w:rsidR="00CA6C67" w:rsidRPr="00AC709F">
        <w:rPr>
          <w:rFonts w:ascii="Arial" w:hAnsi="Arial" w:cs="Arial"/>
        </w:rPr>
        <w:t xml:space="preserve">able </w:t>
      </w:r>
      <w:r w:rsidR="000E2E6E">
        <w:rPr>
          <w:rFonts w:ascii="Arial" w:hAnsi="Arial" w:cs="Arial"/>
        </w:rPr>
        <w:t>9</w:t>
      </w:r>
      <w:r w:rsidR="00CA6C67">
        <w:rPr>
          <w:rFonts w:ascii="Arial" w:hAnsi="Arial" w:cs="Arial"/>
        </w:rPr>
        <w:t xml:space="preserve"> </w:t>
      </w:r>
      <w:r w:rsidR="00CA6C67" w:rsidRPr="00AC709F">
        <w:rPr>
          <w:rFonts w:ascii="Arial" w:hAnsi="Arial" w:cs="Arial"/>
        </w:rPr>
        <w:t xml:space="preserve">below shows the differences in WTD's proposed Capital Spending Plan compared to the capital spending projections made </w:t>
      </w:r>
      <w:r w:rsidR="00CA6C67">
        <w:rPr>
          <w:rFonts w:ascii="Arial" w:hAnsi="Arial" w:cs="Arial"/>
        </w:rPr>
        <w:t>in the adopted 202</w:t>
      </w:r>
      <w:r w:rsidR="00C413C6">
        <w:rPr>
          <w:rFonts w:ascii="Arial" w:hAnsi="Arial" w:cs="Arial"/>
        </w:rPr>
        <w:t>1</w:t>
      </w:r>
      <w:r w:rsidR="00CA6C67">
        <w:rPr>
          <w:rFonts w:ascii="Arial" w:hAnsi="Arial" w:cs="Arial"/>
        </w:rPr>
        <w:t xml:space="preserve"> rate</w:t>
      </w:r>
      <w:r w:rsidR="00CA6C67" w:rsidRPr="00AC709F">
        <w:rPr>
          <w:rFonts w:ascii="Arial" w:hAnsi="Arial" w:cs="Arial"/>
        </w:rPr>
        <w:t xml:space="preserve">. </w:t>
      </w:r>
      <w:r w:rsidR="00CA6C67">
        <w:rPr>
          <w:rFonts w:ascii="Arial" w:hAnsi="Arial" w:cs="Arial"/>
        </w:rPr>
        <w:t>Projections for 202</w:t>
      </w:r>
      <w:r w:rsidR="00C413C6">
        <w:rPr>
          <w:rFonts w:ascii="Arial" w:hAnsi="Arial" w:cs="Arial"/>
        </w:rPr>
        <w:t>2</w:t>
      </w:r>
      <w:r w:rsidR="00CA6C67">
        <w:rPr>
          <w:rFonts w:ascii="Arial" w:hAnsi="Arial" w:cs="Arial"/>
        </w:rPr>
        <w:t xml:space="preserve"> anticipate significantly higher expenditure levels for capital projects than had been forecast in the 202</w:t>
      </w:r>
      <w:r w:rsidR="00ED05B6">
        <w:rPr>
          <w:rFonts w:ascii="Arial" w:hAnsi="Arial" w:cs="Arial"/>
        </w:rPr>
        <w:t>1</w:t>
      </w:r>
      <w:r w:rsidR="00CA6C67">
        <w:rPr>
          <w:rFonts w:ascii="Arial" w:hAnsi="Arial" w:cs="Arial"/>
        </w:rPr>
        <w:t xml:space="preserve"> rate forecast. </w:t>
      </w:r>
    </w:p>
    <w:p w14:paraId="4C7B7045" w14:textId="368EF1FD" w:rsidR="000E5723" w:rsidRDefault="000E5723" w:rsidP="003F5297">
      <w:pPr>
        <w:spacing w:line="264" w:lineRule="auto"/>
        <w:jc w:val="both"/>
        <w:rPr>
          <w:rFonts w:ascii="Arial" w:hAnsi="Arial" w:cs="Arial"/>
        </w:rPr>
      </w:pPr>
    </w:p>
    <w:p w14:paraId="1F206C62" w14:textId="77777777" w:rsidR="006679B5" w:rsidRDefault="00CA6C67" w:rsidP="00DE5664">
      <w:pPr>
        <w:jc w:val="center"/>
        <w:rPr>
          <w:rFonts w:ascii="Arial" w:hAnsi="Arial" w:cs="Arial"/>
          <w:b/>
        </w:rPr>
      </w:pPr>
      <w:r w:rsidRPr="00317822">
        <w:rPr>
          <w:rFonts w:ascii="Arial" w:hAnsi="Arial" w:cs="Arial"/>
          <w:b/>
        </w:rPr>
        <w:t xml:space="preserve">Table </w:t>
      </w:r>
      <w:r w:rsidR="000E5723">
        <w:rPr>
          <w:rFonts w:ascii="Arial" w:hAnsi="Arial" w:cs="Arial"/>
          <w:b/>
        </w:rPr>
        <w:t>9.</w:t>
      </w:r>
      <w:r>
        <w:rPr>
          <w:rFonts w:ascii="Arial" w:hAnsi="Arial" w:cs="Arial"/>
          <w:b/>
        </w:rPr>
        <w:t xml:space="preserve"> </w:t>
      </w:r>
    </w:p>
    <w:p w14:paraId="4EC8E0B9" w14:textId="5B6DF233" w:rsidR="00CA6C67" w:rsidRDefault="00CA6C67" w:rsidP="006679B5">
      <w:pPr>
        <w:jc w:val="center"/>
        <w:rPr>
          <w:rFonts w:ascii="Arial" w:hAnsi="Arial" w:cs="Arial"/>
          <w:b/>
        </w:rPr>
      </w:pPr>
      <w:r>
        <w:rPr>
          <w:rFonts w:ascii="Arial" w:hAnsi="Arial" w:cs="Arial"/>
          <w:b/>
        </w:rPr>
        <w:t>WTD Capital Spending Plan</w:t>
      </w:r>
      <w:r w:rsidRPr="00317822">
        <w:rPr>
          <w:rFonts w:ascii="Arial" w:hAnsi="Arial" w:cs="Arial"/>
          <w:b/>
        </w:rPr>
        <w:t xml:space="preserve"> (in $ millions)</w:t>
      </w:r>
    </w:p>
    <w:p w14:paraId="23F16273" w14:textId="77777777" w:rsidR="006679B5" w:rsidRDefault="006679B5" w:rsidP="00DE5664">
      <w:pPr>
        <w:jc w:val="center"/>
        <w:rPr>
          <w:rFonts w:ascii="Arial" w:hAnsi="Arial" w:cs="Arial"/>
          <w:b/>
        </w:rPr>
      </w:pPr>
    </w:p>
    <w:tbl>
      <w:tblPr>
        <w:tblW w:w="9558" w:type="dxa"/>
        <w:tblInd w:w="-118" w:type="dxa"/>
        <w:tblLook w:val="04A0" w:firstRow="1" w:lastRow="0" w:firstColumn="1" w:lastColumn="0" w:noHBand="0" w:noVBand="1"/>
      </w:tblPr>
      <w:tblGrid>
        <w:gridCol w:w="1847"/>
        <w:gridCol w:w="961"/>
        <w:gridCol w:w="1081"/>
        <w:gridCol w:w="1260"/>
        <w:gridCol w:w="1169"/>
        <w:gridCol w:w="1080"/>
        <w:gridCol w:w="990"/>
        <w:gridCol w:w="1170"/>
      </w:tblGrid>
      <w:tr w:rsidR="00B2574A" w:rsidRPr="006679B5" w14:paraId="079967E8" w14:textId="77777777" w:rsidTr="00192B56">
        <w:trPr>
          <w:trHeight w:val="385"/>
        </w:trPr>
        <w:tc>
          <w:tcPr>
            <w:tcW w:w="1908" w:type="dxa"/>
            <w:tcBorders>
              <w:top w:val="single" w:sz="8" w:space="0" w:color="auto"/>
              <w:left w:val="single" w:sz="8" w:space="0" w:color="auto"/>
              <w:bottom w:val="single" w:sz="8" w:space="0" w:color="auto"/>
              <w:right w:val="single" w:sz="8" w:space="0" w:color="auto"/>
            </w:tcBorders>
            <w:shd w:val="clear" w:color="000000" w:fill="000000"/>
            <w:vAlign w:val="bottom"/>
            <w:hideMark/>
          </w:tcPr>
          <w:p w14:paraId="3B24BDE6" w14:textId="77777777" w:rsidR="00B2574A" w:rsidRPr="006679B5" w:rsidRDefault="00B2574A" w:rsidP="00BC3925">
            <w:pPr>
              <w:jc w:val="center"/>
              <w:rPr>
                <w:rFonts w:ascii="Arial" w:hAnsi="Arial" w:cs="Arial"/>
                <w:color w:val="000000"/>
                <w:sz w:val="20"/>
              </w:rPr>
            </w:pPr>
          </w:p>
        </w:tc>
        <w:tc>
          <w:tcPr>
            <w:tcW w:w="900" w:type="dxa"/>
            <w:tcBorders>
              <w:top w:val="single" w:sz="8" w:space="0" w:color="auto"/>
              <w:left w:val="nil"/>
              <w:bottom w:val="single" w:sz="8" w:space="0" w:color="auto"/>
              <w:right w:val="single" w:sz="8" w:space="0" w:color="auto"/>
            </w:tcBorders>
            <w:shd w:val="clear" w:color="000000" w:fill="000000"/>
            <w:noWrap/>
            <w:vAlign w:val="center"/>
            <w:hideMark/>
          </w:tcPr>
          <w:p w14:paraId="0B95E6FE" w14:textId="77777777" w:rsidR="00B2574A" w:rsidRPr="00237A67" w:rsidRDefault="00B2574A" w:rsidP="00BC3925">
            <w:pPr>
              <w:jc w:val="center"/>
              <w:rPr>
                <w:rFonts w:ascii="Arial" w:hAnsi="Arial" w:cs="Arial"/>
                <w:b/>
                <w:bCs/>
                <w:color w:val="FFFFFF"/>
                <w:sz w:val="20"/>
              </w:rPr>
            </w:pPr>
            <w:r w:rsidRPr="006679B5">
              <w:rPr>
                <w:rFonts w:ascii="Arial" w:hAnsi="Arial" w:cs="Arial"/>
                <w:b/>
                <w:bCs/>
                <w:color w:val="FFFFFF"/>
                <w:sz w:val="20"/>
              </w:rPr>
              <w:t>2021</w:t>
            </w:r>
          </w:p>
        </w:tc>
        <w:tc>
          <w:tcPr>
            <w:tcW w:w="1081" w:type="dxa"/>
            <w:tcBorders>
              <w:top w:val="single" w:sz="8" w:space="0" w:color="auto"/>
              <w:left w:val="nil"/>
              <w:bottom w:val="single" w:sz="8" w:space="0" w:color="auto"/>
              <w:right w:val="single" w:sz="8" w:space="0" w:color="auto"/>
            </w:tcBorders>
            <w:shd w:val="clear" w:color="000000" w:fill="000000"/>
            <w:noWrap/>
            <w:vAlign w:val="center"/>
            <w:hideMark/>
          </w:tcPr>
          <w:p w14:paraId="10CB47DD" w14:textId="77777777" w:rsidR="00B2574A" w:rsidRPr="006679B5" w:rsidRDefault="00B2574A" w:rsidP="00BC3925">
            <w:pPr>
              <w:jc w:val="center"/>
              <w:rPr>
                <w:rFonts w:ascii="Arial" w:hAnsi="Arial" w:cs="Arial"/>
                <w:b/>
                <w:bCs/>
                <w:color w:val="FFFFFF"/>
                <w:sz w:val="20"/>
              </w:rPr>
            </w:pPr>
            <w:r w:rsidRPr="006679B5">
              <w:rPr>
                <w:rFonts w:ascii="Arial" w:hAnsi="Arial" w:cs="Arial"/>
                <w:b/>
                <w:bCs/>
                <w:color w:val="FFFFFF"/>
                <w:sz w:val="20"/>
              </w:rPr>
              <w:t>2022</w:t>
            </w:r>
          </w:p>
        </w:tc>
        <w:tc>
          <w:tcPr>
            <w:tcW w:w="1260" w:type="dxa"/>
            <w:tcBorders>
              <w:top w:val="single" w:sz="8" w:space="0" w:color="auto"/>
              <w:left w:val="nil"/>
              <w:bottom w:val="single" w:sz="8" w:space="0" w:color="auto"/>
              <w:right w:val="single" w:sz="8" w:space="0" w:color="auto"/>
            </w:tcBorders>
            <w:shd w:val="clear" w:color="000000" w:fill="000000"/>
            <w:noWrap/>
            <w:vAlign w:val="center"/>
            <w:hideMark/>
          </w:tcPr>
          <w:p w14:paraId="6190957E" w14:textId="77777777" w:rsidR="00B2574A" w:rsidRPr="006679B5" w:rsidRDefault="00B2574A" w:rsidP="00BC3925">
            <w:pPr>
              <w:jc w:val="center"/>
              <w:rPr>
                <w:rFonts w:ascii="Arial" w:hAnsi="Arial" w:cs="Arial"/>
                <w:b/>
                <w:bCs/>
                <w:color w:val="FFFFFF"/>
                <w:sz w:val="20"/>
              </w:rPr>
            </w:pPr>
            <w:r w:rsidRPr="006679B5">
              <w:rPr>
                <w:rFonts w:ascii="Arial" w:hAnsi="Arial" w:cs="Arial"/>
                <w:b/>
                <w:bCs/>
                <w:color w:val="FFFFFF"/>
                <w:sz w:val="20"/>
              </w:rPr>
              <w:t>2023</w:t>
            </w:r>
          </w:p>
        </w:tc>
        <w:tc>
          <w:tcPr>
            <w:tcW w:w="1169" w:type="dxa"/>
            <w:tcBorders>
              <w:top w:val="single" w:sz="8" w:space="0" w:color="auto"/>
              <w:left w:val="nil"/>
              <w:bottom w:val="single" w:sz="8" w:space="0" w:color="auto"/>
              <w:right w:val="single" w:sz="8" w:space="0" w:color="auto"/>
            </w:tcBorders>
            <w:shd w:val="clear" w:color="000000" w:fill="000000"/>
            <w:noWrap/>
            <w:vAlign w:val="center"/>
            <w:hideMark/>
          </w:tcPr>
          <w:p w14:paraId="02C3E30F" w14:textId="77777777" w:rsidR="00B2574A" w:rsidRPr="006679B5" w:rsidRDefault="00B2574A" w:rsidP="00BC3925">
            <w:pPr>
              <w:jc w:val="center"/>
              <w:rPr>
                <w:rFonts w:ascii="Arial" w:hAnsi="Arial" w:cs="Arial"/>
                <w:b/>
                <w:bCs/>
                <w:color w:val="FFFFFF"/>
                <w:sz w:val="20"/>
              </w:rPr>
            </w:pPr>
            <w:r w:rsidRPr="006679B5">
              <w:rPr>
                <w:rFonts w:ascii="Arial" w:hAnsi="Arial" w:cs="Arial"/>
                <w:b/>
                <w:bCs/>
                <w:color w:val="FFFFFF"/>
                <w:sz w:val="20"/>
              </w:rPr>
              <w:t>2024</w:t>
            </w:r>
          </w:p>
        </w:tc>
        <w:tc>
          <w:tcPr>
            <w:tcW w:w="1080" w:type="dxa"/>
            <w:tcBorders>
              <w:top w:val="single" w:sz="8" w:space="0" w:color="auto"/>
              <w:left w:val="nil"/>
              <w:bottom w:val="single" w:sz="8" w:space="0" w:color="auto"/>
              <w:right w:val="single" w:sz="8" w:space="0" w:color="auto"/>
            </w:tcBorders>
            <w:shd w:val="clear" w:color="000000" w:fill="000000"/>
            <w:noWrap/>
            <w:vAlign w:val="center"/>
            <w:hideMark/>
          </w:tcPr>
          <w:p w14:paraId="2FEA7996" w14:textId="77777777" w:rsidR="00B2574A" w:rsidRPr="006679B5" w:rsidRDefault="00B2574A" w:rsidP="00BC3925">
            <w:pPr>
              <w:jc w:val="center"/>
              <w:rPr>
                <w:rFonts w:ascii="Arial" w:hAnsi="Arial" w:cs="Arial"/>
                <w:b/>
                <w:bCs/>
                <w:color w:val="FFFFFF"/>
                <w:sz w:val="20"/>
              </w:rPr>
            </w:pPr>
            <w:r w:rsidRPr="006679B5">
              <w:rPr>
                <w:rFonts w:ascii="Arial" w:hAnsi="Arial" w:cs="Arial"/>
                <w:b/>
                <w:bCs/>
                <w:color w:val="FFFFFF"/>
                <w:sz w:val="20"/>
              </w:rPr>
              <w:t>2025</w:t>
            </w:r>
          </w:p>
        </w:tc>
        <w:tc>
          <w:tcPr>
            <w:tcW w:w="990" w:type="dxa"/>
            <w:tcBorders>
              <w:top w:val="single" w:sz="8" w:space="0" w:color="auto"/>
              <w:left w:val="nil"/>
              <w:bottom w:val="single" w:sz="8" w:space="0" w:color="auto"/>
              <w:right w:val="single" w:sz="8" w:space="0" w:color="auto"/>
            </w:tcBorders>
            <w:shd w:val="clear" w:color="000000" w:fill="000000"/>
            <w:noWrap/>
            <w:vAlign w:val="center"/>
            <w:hideMark/>
          </w:tcPr>
          <w:p w14:paraId="51473FBE" w14:textId="77777777" w:rsidR="00B2574A" w:rsidRPr="006679B5" w:rsidRDefault="00B2574A" w:rsidP="00BC3925">
            <w:pPr>
              <w:jc w:val="center"/>
              <w:rPr>
                <w:rFonts w:ascii="Arial" w:hAnsi="Arial" w:cs="Arial"/>
                <w:b/>
                <w:bCs/>
                <w:color w:val="FFFFFF"/>
                <w:sz w:val="20"/>
              </w:rPr>
            </w:pPr>
            <w:r w:rsidRPr="006679B5">
              <w:rPr>
                <w:rFonts w:ascii="Arial" w:hAnsi="Arial" w:cs="Arial"/>
                <w:b/>
                <w:bCs/>
                <w:color w:val="FFFFFF"/>
                <w:sz w:val="20"/>
              </w:rPr>
              <w:t>2026</w:t>
            </w:r>
          </w:p>
        </w:tc>
        <w:tc>
          <w:tcPr>
            <w:tcW w:w="1170" w:type="dxa"/>
            <w:tcBorders>
              <w:top w:val="single" w:sz="8" w:space="0" w:color="auto"/>
              <w:left w:val="nil"/>
              <w:bottom w:val="single" w:sz="8" w:space="0" w:color="auto"/>
              <w:right w:val="single" w:sz="8" w:space="0" w:color="auto"/>
            </w:tcBorders>
            <w:shd w:val="clear" w:color="000000" w:fill="000000"/>
            <w:noWrap/>
            <w:vAlign w:val="center"/>
            <w:hideMark/>
          </w:tcPr>
          <w:p w14:paraId="35653B1C" w14:textId="77777777" w:rsidR="00B2574A" w:rsidRPr="006679B5" w:rsidRDefault="00B2574A" w:rsidP="00BC3925">
            <w:pPr>
              <w:jc w:val="center"/>
              <w:rPr>
                <w:rFonts w:ascii="Arial" w:hAnsi="Arial" w:cs="Arial"/>
                <w:b/>
                <w:bCs/>
                <w:color w:val="FFFFFF"/>
                <w:sz w:val="20"/>
              </w:rPr>
            </w:pPr>
            <w:r w:rsidRPr="006679B5">
              <w:rPr>
                <w:rFonts w:ascii="Arial" w:hAnsi="Arial" w:cs="Arial"/>
                <w:b/>
                <w:bCs/>
                <w:color w:val="FFFFFF"/>
                <w:sz w:val="20"/>
              </w:rPr>
              <w:t>2027</w:t>
            </w:r>
          </w:p>
        </w:tc>
      </w:tr>
      <w:tr w:rsidR="00B2574A" w:rsidRPr="006679B5" w14:paraId="03897FEA" w14:textId="77777777" w:rsidTr="00DE5664">
        <w:trPr>
          <w:trHeight w:val="385"/>
        </w:trPr>
        <w:tc>
          <w:tcPr>
            <w:tcW w:w="1908" w:type="dxa"/>
            <w:tcBorders>
              <w:top w:val="nil"/>
              <w:left w:val="single" w:sz="8" w:space="0" w:color="auto"/>
              <w:bottom w:val="single" w:sz="8" w:space="0" w:color="auto"/>
              <w:right w:val="single" w:sz="8" w:space="0" w:color="auto"/>
            </w:tcBorders>
            <w:shd w:val="clear" w:color="auto" w:fill="auto"/>
            <w:vAlign w:val="center"/>
            <w:hideMark/>
          </w:tcPr>
          <w:p w14:paraId="228313DB" w14:textId="4D38F47A" w:rsidR="00B2574A" w:rsidRDefault="00B2574A" w:rsidP="00BC3925">
            <w:pPr>
              <w:jc w:val="center"/>
              <w:rPr>
                <w:rFonts w:ascii="Arial" w:hAnsi="Arial" w:cs="Arial"/>
                <w:b/>
                <w:bCs/>
                <w:color w:val="000000"/>
                <w:sz w:val="20"/>
              </w:rPr>
            </w:pPr>
            <w:r w:rsidRPr="00DE5664">
              <w:rPr>
                <w:rFonts w:ascii="Arial" w:hAnsi="Arial" w:cs="Arial"/>
                <w:b/>
                <w:bCs/>
                <w:color w:val="000000"/>
                <w:sz w:val="20"/>
              </w:rPr>
              <w:t>2022 Proposed Rate Forecast</w:t>
            </w:r>
          </w:p>
          <w:p w14:paraId="1D07B946" w14:textId="77777777" w:rsidR="006679B5" w:rsidRDefault="006679B5" w:rsidP="00BC3925">
            <w:pPr>
              <w:jc w:val="center"/>
              <w:rPr>
                <w:rFonts w:ascii="Arial" w:hAnsi="Arial" w:cs="Arial"/>
                <w:b/>
                <w:bCs/>
                <w:color w:val="000000"/>
                <w:sz w:val="20"/>
              </w:rPr>
            </w:pPr>
          </w:p>
          <w:p w14:paraId="2333F4BE" w14:textId="5EEC18DF" w:rsidR="006679B5" w:rsidRPr="00DE5664" w:rsidRDefault="006679B5" w:rsidP="00BC3925">
            <w:pPr>
              <w:jc w:val="center"/>
              <w:rPr>
                <w:rFonts w:ascii="Arial" w:hAnsi="Arial" w:cs="Arial"/>
                <w:b/>
                <w:bCs/>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14:paraId="1B40DF1D" w14:textId="732A3EBE" w:rsidR="00B2574A" w:rsidRPr="006679B5" w:rsidRDefault="00B2574A" w:rsidP="00DE5664">
            <w:pPr>
              <w:jc w:val="right"/>
              <w:rPr>
                <w:rFonts w:ascii="Arial" w:hAnsi="Arial" w:cs="Arial"/>
                <w:color w:val="000000"/>
                <w:sz w:val="20"/>
              </w:rPr>
            </w:pPr>
            <w:r w:rsidRPr="006679B5">
              <w:rPr>
                <w:rFonts w:ascii="Arial" w:hAnsi="Arial" w:cs="Arial"/>
                <w:color w:val="000000"/>
                <w:sz w:val="20"/>
              </w:rPr>
              <w:t>(</w:t>
            </w:r>
            <w:r w:rsidR="006679B5" w:rsidRPr="006679B5">
              <w:rPr>
                <w:rFonts w:ascii="Arial" w:hAnsi="Arial" w:cs="Arial"/>
                <w:color w:val="000000"/>
                <w:sz w:val="20"/>
              </w:rPr>
              <w:t>$</w:t>
            </w:r>
            <w:r w:rsidRPr="006679B5">
              <w:rPr>
                <w:rFonts w:ascii="Arial" w:hAnsi="Arial" w:cs="Arial"/>
                <w:color w:val="000000"/>
                <w:sz w:val="20"/>
              </w:rPr>
              <w:t>258.8)</w:t>
            </w:r>
          </w:p>
        </w:tc>
        <w:tc>
          <w:tcPr>
            <w:tcW w:w="1081" w:type="dxa"/>
            <w:tcBorders>
              <w:top w:val="nil"/>
              <w:left w:val="nil"/>
              <w:bottom w:val="single" w:sz="8" w:space="0" w:color="auto"/>
              <w:right w:val="single" w:sz="8" w:space="0" w:color="auto"/>
            </w:tcBorders>
            <w:shd w:val="clear" w:color="auto" w:fill="auto"/>
            <w:noWrap/>
            <w:vAlign w:val="center"/>
            <w:hideMark/>
          </w:tcPr>
          <w:p w14:paraId="22BC16F5" w14:textId="36B5E17B" w:rsidR="00B2574A" w:rsidRPr="006679B5" w:rsidRDefault="006679B5" w:rsidP="00DE5664">
            <w:pPr>
              <w:jc w:val="right"/>
              <w:rPr>
                <w:rFonts w:ascii="Arial" w:hAnsi="Arial" w:cs="Arial"/>
                <w:color w:val="000000"/>
                <w:sz w:val="20"/>
              </w:rPr>
            </w:pPr>
            <w:r w:rsidRPr="006679B5" w:rsidDel="006679B5">
              <w:rPr>
                <w:rFonts w:ascii="Arial" w:hAnsi="Arial" w:cs="Arial"/>
                <w:color w:val="000000"/>
                <w:sz w:val="20"/>
              </w:rPr>
              <w:t xml:space="preserve"> </w:t>
            </w:r>
            <w:r w:rsidR="00B2574A" w:rsidRPr="006679B5">
              <w:rPr>
                <w:rFonts w:ascii="Arial" w:hAnsi="Arial" w:cs="Arial"/>
                <w:color w:val="000000"/>
                <w:sz w:val="20"/>
              </w:rPr>
              <w:t>(</w:t>
            </w:r>
            <w:r w:rsidRPr="006679B5">
              <w:rPr>
                <w:rFonts w:ascii="Arial" w:hAnsi="Arial" w:cs="Arial"/>
                <w:color w:val="000000"/>
                <w:sz w:val="20"/>
              </w:rPr>
              <w:t>$</w:t>
            </w:r>
            <w:r w:rsidR="00B2574A" w:rsidRPr="006679B5">
              <w:rPr>
                <w:rFonts w:ascii="Arial" w:hAnsi="Arial" w:cs="Arial"/>
                <w:color w:val="000000"/>
                <w:sz w:val="20"/>
              </w:rPr>
              <w:t>307.9)</w:t>
            </w:r>
          </w:p>
        </w:tc>
        <w:tc>
          <w:tcPr>
            <w:tcW w:w="1260" w:type="dxa"/>
            <w:tcBorders>
              <w:top w:val="nil"/>
              <w:left w:val="nil"/>
              <w:bottom w:val="single" w:sz="8" w:space="0" w:color="auto"/>
              <w:right w:val="single" w:sz="8" w:space="0" w:color="auto"/>
            </w:tcBorders>
            <w:shd w:val="clear" w:color="auto" w:fill="auto"/>
            <w:noWrap/>
            <w:vAlign w:val="center"/>
            <w:hideMark/>
          </w:tcPr>
          <w:p w14:paraId="24C96A0E" w14:textId="7A97F93B" w:rsidR="00B2574A" w:rsidRPr="006679B5" w:rsidRDefault="00B2574A" w:rsidP="00DE5664">
            <w:pPr>
              <w:jc w:val="right"/>
              <w:rPr>
                <w:rFonts w:ascii="Arial" w:hAnsi="Arial" w:cs="Arial"/>
                <w:color w:val="000000"/>
                <w:sz w:val="20"/>
              </w:rPr>
            </w:pPr>
            <w:r w:rsidRPr="006679B5">
              <w:rPr>
                <w:rFonts w:ascii="Arial" w:hAnsi="Arial" w:cs="Arial"/>
                <w:color w:val="000000"/>
                <w:sz w:val="20"/>
              </w:rPr>
              <w:t>(</w:t>
            </w:r>
            <w:r w:rsidR="006679B5" w:rsidRPr="006679B5">
              <w:rPr>
                <w:rFonts w:ascii="Arial" w:hAnsi="Arial" w:cs="Arial"/>
                <w:color w:val="000000"/>
                <w:sz w:val="20"/>
              </w:rPr>
              <w:t>$</w:t>
            </w:r>
            <w:r w:rsidRPr="006679B5">
              <w:rPr>
                <w:rFonts w:ascii="Arial" w:hAnsi="Arial" w:cs="Arial"/>
                <w:color w:val="000000"/>
                <w:sz w:val="20"/>
              </w:rPr>
              <w:t>334.6)</w:t>
            </w:r>
          </w:p>
        </w:tc>
        <w:tc>
          <w:tcPr>
            <w:tcW w:w="1169" w:type="dxa"/>
            <w:tcBorders>
              <w:top w:val="nil"/>
              <w:left w:val="nil"/>
              <w:bottom w:val="single" w:sz="8" w:space="0" w:color="auto"/>
              <w:right w:val="single" w:sz="8" w:space="0" w:color="auto"/>
            </w:tcBorders>
            <w:shd w:val="clear" w:color="auto" w:fill="auto"/>
            <w:noWrap/>
            <w:vAlign w:val="center"/>
            <w:hideMark/>
          </w:tcPr>
          <w:p w14:paraId="5DF665A3" w14:textId="33414C90" w:rsidR="00B2574A" w:rsidRPr="006679B5" w:rsidRDefault="00B2574A" w:rsidP="00DE5664">
            <w:pPr>
              <w:jc w:val="right"/>
              <w:rPr>
                <w:rFonts w:ascii="Arial" w:hAnsi="Arial" w:cs="Arial"/>
                <w:color w:val="000000"/>
                <w:sz w:val="20"/>
              </w:rPr>
            </w:pPr>
            <w:r w:rsidRPr="006679B5">
              <w:rPr>
                <w:rFonts w:ascii="Arial" w:hAnsi="Arial" w:cs="Arial"/>
                <w:color w:val="000000"/>
                <w:sz w:val="20"/>
              </w:rPr>
              <w:t>(</w:t>
            </w:r>
            <w:r w:rsidR="006679B5" w:rsidRPr="006679B5">
              <w:rPr>
                <w:rFonts w:ascii="Arial" w:hAnsi="Arial" w:cs="Arial"/>
                <w:color w:val="000000"/>
                <w:sz w:val="20"/>
              </w:rPr>
              <w:t>$</w:t>
            </w:r>
            <w:r w:rsidRPr="006679B5">
              <w:rPr>
                <w:rFonts w:ascii="Arial" w:hAnsi="Arial" w:cs="Arial"/>
                <w:color w:val="000000"/>
                <w:sz w:val="20"/>
              </w:rPr>
              <w:t>312.6)</w:t>
            </w:r>
          </w:p>
        </w:tc>
        <w:tc>
          <w:tcPr>
            <w:tcW w:w="1080" w:type="dxa"/>
            <w:tcBorders>
              <w:top w:val="nil"/>
              <w:left w:val="nil"/>
              <w:bottom w:val="single" w:sz="8" w:space="0" w:color="auto"/>
              <w:right w:val="single" w:sz="8" w:space="0" w:color="auto"/>
            </w:tcBorders>
            <w:shd w:val="clear" w:color="auto" w:fill="auto"/>
            <w:noWrap/>
            <w:vAlign w:val="center"/>
            <w:hideMark/>
          </w:tcPr>
          <w:p w14:paraId="50A61427" w14:textId="6B22FB2A" w:rsidR="00B2574A" w:rsidRPr="006679B5" w:rsidRDefault="00B2574A" w:rsidP="00DE5664">
            <w:pPr>
              <w:jc w:val="right"/>
              <w:rPr>
                <w:rFonts w:ascii="Arial" w:hAnsi="Arial" w:cs="Arial"/>
                <w:color w:val="000000"/>
                <w:sz w:val="20"/>
              </w:rPr>
            </w:pPr>
            <w:r w:rsidRPr="006679B5">
              <w:rPr>
                <w:rFonts w:ascii="Arial" w:hAnsi="Arial" w:cs="Arial"/>
                <w:color w:val="000000"/>
                <w:sz w:val="20"/>
              </w:rPr>
              <w:t>(</w:t>
            </w:r>
            <w:r w:rsidR="006679B5" w:rsidRPr="006679B5">
              <w:rPr>
                <w:rFonts w:ascii="Arial" w:hAnsi="Arial" w:cs="Arial"/>
                <w:color w:val="000000"/>
                <w:sz w:val="20"/>
              </w:rPr>
              <w:t>$</w:t>
            </w:r>
            <w:r w:rsidRPr="006679B5">
              <w:rPr>
                <w:rFonts w:ascii="Arial" w:hAnsi="Arial" w:cs="Arial"/>
                <w:color w:val="000000"/>
                <w:sz w:val="20"/>
              </w:rPr>
              <w:t>299.0)</w:t>
            </w:r>
          </w:p>
        </w:tc>
        <w:tc>
          <w:tcPr>
            <w:tcW w:w="990" w:type="dxa"/>
            <w:tcBorders>
              <w:top w:val="nil"/>
              <w:left w:val="nil"/>
              <w:bottom w:val="single" w:sz="8" w:space="0" w:color="auto"/>
              <w:right w:val="single" w:sz="8" w:space="0" w:color="auto"/>
            </w:tcBorders>
            <w:shd w:val="clear" w:color="auto" w:fill="auto"/>
            <w:noWrap/>
            <w:vAlign w:val="center"/>
            <w:hideMark/>
          </w:tcPr>
          <w:p w14:paraId="0E5FF244" w14:textId="380A65B5" w:rsidR="00B2574A" w:rsidRPr="006679B5" w:rsidRDefault="00B2574A" w:rsidP="00DE5664">
            <w:pPr>
              <w:jc w:val="right"/>
              <w:rPr>
                <w:rFonts w:ascii="Arial" w:hAnsi="Arial" w:cs="Arial"/>
                <w:color w:val="000000"/>
                <w:sz w:val="20"/>
              </w:rPr>
            </w:pPr>
            <w:r w:rsidRPr="006679B5">
              <w:rPr>
                <w:rFonts w:ascii="Arial" w:hAnsi="Arial" w:cs="Arial"/>
                <w:color w:val="000000"/>
                <w:sz w:val="20"/>
              </w:rPr>
              <w:t>(</w:t>
            </w:r>
            <w:r w:rsidR="006679B5" w:rsidRPr="006679B5">
              <w:rPr>
                <w:rFonts w:ascii="Arial" w:hAnsi="Arial" w:cs="Arial"/>
                <w:color w:val="000000"/>
                <w:sz w:val="20"/>
              </w:rPr>
              <w:t>$</w:t>
            </w:r>
            <w:r w:rsidRPr="006679B5">
              <w:rPr>
                <w:rFonts w:ascii="Arial" w:hAnsi="Arial" w:cs="Arial"/>
                <w:color w:val="000000"/>
                <w:sz w:val="20"/>
              </w:rPr>
              <w:t>344.7)</w:t>
            </w:r>
          </w:p>
        </w:tc>
        <w:tc>
          <w:tcPr>
            <w:tcW w:w="1170" w:type="dxa"/>
            <w:tcBorders>
              <w:top w:val="nil"/>
              <w:left w:val="nil"/>
              <w:bottom w:val="single" w:sz="8" w:space="0" w:color="auto"/>
              <w:right w:val="single" w:sz="8" w:space="0" w:color="auto"/>
            </w:tcBorders>
            <w:shd w:val="clear" w:color="auto" w:fill="auto"/>
            <w:noWrap/>
            <w:vAlign w:val="center"/>
            <w:hideMark/>
          </w:tcPr>
          <w:p w14:paraId="11DDC2DE" w14:textId="01EC9684" w:rsidR="00B2574A" w:rsidRPr="006679B5" w:rsidRDefault="006679B5" w:rsidP="00DE5664">
            <w:pPr>
              <w:jc w:val="right"/>
              <w:rPr>
                <w:rFonts w:ascii="Arial" w:hAnsi="Arial" w:cs="Arial"/>
                <w:color w:val="000000"/>
                <w:sz w:val="20"/>
              </w:rPr>
            </w:pPr>
            <w:r w:rsidRPr="006679B5" w:rsidDel="006679B5">
              <w:rPr>
                <w:rFonts w:ascii="Arial" w:hAnsi="Arial" w:cs="Arial"/>
                <w:color w:val="000000"/>
                <w:sz w:val="20"/>
              </w:rPr>
              <w:t xml:space="preserve"> </w:t>
            </w:r>
            <w:r w:rsidR="00B2574A" w:rsidRPr="006679B5">
              <w:rPr>
                <w:rFonts w:ascii="Arial" w:hAnsi="Arial" w:cs="Arial"/>
                <w:color w:val="000000"/>
                <w:sz w:val="20"/>
              </w:rPr>
              <w:t>(</w:t>
            </w:r>
            <w:r w:rsidRPr="006679B5">
              <w:rPr>
                <w:rFonts w:ascii="Arial" w:hAnsi="Arial" w:cs="Arial"/>
                <w:color w:val="000000"/>
                <w:sz w:val="20"/>
              </w:rPr>
              <w:t>$</w:t>
            </w:r>
            <w:r w:rsidR="00B2574A" w:rsidRPr="006679B5">
              <w:rPr>
                <w:rFonts w:ascii="Arial" w:hAnsi="Arial" w:cs="Arial"/>
                <w:color w:val="000000"/>
                <w:sz w:val="20"/>
              </w:rPr>
              <w:t>467.0)</w:t>
            </w:r>
          </w:p>
        </w:tc>
      </w:tr>
      <w:tr w:rsidR="00B2574A" w:rsidRPr="006679B5" w14:paraId="695905C6" w14:textId="77777777" w:rsidTr="00DE5664">
        <w:trPr>
          <w:trHeight w:val="385"/>
        </w:trPr>
        <w:tc>
          <w:tcPr>
            <w:tcW w:w="1908" w:type="dxa"/>
            <w:tcBorders>
              <w:top w:val="nil"/>
              <w:left w:val="single" w:sz="8" w:space="0" w:color="auto"/>
              <w:bottom w:val="single" w:sz="8" w:space="0" w:color="auto"/>
              <w:right w:val="single" w:sz="8" w:space="0" w:color="auto"/>
            </w:tcBorders>
            <w:shd w:val="clear" w:color="auto" w:fill="auto"/>
            <w:vAlign w:val="center"/>
            <w:hideMark/>
          </w:tcPr>
          <w:p w14:paraId="4A710279" w14:textId="6A377003" w:rsidR="00B2574A" w:rsidRDefault="00B2574A" w:rsidP="00BC3925">
            <w:pPr>
              <w:jc w:val="center"/>
              <w:rPr>
                <w:rFonts w:ascii="Arial" w:hAnsi="Arial" w:cs="Arial"/>
                <w:b/>
                <w:bCs/>
                <w:color w:val="000000"/>
                <w:sz w:val="20"/>
              </w:rPr>
            </w:pPr>
            <w:r w:rsidRPr="00DE5664">
              <w:rPr>
                <w:rFonts w:ascii="Arial" w:hAnsi="Arial" w:cs="Arial"/>
                <w:b/>
                <w:bCs/>
                <w:color w:val="000000"/>
                <w:sz w:val="20"/>
              </w:rPr>
              <w:t>Rate of Increase from previous year</w:t>
            </w:r>
          </w:p>
          <w:p w14:paraId="6BD10851" w14:textId="77777777" w:rsidR="006679B5" w:rsidRDefault="006679B5" w:rsidP="00BC3925">
            <w:pPr>
              <w:jc w:val="center"/>
              <w:rPr>
                <w:rFonts w:ascii="Arial" w:hAnsi="Arial" w:cs="Arial"/>
                <w:b/>
                <w:bCs/>
                <w:color w:val="000000"/>
                <w:sz w:val="20"/>
              </w:rPr>
            </w:pPr>
          </w:p>
          <w:p w14:paraId="4CFCEF80" w14:textId="199D812B" w:rsidR="006679B5" w:rsidRPr="00DE5664" w:rsidRDefault="006679B5" w:rsidP="00BC3925">
            <w:pPr>
              <w:jc w:val="center"/>
              <w:rPr>
                <w:rFonts w:ascii="Arial" w:hAnsi="Arial" w:cs="Arial"/>
                <w:b/>
                <w:bCs/>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14:paraId="1E7CE3E2" w14:textId="77777777" w:rsidR="00B2574A" w:rsidRPr="006679B5" w:rsidRDefault="00B2574A" w:rsidP="00DE5664">
            <w:pPr>
              <w:jc w:val="right"/>
              <w:rPr>
                <w:rFonts w:ascii="Arial" w:hAnsi="Arial" w:cs="Arial"/>
                <w:color w:val="000000"/>
                <w:sz w:val="20"/>
              </w:rPr>
            </w:pPr>
          </w:p>
        </w:tc>
        <w:tc>
          <w:tcPr>
            <w:tcW w:w="1081" w:type="dxa"/>
            <w:tcBorders>
              <w:top w:val="nil"/>
              <w:left w:val="nil"/>
              <w:bottom w:val="single" w:sz="8" w:space="0" w:color="auto"/>
              <w:right w:val="single" w:sz="8" w:space="0" w:color="auto"/>
            </w:tcBorders>
            <w:shd w:val="clear" w:color="auto" w:fill="auto"/>
            <w:noWrap/>
            <w:vAlign w:val="center"/>
            <w:hideMark/>
          </w:tcPr>
          <w:p w14:paraId="383F1B89" w14:textId="77777777" w:rsidR="00B2574A" w:rsidRPr="006679B5" w:rsidRDefault="00B2574A" w:rsidP="00DE5664">
            <w:pPr>
              <w:jc w:val="right"/>
              <w:rPr>
                <w:rFonts w:ascii="Arial" w:hAnsi="Arial" w:cs="Arial"/>
                <w:color w:val="000000"/>
                <w:sz w:val="20"/>
              </w:rPr>
            </w:pPr>
            <w:r w:rsidRPr="006679B5">
              <w:rPr>
                <w:rFonts w:ascii="Arial" w:hAnsi="Arial" w:cs="Arial"/>
                <w:color w:val="000000"/>
                <w:sz w:val="20"/>
              </w:rPr>
              <w:t>19.0%</w:t>
            </w:r>
          </w:p>
        </w:tc>
        <w:tc>
          <w:tcPr>
            <w:tcW w:w="1260" w:type="dxa"/>
            <w:tcBorders>
              <w:top w:val="nil"/>
              <w:left w:val="nil"/>
              <w:bottom w:val="single" w:sz="8" w:space="0" w:color="auto"/>
              <w:right w:val="single" w:sz="8" w:space="0" w:color="auto"/>
            </w:tcBorders>
            <w:shd w:val="clear" w:color="auto" w:fill="auto"/>
            <w:noWrap/>
            <w:vAlign w:val="center"/>
            <w:hideMark/>
          </w:tcPr>
          <w:p w14:paraId="681026B7" w14:textId="77777777" w:rsidR="00B2574A" w:rsidRPr="00237A67" w:rsidRDefault="00B2574A" w:rsidP="00DE5664">
            <w:pPr>
              <w:jc w:val="right"/>
              <w:rPr>
                <w:rFonts w:ascii="Arial" w:hAnsi="Arial" w:cs="Arial"/>
                <w:color w:val="000000"/>
                <w:sz w:val="20"/>
              </w:rPr>
            </w:pPr>
            <w:r w:rsidRPr="00237A67">
              <w:rPr>
                <w:rFonts w:ascii="Arial" w:hAnsi="Arial" w:cs="Arial"/>
                <w:color w:val="000000"/>
                <w:sz w:val="20"/>
              </w:rPr>
              <w:t>8.7%</w:t>
            </w:r>
          </w:p>
        </w:tc>
        <w:tc>
          <w:tcPr>
            <w:tcW w:w="1169" w:type="dxa"/>
            <w:tcBorders>
              <w:top w:val="nil"/>
              <w:left w:val="nil"/>
              <w:bottom w:val="single" w:sz="8" w:space="0" w:color="auto"/>
              <w:right w:val="single" w:sz="8" w:space="0" w:color="auto"/>
            </w:tcBorders>
            <w:shd w:val="clear" w:color="auto" w:fill="auto"/>
            <w:noWrap/>
            <w:vAlign w:val="center"/>
            <w:hideMark/>
          </w:tcPr>
          <w:p w14:paraId="4EAA336A" w14:textId="77777777" w:rsidR="00B2574A" w:rsidRPr="006679B5" w:rsidRDefault="00B2574A" w:rsidP="00DE5664">
            <w:pPr>
              <w:jc w:val="right"/>
              <w:rPr>
                <w:rFonts w:ascii="Arial" w:hAnsi="Arial" w:cs="Arial"/>
                <w:color w:val="000000"/>
                <w:sz w:val="20"/>
              </w:rPr>
            </w:pPr>
            <w:r w:rsidRPr="006679B5">
              <w:rPr>
                <w:rFonts w:ascii="Arial" w:hAnsi="Arial" w:cs="Arial"/>
                <w:color w:val="000000"/>
                <w:sz w:val="20"/>
              </w:rPr>
              <w:t>-6.6%</w:t>
            </w:r>
          </w:p>
        </w:tc>
        <w:tc>
          <w:tcPr>
            <w:tcW w:w="1080" w:type="dxa"/>
            <w:tcBorders>
              <w:top w:val="nil"/>
              <w:left w:val="nil"/>
              <w:bottom w:val="single" w:sz="8" w:space="0" w:color="auto"/>
              <w:right w:val="single" w:sz="8" w:space="0" w:color="auto"/>
            </w:tcBorders>
            <w:shd w:val="clear" w:color="auto" w:fill="auto"/>
            <w:noWrap/>
            <w:vAlign w:val="center"/>
            <w:hideMark/>
          </w:tcPr>
          <w:p w14:paraId="728349CA" w14:textId="77777777" w:rsidR="00B2574A" w:rsidRPr="006679B5" w:rsidRDefault="00B2574A" w:rsidP="00DE5664">
            <w:pPr>
              <w:jc w:val="right"/>
              <w:rPr>
                <w:rFonts w:ascii="Arial" w:hAnsi="Arial" w:cs="Arial"/>
                <w:color w:val="000000"/>
                <w:sz w:val="20"/>
              </w:rPr>
            </w:pPr>
            <w:r w:rsidRPr="006679B5">
              <w:rPr>
                <w:rFonts w:ascii="Arial" w:hAnsi="Arial" w:cs="Arial"/>
                <w:color w:val="000000"/>
                <w:sz w:val="20"/>
              </w:rPr>
              <w:t>-4.3%</w:t>
            </w:r>
          </w:p>
        </w:tc>
        <w:tc>
          <w:tcPr>
            <w:tcW w:w="990" w:type="dxa"/>
            <w:tcBorders>
              <w:top w:val="nil"/>
              <w:left w:val="nil"/>
              <w:bottom w:val="single" w:sz="8" w:space="0" w:color="auto"/>
              <w:right w:val="single" w:sz="8" w:space="0" w:color="auto"/>
            </w:tcBorders>
            <w:shd w:val="clear" w:color="auto" w:fill="auto"/>
            <w:vAlign w:val="center"/>
            <w:hideMark/>
          </w:tcPr>
          <w:p w14:paraId="31B2B3E2" w14:textId="77777777" w:rsidR="00B2574A" w:rsidRPr="006679B5" w:rsidRDefault="00B2574A" w:rsidP="00DE5664">
            <w:pPr>
              <w:jc w:val="right"/>
              <w:rPr>
                <w:rFonts w:ascii="Arial" w:hAnsi="Arial" w:cs="Arial"/>
                <w:color w:val="000000"/>
                <w:sz w:val="20"/>
              </w:rPr>
            </w:pPr>
            <w:r w:rsidRPr="006679B5">
              <w:rPr>
                <w:rFonts w:ascii="Arial" w:hAnsi="Arial" w:cs="Arial"/>
                <w:color w:val="000000"/>
                <w:sz w:val="20"/>
              </w:rPr>
              <w:t>15.3%</w:t>
            </w:r>
          </w:p>
        </w:tc>
        <w:tc>
          <w:tcPr>
            <w:tcW w:w="1170" w:type="dxa"/>
            <w:tcBorders>
              <w:top w:val="nil"/>
              <w:left w:val="nil"/>
              <w:bottom w:val="single" w:sz="8" w:space="0" w:color="auto"/>
              <w:right w:val="single" w:sz="8" w:space="0" w:color="auto"/>
            </w:tcBorders>
            <w:shd w:val="clear" w:color="auto" w:fill="auto"/>
            <w:vAlign w:val="center"/>
            <w:hideMark/>
          </w:tcPr>
          <w:p w14:paraId="2FABB55A" w14:textId="77777777" w:rsidR="00B2574A" w:rsidRPr="006679B5" w:rsidRDefault="00B2574A" w:rsidP="00DE5664">
            <w:pPr>
              <w:jc w:val="right"/>
              <w:rPr>
                <w:rFonts w:ascii="Arial" w:hAnsi="Arial" w:cs="Arial"/>
                <w:color w:val="000000"/>
                <w:sz w:val="20"/>
              </w:rPr>
            </w:pPr>
            <w:r w:rsidRPr="006679B5">
              <w:rPr>
                <w:rFonts w:ascii="Arial" w:hAnsi="Arial" w:cs="Arial"/>
                <w:color w:val="000000"/>
                <w:sz w:val="20"/>
              </w:rPr>
              <w:t>35.5%</w:t>
            </w:r>
          </w:p>
        </w:tc>
      </w:tr>
      <w:tr w:rsidR="00B2574A" w:rsidRPr="006679B5" w14:paraId="452520CE" w14:textId="77777777" w:rsidTr="00DE5664">
        <w:trPr>
          <w:trHeight w:val="385"/>
        </w:trPr>
        <w:tc>
          <w:tcPr>
            <w:tcW w:w="1908" w:type="dxa"/>
            <w:tcBorders>
              <w:top w:val="nil"/>
              <w:left w:val="single" w:sz="8" w:space="0" w:color="auto"/>
              <w:bottom w:val="single" w:sz="8" w:space="0" w:color="auto"/>
              <w:right w:val="single" w:sz="8" w:space="0" w:color="auto"/>
            </w:tcBorders>
            <w:shd w:val="clear" w:color="auto" w:fill="auto"/>
            <w:vAlign w:val="center"/>
            <w:hideMark/>
          </w:tcPr>
          <w:p w14:paraId="6C22B8F4" w14:textId="52124455" w:rsidR="00B2574A" w:rsidRDefault="00B2574A" w:rsidP="00BC3925">
            <w:pPr>
              <w:jc w:val="center"/>
              <w:rPr>
                <w:rFonts w:ascii="Arial" w:hAnsi="Arial" w:cs="Arial"/>
                <w:b/>
                <w:bCs/>
                <w:color w:val="000000"/>
                <w:sz w:val="20"/>
              </w:rPr>
            </w:pPr>
            <w:r w:rsidRPr="00DE5664">
              <w:rPr>
                <w:rFonts w:ascii="Arial" w:hAnsi="Arial" w:cs="Arial"/>
                <w:b/>
                <w:bCs/>
                <w:color w:val="000000"/>
                <w:sz w:val="20"/>
              </w:rPr>
              <w:t>2021 Adopted Rate Forecast</w:t>
            </w:r>
          </w:p>
          <w:p w14:paraId="21D457C2" w14:textId="77777777" w:rsidR="006679B5" w:rsidRDefault="006679B5" w:rsidP="00BC3925">
            <w:pPr>
              <w:jc w:val="center"/>
              <w:rPr>
                <w:rFonts w:ascii="Arial" w:hAnsi="Arial" w:cs="Arial"/>
                <w:b/>
                <w:bCs/>
                <w:color w:val="000000"/>
                <w:sz w:val="20"/>
              </w:rPr>
            </w:pPr>
          </w:p>
          <w:p w14:paraId="173F7318" w14:textId="6C78AA1B" w:rsidR="006679B5" w:rsidRPr="00DE5664" w:rsidRDefault="006679B5" w:rsidP="00BC3925">
            <w:pPr>
              <w:jc w:val="center"/>
              <w:rPr>
                <w:rFonts w:ascii="Arial" w:hAnsi="Arial" w:cs="Arial"/>
                <w:b/>
                <w:bCs/>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14:paraId="782F245A" w14:textId="6C56FD8C" w:rsidR="00B2574A" w:rsidRPr="006679B5" w:rsidRDefault="00B2574A" w:rsidP="00DE5664">
            <w:pPr>
              <w:jc w:val="right"/>
              <w:rPr>
                <w:rFonts w:ascii="Arial" w:hAnsi="Arial" w:cs="Arial"/>
                <w:color w:val="000000"/>
                <w:sz w:val="20"/>
              </w:rPr>
            </w:pPr>
            <w:r w:rsidRPr="006679B5">
              <w:rPr>
                <w:rFonts w:ascii="Arial" w:hAnsi="Arial" w:cs="Arial"/>
                <w:color w:val="000000"/>
                <w:sz w:val="20"/>
              </w:rPr>
              <w:t>(</w:t>
            </w:r>
            <w:r w:rsidR="006679B5" w:rsidRPr="006679B5">
              <w:rPr>
                <w:rFonts w:ascii="Arial" w:hAnsi="Arial" w:cs="Arial"/>
                <w:color w:val="000000"/>
                <w:sz w:val="20"/>
              </w:rPr>
              <w:t>$</w:t>
            </w:r>
            <w:r w:rsidRPr="006679B5">
              <w:rPr>
                <w:rFonts w:ascii="Arial" w:hAnsi="Arial" w:cs="Arial"/>
                <w:color w:val="000000"/>
                <w:sz w:val="20"/>
              </w:rPr>
              <w:t>271.8)</w:t>
            </w:r>
          </w:p>
        </w:tc>
        <w:tc>
          <w:tcPr>
            <w:tcW w:w="1081" w:type="dxa"/>
            <w:tcBorders>
              <w:top w:val="nil"/>
              <w:left w:val="nil"/>
              <w:bottom w:val="single" w:sz="8" w:space="0" w:color="auto"/>
              <w:right w:val="single" w:sz="8" w:space="0" w:color="auto"/>
            </w:tcBorders>
            <w:shd w:val="clear" w:color="auto" w:fill="auto"/>
            <w:noWrap/>
            <w:vAlign w:val="center"/>
            <w:hideMark/>
          </w:tcPr>
          <w:p w14:paraId="43927938" w14:textId="6049DB85" w:rsidR="00B2574A" w:rsidRPr="00237A67" w:rsidRDefault="00B2574A" w:rsidP="00DE5664">
            <w:pPr>
              <w:jc w:val="right"/>
              <w:rPr>
                <w:rFonts w:ascii="Arial" w:hAnsi="Arial" w:cs="Arial"/>
                <w:color w:val="000000"/>
                <w:sz w:val="20"/>
              </w:rPr>
            </w:pPr>
            <w:r w:rsidRPr="006679B5">
              <w:rPr>
                <w:rFonts w:ascii="Arial" w:hAnsi="Arial" w:cs="Arial"/>
                <w:color w:val="000000"/>
                <w:sz w:val="20"/>
              </w:rPr>
              <w:t>(</w:t>
            </w:r>
            <w:r w:rsidR="006679B5" w:rsidRPr="00237A67">
              <w:rPr>
                <w:rFonts w:ascii="Arial" w:hAnsi="Arial" w:cs="Arial"/>
                <w:color w:val="000000"/>
                <w:sz w:val="20"/>
              </w:rPr>
              <w:t>$</w:t>
            </w:r>
            <w:r w:rsidRPr="00237A67">
              <w:rPr>
                <w:rFonts w:ascii="Arial" w:hAnsi="Arial" w:cs="Arial"/>
                <w:color w:val="000000"/>
                <w:sz w:val="20"/>
              </w:rPr>
              <w:t>298.5)</w:t>
            </w:r>
          </w:p>
        </w:tc>
        <w:tc>
          <w:tcPr>
            <w:tcW w:w="1260" w:type="dxa"/>
            <w:tcBorders>
              <w:top w:val="nil"/>
              <w:left w:val="nil"/>
              <w:bottom w:val="single" w:sz="8" w:space="0" w:color="auto"/>
              <w:right w:val="single" w:sz="8" w:space="0" w:color="auto"/>
            </w:tcBorders>
            <w:shd w:val="clear" w:color="auto" w:fill="auto"/>
            <w:noWrap/>
            <w:vAlign w:val="center"/>
            <w:hideMark/>
          </w:tcPr>
          <w:p w14:paraId="6541422B" w14:textId="0C77713C" w:rsidR="00B2574A" w:rsidRPr="006679B5" w:rsidRDefault="006679B5" w:rsidP="00DE5664">
            <w:pPr>
              <w:jc w:val="right"/>
              <w:rPr>
                <w:rFonts w:ascii="Arial" w:hAnsi="Arial" w:cs="Arial"/>
                <w:color w:val="000000"/>
                <w:sz w:val="20"/>
              </w:rPr>
            </w:pPr>
            <w:r w:rsidRPr="00237A67" w:rsidDel="006679B5">
              <w:rPr>
                <w:rFonts w:ascii="Arial" w:hAnsi="Arial" w:cs="Arial"/>
                <w:color w:val="000000"/>
                <w:sz w:val="20"/>
              </w:rPr>
              <w:t xml:space="preserve"> </w:t>
            </w:r>
            <w:r w:rsidR="00B2574A" w:rsidRPr="006679B5">
              <w:rPr>
                <w:rFonts w:ascii="Arial" w:hAnsi="Arial" w:cs="Arial"/>
                <w:color w:val="000000"/>
                <w:sz w:val="20"/>
              </w:rPr>
              <w:t>(</w:t>
            </w:r>
            <w:r w:rsidRPr="006679B5">
              <w:rPr>
                <w:rFonts w:ascii="Arial" w:hAnsi="Arial" w:cs="Arial"/>
                <w:color w:val="000000"/>
                <w:sz w:val="20"/>
              </w:rPr>
              <w:t>$</w:t>
            </w:r>
            <w:r w:rsidR="00B2574A" w:rsidRPr="006679B5">
              <w:rPr>
                <w:rFonts w:ascii="Arial" w:hAnsi="Arial" w:cs="Arial"/>
                <w:color w:val="000000"/>
                <w:sz w:val="20"/>
              </w:rPr>
              <w:t>338.7)</w:t>
            </w:r>
          </w:p>
        </w:tc>
        <w:tc>
          <w:tcPr>
            <w:tcW w:w="1169" w:type="dxa"/>
            <w:tcBorders>
              <w:top w:val="nil"/>
              <w:left w:val="nil"/>
              <w:bottom w:val="single" w:sz="8" w:space="0" w:color="auto"/>
              <w:right w:val="single" w:sz="8" w:space="0" w:color="auto"/>
            </w:tcBorders>
            <w:shd w:val="clear" w:color="auto" w:fill="auto"/>
            <w:noWrap/>
            <w:vAlign w:val="center"/>
            <w:hideMark/>
          </w:tcPr>
          <w:p w14:paraId="139449E2" w14:textId="5D3FBE32" w:rsidR="00B2574A" w:rsidRPr="006679B5" w:rsidRDefault="006679B5" w:rsidP="00DE5664">
            <w:pPr>
              <w:jc w:val="right"/>
              <w:rPr>
                <w:rFonts w:ascii="Arial" w:hAnsi="Arial" w:cs="Arial"/>
                <w:color w:val="000000"/>
                <w:sz w:val="20"/>
              </w:rPr>
            </w:pPr>
            <w:r w:rsidRPr="006679B5" w:rsidDel="006679B5">
              <w:rPr>
                <w:rFonts w:ascii="Arial" w:hAnsi="Arial" w:cs="Arial"/>
                <w:color w:val="000000"/>
                <w:sz w:val="20"/>
              </w:rPr>
              <w:t xml:space="preserve"> </w:t>
            </w:r>
            <w:r w:rsidR="00B2574A" w:rsidRPr="006679B5">
              <w:rPr>
                <w:rFonts w:ascii="Arial" w:hAnsi="Arial" w:cs="Arial"/>
                <w:color w:val="000000"/>
                <w:sz w:val="20"/>
              </w:rPr>
              <w:t>(</w:t>
            </w:r>
            <w:r w:rsidRPr="006679B5">
              <w:rPr>
                <w:rFonts w:ascii="Arial" w:hAnsi="Arial" w:cs="Arial"/>
                <w:color w:val="000000"/>
                <w:sz w:val="20"/>
              </w:rPr>
              <w:t>$</w:t>
            </w:r>
            <w:r w:rsidR="00B2574A" w:rsidRPr="006679B5">
              <w:rPr>
                <w:rFonts w:ascii="Arial" w:hAnsi="Arial" w:cs="Arial"/>
                <w:color w:val="000000"/>
                <w:sz w:val="20"/>
              </w:rPr>
              <w:t>331.4)</w:t>
            </w:r>
          </w:p>
        </w:tc>
        <w:tc>
          <w:tcPr>
            <w:tcW w:w="1080" w:type="dxa"/>
            <w:tcBorders>
              <w:top w:val="nil"/>
              <w:left w:val="nil"/>
              <w:bottom w:val="single" w:sz="8" w:space="0" w:color="auto"/>
              <w:right w:val="single" w:sz="8" w:space="0" w:color="auto"/>
            </w:tcBorders>
            <w:shd w:val="clear" w:color="auto" w:fill="auto"/>
            <w:noWrap/>
            <w:vAlign w:val="center"/>
            <w:hideMark/>
          </w:tcPr>
          <w:p w14:paraId="3AE329E9" w14:textId="7170753A" w:rsidR="00B2574A" w:rsidRPr="006679B5" w:rsidRDefault="00B2574A" w:rsidP="00DE5664">
            <w:pPr>
              <w:jc w:val="right"/>
              <w:rPr>
                <w:rFonts w:ascii="Arial" w:hAnsi="Arial" w:cs="Arial"/>
                <w:color w:val="000000"/>
                <w:sz w:val="20"/>
              </w:rPr>
            </w:pPr>
            <w:r w:rsidRPr="006679B5">
              <w:rPr>
                <w:rFonts w:ascii="Arial" w:hAnsi="Arial" w:cs="Arial"/>
                <w:color w:val="000000"/>
                <w:sz w:val="20"/>
              </w:rPr>
              <w:t>(</w:t>
            </w:r>
            <w:r w:rsidR="006679B5" w:rsidRPr="006679B5">
              <w:rPr>
                <w:rFonts w:ascii="Arial" w:hAnsi="Arial" w:cs="Arial"/>
                <w:color w:val="000000"/>
                <w:sz w:val="20"/>
              </w:rPr>
              <w:t>$</w:t>
            </w:r>
            <w:r w:rsidRPr="006679B5">
              <w:rPr>
                <w:rFonts w:ascii="Arial" w:hAnsi="Arial" w:cs="Arial"/>
                <w:color w:val="000000"/>
                <w:sz w:val="20"/>
              </w:rPr>
              <w:t>305.9)</w:t>
            </w:r>
          </w:p>
        </w:tc>
        <w:tc>
          <w:tcPr>
            <w:tcW w:w="990" w:type="dxa"/>
            <w:tcBorders>
              <w:top w:val="nil"/>
              <w:left w:val="nil"/>
              <w:bottom w:val="single" w:sz="8" w:space="0" w:color="auto"/>
              <w:right w:val="single" w:sz="8" w:space="0" w:color="auto"/>
            </w:tcBorders>
            <w:shd w:val="clear" w:color="auto" w:fill="auto"/>
            <w:noWrap/>
            <w:vAlign w:val="center"/>
            <w:hideMark/>
          </w:tcPr>
          <w:p w14:paraId="37CB9C12" w14:textId="024E35F3" w:rsidR="00B2574A" w:rsidRPr="006679B5" w:rsidRDefault="006679B5" w:rsidP="00DE5664">
            <w:pPr>
              <w:jc w:val="right"/>
              <w:rPr>
                <w:rFonts w:ascii="Arial" w:hAnsi="Arial" w:cs="Arial"/>
                <w:color w:val="000000"/>
                <w:sz w:val="20"/>
              </w:rPr>
            </w:pPr>
            <w:r w:rsidRPr="006679B5" w:rsidDel="006679B5">
              <w:rPr>
                <w:rFonts w:ascii="Arial" w:hAnsi="Arial" w:cs="Arial"/>
                <w:color w:val="000000"/>
                <w:sz w:val="20"/>
              </w:rPr>
              <w:t xml:space="preserve"> </w:t>
            </w:r>
            <w:r w:rsidR="00B2574A" w:rsidRPr="006679B5">
              <w:rPr>
                <w:rFonts w:ascii="Arial" w:hAnsi="Arial" w:cs="Arial"/>
                <w:color w:val="000000"/>
                <w:sz w:val="20"/>
              </w:rPr>
              <w:t>(</w:t>
            </w:r>
            <w:r w:rsidRPr="006679B5">
              <w:rPr>
                <w:rFonts w:ascii="Arial" w:hAnsi="Arial" w:cs="Arial"/>
                <w:color w:val="000000"/>
                <w:sz w:val="20"/>
              </w:rPr>
              <w:t>$</w:t>
            </w:r>
            <w:r w:rsidR="00B2574A" w:rsidRPr="006679B5">
              <w:rPr>
                <w:rFonts w:ascii="Arial" w:hAnsi="Arial" w:cs="Arial"/>
                <w:color w:val="000000"/>
                <w:sz w:val="20"/>
              </w:rPr>
              <w:t>408.9)</w:t>
            </w:r>
          </w:p>
        </w:tc>
        <w:tc>
          <w:tcPr>
            <w:tcW w:w="1170" w:type="dxa"/>
            <w:tcBorders>
              <w:top w:val="nil"/>
              <w:left w:val="nil"/>
              <w:bottom w:val="single" w:sz="8" w:space="0" w:color="auto"/>
              <w:right w:val="single" w:sz="8" w:space="0" w:color="auto"/>
            </w:tcBorders>
            <w:shd w:val="clear" w:color="auto" w:fill="auto"/>
            <w:noWrap/>
            <w:vAlign w:val="center"/>
            <w:hideMark/>
          </w:tcPr>
          <w:p w14:paraId="192F42DF" w14:textId="0D7852C5" w:rsidR="00B2574A" w:rsidRPr="006679B5" w:rsidRDefault="00B2574A" w:rsidP="00DE5664">
            <w:pPr>
              <w:jc w:val="right"/>
              <w:rPr>
                <w:rFonts w:ascii="Arial" w:hAnsi="Arial" w:cs="Arial"/>
                <w:color w:val="000000"/>
                <w:sz w:val="20"/>
              </w:rPr>
            </w:pPr>
            <w:r w:rsidRPr="006679B5">
              <w:rPr>
                <w:rFonts w:ascii="Arial" w:hAnsi="Arial" w:cs="Arial"/>
                <w:color w:val="000000"/>
                <w:sz w:val="20"/>
              </w:rPr>
              <w:t>(</w:t>
            </w:r>
            <w:r w:rsidR="006679B5" w:rsidRPr="006679B5">
              <w:rPr>
                <w:rFonts w:ascii="Arial" w:hAnsi="Arial" w:cs="Arial"/>
                <w:color w:val="000000"/>
                <w:sz w:val="20"/>
              </w:rPr>
              <w:t>$</w:t>
            </w:r>
            <w:r w:rsidRPr="006679B5">
              <w:rPr>
                <w:rFonts w:ascii="Arial" w:hAnsi="Arial" w:cs="Arial"/>
                <w:color w:val="000000"/>
                <w:sz w:val="20"/>
              </w:rPr>
              <w:t>560.5)</w:t>
            </w:r>
          </w:p>
        </w:tc>
      </w:tr>
      <w:tr w:rsidR="00B2574A" w:rsidRPr="006679B5" w14:paraId="44322A7B" w14:textId="77777777" w:rsidTr="00DE5664">
        <w:trPr>
          <w:trHeight w:val="385"/>
        </w:trPr>
        <w:tc>
          <w:tcPr>
            <w:tcW w:w="1908" w:type="dxa"/>
            <w:tcBorders>
              <w:top w:val="nil"/>
              <w:left w:val="single" w:sz="8" w:space="0" w:color="auto"/>
              <w:bottom w:val="single" w:sz="8" w:space="0" w:color="auto"/>
              <w:right w:val="single" w:sz="8" w:space="0" w:color="auto"/>
            </w:tcBorders>
            <w:shd w:val="clear" w:color="auto" w:fill="auto"/>
            <w:vAlign w:val="center"/>
            <w:hideMark/>
          </w:tcPr>
          <w:p w14:paraId="273908C5" w14:textId="4C5B7ACF" w:rsidR="00B2574A" w:rsidRDefault="00B2574A" w:rsidP="00BC3925">
            <w:pPr>
              <w:jc w:val="center"/>
              <w:rPr>
                <w:rFonts w:ascii="Arial" w:hAnsi="Arial" w:cs="Arial"/>
                <w:b/>
                <w:bCs/>
                <w:color w:val="000000"/>
                <w:sz w:val="20"/>
              </w:rPr>
            </w:pPr>
            <w:r w:rsidRPr="00DE5664">
              <w:rPr>
                <w:rFonts w:ascii="Arial" w:hAnsi="Arial" w:cs="Arial"/>
                <w:b/>
                <w:bCs/>
                <w:color w:val="000000"/>
                <w:sz w:val="20"/>
              </w:rPr>
              <w:t>Rate of Increase from previous year</w:t>
            </w:r>
          </w:p>
          <w:p w14:paraId="6C8342DE" w14:textId="77777777" w:rsidR="006679B5" w:rsidRDefault="006679B5" w:rsidP="00BC3925">
            <w:pPr>
              <w:jc w:val="center"/>
              <w:rPr>
                <w:rFonts w:ascii="Arial" w:hAnsi="Arial" w:cs="Arial"/>
                <w:b/>
                <w:bCs/>
                <w:color w:val="000000"/>
                <w:sz w:val="20"/>
              </w:rPr>
            </w:pPr>
          </w:p>
          <w:p w14:paraId="3C6856BA" w14:textId="0B1E5F41" w:rsidR="006679B5" w:rsidRPr="00DE5664" w:rsidRDefault="006679B5" w:rsidP="00BC3925">
            <w:pPr>
              <w:jc w:val="center"/>
              <w:rPr>
                <w:rFonts w:ascii="Arial" w:hAnsi="Arial" w:cs="Arial"/>
                <w:b/>
                <w:bCs/>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14:paraId="09D3F9E3" w14:textId="77777777" w:rsidR="00B2574A" w:rsidRPr="006679B5" w:rsidRDefault="00B2574A" w:rsidP="00DE5664">
            <w:pPr>
              <w:jc w:val="right"/>
              <w:rPr>
                <w:rFonts w:ascii="Arial" w:hAnsi="Arial" w:cs="Arial"/>
                <w:b/>
                <w:bCs/>
                <w:color w:val="000000"/>
                <w:sz w:val="20"/>
              </w:rPr>
            </w:pPr>
          </w:p>
        </w:tc>
        <w:tc>
          <w:tcPr>
            <w:tcW w:w="1081" w:type="dxa"/>
            <w:tcBorders>
              <w:top w:val="nil"/>
              <w:left w:val="nil"/>
              <w:bottom w:val="single" w:sz="8" w:space="0" w:color="auto"/>
              <w:right w:val="single" w:sz="8" w:space="0" w:color="auto"/>
            </w:tcBorders>
            <w:shd w:val="clear" w:color="auto" w:fill="auto"/>
            <w:noWrap/>
            <w:vAlign w:val="center"/>
            <w:hideMark/>
          </w:tcPr>
          <w:p w14:paraId="2426248D" w14:textId="77777777" w:rsidR="00B2574A" w:rsidRPr="006679B5" w:rsidRDefault="00B2574A" w:rsidP="00DE5664">
            <w:pPr>
              <w:jc w:val="right"/>
              <w:rPr>
                <w:rFonts w:ascii="Arial" w:hAnsi="Arial" w:cs="Arial"/>
                <w:color w:val="000000"/>
                <w:sz w:val="20"/>
              </w:rPr>
            </w:pPr>
            <w:r w:rsidRPr="006679B5">
              <w:rPr>
                <w:rFonts w:ascii="Arial" w:hAnsi="Arial" w:cs="Arial"/>
                <w:color w:val="000000"/>
                <w:sz w:val="20"/>
              </w:rPr>
              <w:t>9.8%</w:t>
            </w:r>
          </w:p>
        </w:tc>
        <w:tc>
          <w:tcPr>
            <w:tcW w:w="1260" w:type="dxa"/>
            <w:tcBorders>
              <w:top w:val="nil"/>
              <w:left w:val="nil"/>
              <w:bottom w:val="single" w:sz="8" w:space="0" w:color="auto"/>
              <w:right w:val="single" w:sz="8" w:space="0" w:color="auto"/>
            </w:tcBorders>
            <w:shd w:val="clear" w:color="auto" w:fill="auto"/>
            <w:noWrap/>
            <w:vAlign w:val="center"/>
            <w:hideMark/>
          </w:tcPr>
          <w:p w14:paraId="6654F9B5" w14:textId="77777777" w:rsidR="00B2574A" w:rsidRPr="00237A67" w:rsidRDefault="00B2574A" w:rsidP="00DE5664">
            <w:pPr>
              <w:jc w:val="right"/>
              <w:rPr>
                <w:rFonts w:ascii="Arial" w:hAnsi="Arial" w:cs="Arial"/>
                <w:color w:val="000000"/>
                <w:sz w:val="20"/>
              </w:rPr>
            </w:pPr>
            <w:r w:rsidRPr="00237A67">
              <w:rPr>
                <w:rFonts w:ascii="Arial" w:hAnsi="Arial" w:cs="Arial"/>
                <w:color w:val="000000"/>
                <w:sz w:val="20"/>
              </w:rPr>
              <w:t>13.5%</w:t>
            </w:r>
          </w:p>
        </w:tc>
        <w:tc>
          <w:tcPr>
            <w:tcW w:w="1169" w:type="dxa"/>
            <w:tcBorders>
              <w:top w:val="nil"/>
              <w:left w:val="nil"/>
              <w:bottom w:val="single" w:sz="8" w:space="0" w:color="auto"/>
              <w:right w:val="single" w:sz="8" w:space="0" w:color="auto"/>
            </w:tcBorders>
            <w:shd w:val="clear" w:color="auto" w:fill="auto"/>
            <w:noWrap/>
            <w:vAlign w:val="center"/>
            <w:hideMark/>
          </w:tcPr>
          <w:p w14:paraId="64FC6F57" w14:textId="77777777" w:rsidR="00B2574A" w:rsidRPr="006679B5" w:rsidRDefault="00B2574A" w:rsidP="00DE5664">
            <w:pPr>
              <w:jc w:val="right"/>
              <w:rPr>
                <w:rFonts w:ascii="Arial" w:hAnsi="Arial" w:cs="Arial"/>
                <w:color w:val="000000"/>
                <w:sz w:val="20"/>
              </w:rPr>
            </w:pPr>
            <w:r w:rsidRPr="006679B5">
              <w:rPr>
                <w:rFonts w:ascii="Arial" w:hAnsi="Arial" w:cs="Arial"/>
                <w:color w:val="000000"/>
                <w:sz w:val="20"/>
              </w:rPr>
              <w:t>-2.2%</w:t>
            </w:r>
          </w:p>
        </w:tc>
        <w:tc>
          <w:tcPr>
            <w:tcW w:w="1080" w:type="dxa"/>
            <w:tcBorders>
              <w:top w:val="nil"/>
              <w:left w:val="nil"/>
              <w:bottom w:val="single" w:sz="8" w:space="0" w:color="auto"/>
              <w:right w:val="single" w:sz="8" w:space="0" w:color="auto"/>
            </w:tcBorders>
            <w:shd w:val="clear" w:color="auto" w:fill="auto"/>
            <w:noWrap/>
            <w:vAlign w:val="center"/>
            <w:hideMark/>
          </w:tcPr>
          <w:p w14:paraId="43484D99" w14:textId="77777777" w:rsidR="00B2574A" w:rsidRPr="006679B5" w:rsidRDefault="00B2574A" w:rsidP="00DE5664">
            <w:pPr>
              <w:jc w:val="right"/>
              <w:rPr>
                <w:rFonts w:ascii="Arial" w:hAnsi="Arial" w:cs="Arial"/>
                <w:color w:val="000000"/>
                <w:sz w:val="20"/>
              </w:rPr>
            </w:pPr>
            <w:r w:rsidRPr="006679B5">
              <w:rPr>
                <w:rFonts w:ascii="Arial" w:hAnsi="Arial" w:cs="Arial"/>
                <w:color w:val="000000"/>
                <w:sz w:val="20"/>
              </w:rPr>
              <w:t>-7.7%</w:t>
            </w:r>
          </w:p>
        </w:tc>
        <w:tc>
          <w:tcPr>
            <w:tcW w:w="990" w:type="dxa"/>
            <w:tcBorders>
              <w:top w:val="nil"/>
              <w:left w:val="nil"/>
              <w:bottom w:val="single" w:sz="8" w:space="0" w:color="auto"/>
              <w:right w:val="single" w:sz="8" w:space="0" w:color="auto"/>
            </w:tcBorders>
            <w:shd w:val="clear" w:color="auto" w:fill="auto"/>
            <w:vAlign w:val="center"/>
            <w:hideMark/>
          </w:tcPr>
          <w:p w14:paraId="47D5BD20" w14:textId="77777777" w:rsidR="00B2574A" w:rsidRPr="006679B5" w:rsidRDefault="00B2574A" w:rsidP="00DE5664">
            <w:pPr>
              <w:jc w:val="right"/>
              <w:rPr>
                <w:rFonts w:ascii="Arial" w:hAnsi="Arial" w:cs="Arial"/>
                <w:color w:val="000000"/>
                <w:sz w:val="20"/>
              </w:rPr>
            </w:pPr>
            <w:r w:rsidRPr="006679B5">
              <w:rPr>
                <w:rFonts w:ascii="Arial" w:hAnsi="Arial" w:cs="Arial"/>
                <w:color w:val="000000"/>
                <w:sz w:val="20"/>
              </w:rPr>
              <w:t>33.7%</w:t>
            </w:r>
          </w:p>
        </w:tc>
        <w:tc>
          <w:tcPr>
            <w:tcW w:w="1170" w:type="dxa"/>
            <w:tcBorders>
              <w:top w:val="nil"/>
              <w:left w:val="nil"/>
              <w:bottom w:val="single" w:sz="8" w:space="0" w:color="auto"/>
              <w:right w:val="single" w:sz="8" w:space="0" w:color="auto"/>
            </w:tcBorders>
            <w:shd w:val="clear" w:color="auto" w:fill="auto"/>
            <w:vAlign w:val="center"/>
            <w:hideMark/>
          </w:tcPr>
          <w:p w14:paraId="6DC54698" w14:textId="77777777" w:rsidR="00B2574A" w:rsidRPr="006679B5" w:rsidRDefault="00B2574A" w:rsidP="00DE5664">
            <w:pPr>
              <w:jc w:val="right"/>
              <w:rPr>
                <w:rFonts w:ascii="Arial" w:hAnsi="Arial" w:cs="Arial"/>
                <w:color w:val="000000"/>
                <w:sz w:val="20"/>
              </w:rPr>
            </w:pPr>
            <w:r w:rsidRPr="006679B5">
              <w:rPr>
                <w:rFonts w:ascii="Arial" w:hAnsi="Arial" w:cs="Arial"/>
                <w:color w:val="000000"/>
                <w:sz w:val="20"/>
              </w:rPr>
              <w:t>37.1%</w:t>
            </w:r>
          </w:p>
        </w:tc>
      </w:tr>
    </w:tbl>
    <w:p w14:paraId="42137863" w14:textId="76D6650F" w:rsidR="00203203" w:rsidRDefault="00203203" w:rsidP="00CA6C67">
      <w:pPr>
        <w:spacing w:after="120"/>
        <w:jc w:val="center"/>
        <w:rPr>
          <w:rFonts w:ascii="Arial" w:hAnsi="Arial" w:cs="Arial"/>
          <w:b/>
        </w:rPr>
      </w:pPr>
    </w:p>
    <w:p w14:paraId="39A2C5C2" w14:textId="0088B199" w:rsidR="00191CBF" w:rsidRDefault="00713AE0" w:rsidP="003F5297">
      <w:pPr>
        <w:spacing w:line="264" w:lineRule="auto"/>
        <w:contextualSpacing/>
        <w:jc w:val="both"/>
        <w:rPr>
          <w:rFonts w:ascii="Arial" w:hAnsi="Arial" w:cs="Arial"/>
          <w:bCs/>
          <w:iCs/>
        </w:rPr>
      </w:pPr>
      <w:r>
        <w:rPr>
          <w:rFonts w:ascii="Arial" w:hAnsi="Arial" w:cs="Arial"/>
          <w:bCs/>
          <w:iCs/>
        </w:rPr>
        <w:t>As a means</w:t>
      </w:r>
      <w:r w:rsidR="00164890">
        <w:rPr>
          <w:rFonts w:ascii="Arial" w:hAnsi="Arial" w:cs="Arial"/>
          <w:bCs/>
          <w:iCs/>
        </w:rPr>
        <w:t xml:space="preserve"> of illustrating </w:t>
      </w:r>
      <w:r>
        <w:rPr>
          <w:rFonts w:ascii="Arial" w:hAnsi="Arial" w:cs="Arial"/>
          <w:bCs/>
          <w:iCs/>
        </w:rPr>
        <w:t xml:space="preserve">the purposes </w:t>
      </w:r>
      <w:r w:rsidR="00AF0ED9">
        <w:rPr>
          <w:rFonts w:ascii="Arial" w:hAnsi="Arial" w:cs="Arial"/>
          <w:bCs/>
          <w:iCs/>
        </w:rPr>
        <w:t xml:space="preserve">that the capital budget supports, the agency has categorized its capital expenditures according to </w:t>
      </w:r>
      <w:r w:rsidR="00696F35">
        <w:rPr>
          <w:rFonts w:ascii="Arial" w:hAnsi="Arial" w:cs="Arial"/>
          <w:bCs/>
          <w:iCs/>
        </w:rPr>
        <w:t>major functional areas, or “</w:t>
      </w:r>
      <w:r w:rsidR="00CF4734">
        <w:rPr>
          <w:rFonts w:ascii="Arial" w:hAnsi="Arial" w:cs="Arial"/>
          <w:bCs/>
          <w:iCs/>
        </w:rPr>
        <w:t>portfolios</w:t>
      </w:r>
      <w:r w:rsidR="00696F35">
        <w:rPr>
          <w:rFonts w:ascii="Arial" w:hAnsi="Arial" w:cs="Arial"/>
          <w:bCs/>
          <w:iCs/>
        </w:rPr>
        <w:t xml:space="preserve">”.  </w:t>
      </w:r>
      <w:r w:rsidR="00595655">
        <w:rPr>
          <w:rFonts w:ascii="Arial" w:hAnsi="Arial" w:cs="Arial"/>
          <w:bCs/>
          <w:iCs/>
        </w:rPr>
        <w:t xml:space="preserve">The </w:t>
      </w:r>
      <w:r w:rsidR="00CF4734">
        <w:rPr>
          <w:rFonts w:ascii="Arial" w:hAnsi="Arial" w:cs="Arial"/>
          <w:bCs/>
          <w:iCs/>
        </w:rPr>
        <w:t>portfolios</w:t>
      </w:r>
      <w:r w:rsidR="00016089">
        <w:rPr>
          <w:rFonts w:ascii="Arial" w:hAnsi="Arial" w:cs="Arial"/>
          <w:bCs/>
          <w:iCs/>
        </w:rPr>
        <w:t xml:space="preserve"> include:</w:t>
      </w:r>
    </w:p>
    <w:p w14:paraId="55EBB792" w14:textId="5C0BF87A" w:rsidR="00016089" w:rsidRDefault="00016089" w:rsidP="003F5297">
      <w:pPr>
        <w:pStyle w:val="ListParagraph"/>
        <w:numPr>
          <w:ilvl w:val="0"/>
          <w:numId w:val="7"/>
        </w:numPr>
        <w:spacing w:line="264" w:lineRule="auto"/>
        <w:contextualSpacing/>
        <w:jc w:val="both"/>
        <w:rPr>
          <w:rFonts w:ascii="Arial" w:hAnsi="Arial" w:cs="Arial"/>
          <w:bCs/>
          <w:iCs/>
        </w:rPr>
      </w:pPr>
      <w:r w:rsidRPr="00DE5664">
        <w:rPr>
          <w:rFonts w:ascii="Arial" w:hAnsi="Arial" w:cs="Arial"/>
          <w:bCs/>
          <w:iCs/>
          <w:u w:val="single"/>
        </w:rPr>
        <w:lastRenderedPageBreak/>
        <w:t>Regulatory</w:t>
      </w:r>
      <w:r w:rsidR="00237A67">
        <w:rPr>
          <w:rFonts w:ascii="Arial" w:hAnsi="Arial" w:cs="Arial"/>
          <w:bCs/>
          <w:iCs/>
        </w:rPr>
        <w:t xml:space="preserve"> – </w:t>
      </w:r>
      <w:r w:rsidR="00F35293">
        <w:rPr>
          <w:rFonts w:ascii="Arial" w:hAnsi="Arial" w:cs="Arial"/>
          <w:bCs/>
          <w:iCs/>
        </w:rPr>
        <w:t>Proje</w:t>
      </w:r>
      <w:r w:rsidR="00C311D2">
        <w:rPr>
          <w:rFonts w:ascii="Arial" w:hAnsi="Arial" w:cs="Arial"/>
          <w:bCs/>
          <w:iCs/>
        </w:rPr>
        <w:t>cts and programs that respond to regulatory, permit</w:t>
      </w:r>
      <w:r w:rsidR="00345BE1">
        <w:rPr>
          <w:rFonts w:ascii="Arial" w:hAnsi="Arial" w:cs="Arial"/>
          <w:bCs/>
          <w:iCs/>
        </w:rPr>
        <w:t>, or consent decree legal deadlines</w:t>
      </w:r>
    </w:p>
    <w:p w14:paraId="462AB25C" w14:textId="524857E8" w:rsidR="00345BE1" w:rsidRDefault="00345BE1" w:rsidP="003F5297">
      <w:pPr>
        <w:pStyle w:val="ListParagraph"/>
        <w:numPr>
          <w:ilvl w:val="0"/>
          <w:numId w:val="7"/>
        </w:numPr>
        <w:spacing w:line="264" w:lineRule="auto"/>
        <w:contextualSpacing/>
        <w:jc w:val="both"/>
        <w:rPr>
          <w:rFonts w:ascii="Arial" w:hAnsi="Arial" w:cs="Arial"/>
          <w:bCs/>
          <w:iCs/>
        </w:rPr>
      </w:pPr>
      <w:r w:rsidRPr="00DE5664">
        <w:rPr>
          <w:rFonts w:ascii="Arial" w:hAnsi="Arial" w:cs="Arial"/>
          <w:bCs/>
          <w:iCs/>
          <w:u w:val="single"/>
        </w:rPr>
        <w:t>Asset Management</w:t>
      </w:r>
      <w:r w:rsidR="00F25A88" w:rsidRPr="00DE5664">
        <w:rPr>
          <w:rFonts w:ascii="Arial" w:hAnsi="Arial" w:cs="Arial"/>
          <w:bCs/>
          <w:iCs/>
          <w:u w:val="single"/>
        </w:rPr>
        <w:t>: Plants and Conveyance</w:t>
      </w:r>
      <w:r w:rsidR="00237A67">
        <w:rPr>
          <w:rFonts w:ascii="Arial" w:hAnsi="Arial" w:cs="Arial"/>
          <w:bCs/>
          <w:iCs/>
        </w:rPr>
        <w:t xml:space="preserve"> – </w:t>
      </w:r>
      <w:r w:rsidR="00B86DEC">
        <w:rPr>
          <w:rFonts w:ascii="Arial" w:hAnsi="Arial" w:cs="Arial"/>
          <w:bCs/>
          <w:iCs/>
        </w:rPr>
        <w:t xml:space="preserve">Rehabilitation or replacement of critical assets at treatment plants or </w:t>
      </w:r>
      <w:r w:rsidR="007F60BF">
        <w:rPr>
          <w:rFonts w:ascii="Arial" w:hAnsi="Arial" w:cs="Arial"/>
          <w:bCs/>
          <w:iCs/>
        </w:rPr>
        <w:t>in wastewater conveyance network</w:t>
      </w:r>
    </w:p>
    <w:p w14:paraId="0A6C17C6" w14:textId="3C613539" w:rsidR="007F60BF" w:rsidRDefault="003E3180" w:rsidP="003F5297">
      <w:pPr>
        <w:pStyle w:val="ListParagraph"/>
        <w:numPr>
          <w:ilvl w:val="0"/>
          <w:numId w:val="7"/>
        </w:numPr>
        <w:spacing w:line="264" w:lineRule="auto"/>
        <w:contextualSpacing/>
        <w:jc w:val="both"/>
        <w:rPr>
          <w:rFonts w:ascii="Arial" w:hAnsi="Arial" w:cs="Arial"/>
          <w:bCs/>
          <w:iCs/>
        </w:rPr>
      </w:pPr>
      <w:r w:rsidRPr="00DE5664">
        <w:rPr>
          <w:rFonts w:ascii="Arial" w:hAnsi="Arial" w:cs="Arial"/>
          <w:bCs/>
          <w:iCs/>
          <w:u w:val="single"/>
        </w:rPr>
        <w:t>Resiliency</w:t>
      </w:r>
      <w:r w:rsidR="00237A67">
        <w:rPr>
          <w:rFonts w:ascii="Arial" w:hAnsi="Arial" w:cs="Arial"/>
          <w:bCs/>
          <w:iCs/>
        </w:rPr>
        <w:t xml:space="preserve"> – </w:t>
      </w:r>
      <w:r w:rsidR="00C26B5D">
        <w:rPr>
          <w:rFonts w:ascii="Arial" w:hAnsi="Arial" w:cs="Arial"/>
          <w:bCs/>
          <w:iCs/>
        </w:rPr>
        <w:t>Improve the survivability and operability of core assets against natural disasters</w:t>
      </w:r>
      <w:r w:rsidR="007A65B3">
        <w:rPr>
          <w:rFonts w:ascii="Arial" w:hAnsi="Arial" w:cs="Arial"/>
          <w:bCs/>
          <w:iCs/>
        </w:rPr>
        <w:t xml:space="preserve"> by addressing known deficiencies</w:t>
      </w:r>
    </w:p>
    <w:p w14:paraId="00AB17C1" w14:textId="7843B2A8" w:rsidR="003E3180" w:rsidRDefault="00C2210C" w:rsidP="003F5297">
      <w:pPr>
        <w:pStyle w:val="ListParagraph"/>
        <w:numPr>
          <w:ilvl w:val="0"/>
          <w:numId w:val="7"/>
        </w:numPr>
        <w:spacing w:line="264" w:lineRule="auto"/>
        <w:contextualSpacing/>
        <w:jc w:val="both"/>
        <w:rPr>
          <w:rFonts w:ascii="Arial" w:hAnsi="Arial" w:cs="Arial"/>
          <w:bCs/>
          <w:iCs/>
        </w:rPr>
      </w:pPr>
      <w:r w:rsidRPr="00DE5664">
        <w:rPr>
          <w:rFonts w:ascii="Arial" w:hAnsi="Arial" w:cs="Arial"/>
          <w:bCs/>
          <w:iCs/>
          <w:u w:val="single"/>
        </w:rPr>
        <w:t>Operational Enhancements</w:t>
      </w:r>
      <w:r w:rsidR="00237A67">
        <w:rPr>
          <w:rFonts w:ascii="Arial" w:hAnsi="Arial" w:cs="Arial"/>
          <w:bCs/>
          <w:iCs/>
        </w:rPr>
        <w:t xml:space="preserve"> – </w:t>
      </w:r>
      <w:r>
        <w:rPr>
          <w:rFonts w:ascii="Arial" w:hAnsi="Arial" w:cs="Arial"/>
          <w:bCs/>
          <w:iCs/>
        </w:rPr>
        <w:t>Reduce operating costs at treatment plants through projects that create efficiencies</w:t>
      </w:r>
    </w:p>
    <w:p w14:paraId="5D59D0CB" w14:textId="5829C6E6" w:rsidR="007A65B3" w:rsidRDefault="00AE1EFA" w:rsidP="003F5297">
      <w:pPr>
        <w:pStyle w:val="ListParagraph"/>
        <w:numPr>
          <w:ilvl w:val="0"/>
          <w:numId w:val="7"/>
        </w:numPr>
        <w:spacing w:line="264" w:lineRule="auto"/>
        <w:contextualSpacing/>
        <w:jc w:val="both"/>
        <w:rPr>
          <w:rFonts w:ascii="Arial" w:hAnsi="Arial" w:cs="Arial"/>
          <w:bCs/>
          <w:iCs/>
        </w:rPr>
      </w:pPr>
      <w:r w:rsidRPr="00DE5664">
        <w:rPr>
          <w:rFonts w:ascii="Arial" w:hAnsi="Arial" w:cs="Arial"/>
          <w:bCs/>
          <w:iCs/>
          <w:u w:val="single"/>
        </w:rPr>
        <w:t>Capacity Improvement</w:t>
      </w:r>
      <w:r w:rsidR="00237A67">
        <w:rPr>
          <w:rFonts w:ascii="Arial" w:hAnsi="Arial" w:cs="Arial"/>
          <w:bCs/>
          <w:iCs/>
        </w:rPr>
        <w:t xml:space="preserve"> – </w:t>
      </w:r>
      <w:r>
        <w:rPr>
          <w:rFonts w:ascii="Arial" w:hAnsi="Arial" w:cs="Arial"/>
          <w:bCs/>
          <w:iCs/>
        </w:rPr>
        <w:t>Increase capacity at WTD facilities to accommodate growth</w:t>
      </w:r>
    </w:p>
    <w:p w14:paraId="698CA564" w14:textId="55C046BC" w:rsidR="00E51EF5" w:rsidRPr="000E5723" w:rsidRDefault="00D47B1E" w:rsidP="003F5297">
      <w:pPr>
        <w:pStyle w:val="ListParagraph"/>
        <w:numPr>
          <w:ilvl w:val="0"/>
          <w:numId w:val="7"/>
        </w:numPr>
        <w:spacing w:line="264" w:lineRule="auto"/>
        <w:contextualSpacing/>
        <w:jc w:val="both"/>
        <w:rPr>
          <w:rFonts w:ascii="Arial" w:hAnsi="Arial" w:cs="Arial"/>
          <w:bCs/>
          <w:iCs/>
        </w:rPr>
      </w:pPr>
      <w:r w:rsidRPr="00DE5664">
        <w:rPr>
          <w:rFonts w:ascii="Arial" w:hAnsi="Arial" w:cs="Arial"/>
          <w:bCs/>
          <w:iCs/>
          <w:u w:val="single"/>
        </w:rPr>
        <w:t>Resource Recovery</w:t>
      </w:r>
      <w:r w:rsidR="00237A67" w:rsidRPr="005626EF">
        <w:rPr>
          <w:rFonts w:ascii="Arial" w:hAnsi="Arial" w:cs="Arial"/>
          <w:bCs/>
          <w:iCs/>
        </w:rPr>
        <w:t xml:space="preserve"> – </w:t>
      </w:r>
      <w:r>
        <w:rPr>
          <w:rFonts w:ascii="Arial" w:hAnsi="Arial" w:cs="Arial"/>
          <w:bCs/>
          <w:iCs/>
        </w:rPr>
        <w:t xml:space="preserve">Projects that reduce energy use or recover </w:t>
      </w:r>
      <w:r w:rsidR="00A43CC2">
        <w:rPr>
          <w:rFonts w:ascii="Arial" w:hAnsi="Arial" w:cs="Arial"/>
          <w:bCs/>
          <w:iCs/>
        </w:rPr>
        <w:t>resources with value</w:t>
      </w:r>
      <w:r w:rsidR="00151A5D">
        <w:rPr>
          <w:rFonts w:ascii="Arial" w:hAnsi="Arial" w:cs="Arial"/>
          <w:bCs/>
          <w:iCs/>
        </w:rPr>
        <w:t xml:space="preserve"> from wastewater such as methane gas or reclaimed water</w:t>
      </w:r>
    </w:p>
    <w:p w14:paraId="23541CB4" w14:textId="58417477" w:rsidR="00E51EF5" w:rsidRDefault="00E51EF5" w:rsidP="003F5297">
      <w:pPr>
        <w:spacing w:line="264" w:lineRule="auto"/>
        <w:contextualSpacing/>
        <w:jc w:val="both"/>
        <w:rPr>
          <w:rFonts w:ascii="Arial" w:hAnsi="Arial" w:cs="Arial"/>
          <w:bCs/>
          <w:iCs/>
        </w:rPr>
      </w:pPr>
    </w:p>
    <w:p w14:paraId="621DDBAF" w14:textId="428F1760" w:rsidR="004D0826" w:rsidRPr="00E51EF5" w:rsidRDefault="00720B66" w:rsidP="003F5297">
      <w:pPr>
        <w:spacing w:line="264" w:lineRule="auto"/>
        <w:contextualSpacing/>
        <w:jc w:val="both"/>
        <w:rPr>
          <w:rFonts w:ascii="Arial" w:hAnsi="Arial" w:cs="Arial"/>
          <w:bCs/>
          <w:iCs/>
        </w:rPr>
      </w:pPr>
      <w:r>
        <w:rPr>
          <w:rFonts w:ascii="Arial" w:hAnsi="Arial" w:cs="Arial"/>
          <w:bCs/>
          <w:iCs/>
        </w:rPr>
        <w:t>Chart 2</w:t>
      </w:r>
      <w:r w:rsidR="004D0826">
        <w:rPr>
          <w:rFonts w:ascii="Arial" w:hAnsi="Arial" w:cs="Arial"/>
          <w:bCs/>
          <w:iCs/>
        </w:rPr>
        <w:t xml:space="preserve"> below depicts</w:t>
      </w:r>
      <w:r w:rsidR="007C2A35">
        <w:rPr>
          <w:rFonts w:ascii="Arial" w:hAnsi="Arial" w:cs="Arial"/>
          <w:bCs/>
          <w:iCs/>
        </w:rPr>
        <w:t xml:space="preserve"> the anticipated proportional growth in expenditures </w:t>
      </w:r>
      <w:r w:rsidR="00807816">
        <w:rPr>
          <w:rFonts w:ascii="Arial" w:hAnsi="Arial" w:cs="Arial"/>
          <w:bCs/>
          <w:iCs/>
        </w:rPr>
        <w:t xml:space="preserve">in the </w:t>
      </w:r>
      <w:r w:rsidR="00CF4734">
        <w:rPr>
          <w:rFonts w:ascii="Arial" w:hAnsi="Arial" w:cs="Arial"/>
          <w:bCs/>
          <w:iCs/>
        </w:rPr>
        <w:t>portfolios</w:t>
      </w:r>
      <w:r w:rsidR="002B17EC">
        <w:rPr>
          <w:rFonts w:ascii="Arial" w:hAnsi="Arial" w:cs="Arial"/>
          <w:bCs/>
          <w:iCs/>
        </w:rPr>
        <w:t>,</w:t>
      </w:r>
      <w:r w:rsidR="00807816">
        <w:rPr>
          <w:rFonts w:ascii="Arial" w:hAnsi="Arial" w:cs="Arial"/>
          <w:bCs/>
          <w:iCs/>
        </w:rPr>
        <w:t xml:space="preserve"> as well as substantial growth in </w:t>
      </w:r>
      <w:r w:rsidR="001B20BD">
        <w:rPr>
          <w:rFonts w:ascii="Arial" w:hAnsi="Arial" w:cs="Arial"/>
          <w:bCs/>
          <w:iCs/>
        </w:rPr>
        <w:t>projected</w:t>
      </w:r>
      <w:r w:rsidR="00807816">
        <w:rPr>
          <w:rFonts w:ascii="Arial" w:hAnsi="Arial" w:cs="Arial"/>
          <w:bCs/>
          <w:iCs/>
        </w:rPr>
        <w:t xml:space="preserve"> </w:t>
      </w:r>
      <w:r w:rsidR="002B17EC">
        <w:rPr>
          <w:rFonts w:ascii="Arial" w:hAnsi="Arial" w:cs="Arial"/>
          <w:bCs/>
          <w:iCs/>
        </w:rPr>
        <w:t xml:space="preserve">total </w:t>
      </w:r>
      <w:r w:rsidR="00807816">
        <w:rPr>
          <w:rFonts w:ascii="Arial" w:hAnsi="Arial" w:cs="Arial"/>
          <w:bCs/>
          <w:iCs/>
        </w:rPr>
        <w:t>capital expenditures</w:t>
      </w:r>
      <w:r w:rsidR="001B20BD">
        <w:rPr>
          <w:rFonts w:ascii="Arial" w:hAnsi="Arial" w:cs="Arial"/>
          <w:bCs/>
          <w:iCs/>
        </w:rPr>
        <w:t>.</w:t>
      </w:r>
      <w:r w:rsidR="00440316">
        <w:rPr>
          <w:rFonts w:ascii="Arial" w:hAnsi="Arial" w:cs="Arial"/>
          <w:bCs/>
          <w:iCs/>
        </w:rPr>
        <w:t xml:space="preserve">  </w:t>
      </w:r>
      <w:r w:rsidR="00064B2D">
        <w:rPr>
          <w:rFonts w:ascii="Arial" w:hAnsi="Arial" w:cs="Arial"/>
          <w:bCs/>
          <w:iCs/>
        </w:rPr>
        <w:t>Asset management at treatment plants</w:t>
      </w:r>
      <w:r w:rsidR="00B42A30">
        <w:rPr>
          <w:rFonts w:ascii="Arial" w:hAnsi="Arial" w:cs="Arial"/>
          <w:bCs/>
          <w:iCs/>
        </w:rPr>
        <w:t>, responding to the aging of the system</w:t>
      </w:r>
      <w:r w:rsidR="00064B2D">
        <w:rPr>
          <w:rFonts w:ascii="Arial" w:hAnsi="Arial" w:cs="Arial"/>
          <w:bCs/>
          <w:iCs/>
        </w:rPr>
        <w:t>, and regulatory projects</w:t>
      </w:r>
      <w:r w:rsidR="00B42A30">
        <w:rPr>
          <w:rFonts w:ascii="Arial" w:hAnsi="Arial" w:cs="Arial"/>
          <w:bCs/>
          <w:iCs/>
        </w:rPr>
        <w:t xml:space="preserve"> required by </w:t>
      </w:r>
      <w:r w:rsidR="00243E7E">
        <w:rPr>
          <w:rFonts w:ascii="Arial" w:hAnsi="Arial" w:cs="Arial"/>
          <w:bCs/>
          <w:iCs/>
        </w:rPr>
        <w:t xml:space="preserve">federal or state regulatory entities, </w:t>
      </w:r>
      <w:r w:rsidR="00AF6A0E">
        <w:rPr>
          <w:rFonts w:ascii="Arial" w:hAnsi="Arial" w:cs="Arial"/>
          <w:bCs/>
          <w:iCs/>
        </w:rPr>
        <w:t xml:space="preserve">show the greatest expenditure growth through 2031, with </w:t>
      </w:r>
      <w:r w:rsidR="00913B3A">
        <w:rPr>
          <w:rFonts w:ascii="Arial" w:hAnsi="Arial" w:cs="Arial"/>
          <w:bCs/>
          <w:iCs/>
        </w:rPr>
        <w:t>projects to increase the capacity of treatment plants and pipelines</w:t>
      </w:r>
      <w:r w:rsidR="0059767A">
        <w:rPr>
          <w:rFonts w:ascii="Arial" w:hAnsi="Arial" w:cs="Arial"/>
          <w:bCs/>
          <w:iCs/>
        </w:rPr>
        <w:t>, associated with population growth</w:t>
      </w:r>
      <w:r w:rsidR="00BC4CFD">
        <w:rPr>
          <w:rFonts w:ascii="Arial" w:hAnsi="Arial" w:cs="Arial"/>
          <w:bCs/>
          <w:iCs/>
        </w:rPr>
        <w:t>, also showing major increases.</w:t>
      </w:r>
    </w:p>
    <w:p w14:paraId="29F90BFD" w14:textId="7965186C" w:rsidR="00191CBF" w:rsidRDefault="00191CBF" w:rsidP="00CA6C67">
      <w:pPr>
        <w:contextualSpacing/>
        <w:jc w:val="both"/>
        <w:rPr>
          <w:rFonts w:ascii="Arial" w:hAnsi="Arial" w:cs="Arial"/>
          <w:b/>
          <w:i/>
        </w:rPr>
      </w:pPr>
    </w:p>
    <w:p w14:paraId="795577A1" w14:textId="77777777" w:rsidR="003F5297" w:rsidRDefault="008F6A51" w:rsidP="008F6A51">
      <w:pPr>
        <w:contextualSpacing/>
        <w:jc w:val="center"/>
        <w:rPr>
          <w:rFonts w:ascii="Arial" w:hAnsi="Arial" w:cs="Arial"/>
          <w:b/>
          <w:iCs/>
        </w:rPr>
      </w:pPr>
      <w:r>
        <w:rPr>
          <w:rFonts w:ascii="Arial" w:hAnsi="Arial" w:cs="Arial"/>
          <w:b/>
          <w:iCs/>
        </w:rPr>
        <w:t xml:space="preserve">Chart 2.  </w:t>
      </w:r>
    </w:p>
    <w:p w14:paraId="3666EEA1" w14:textId="5EDB5911" w:rsidR="00DF6728" w:rsidRDefault="007B2CB4" w:rsidP="008F6A51">
      <w:pPr>
        <w:contextualSpacing/>
        <w:jc w:val="center"/>
        <w:rPr>
          <w:rFonts w:ascii="Arial" w:hAnsi="Arial" w:cs="Arial"/>
          <w:b/>
          <w:iCs/>
        </w:rPr>
      </w:pPr>
      <w:r>
        <w:rPr>
          <w:rFonts w:ascii="Arial" w:hAnsi="Arial" w:cs="Arial"/>
          <w:b/>
          <w:iCs/>
        </w:rPr>
        <w:t>Capital Expenditure Growth by Portfolio</w:t>
      </w:r>
    </w:p>
    <w:p w14:paraId="1FF4CB80" w14:textId="77777777" w:rsidR="003F5297" w:rsidRPr="008F6A51" w:rsidRDefault="003F5297" w:rsidP="008F6A51">
      <w:pPr>
        <w:contextualSpacing/>
        <w:jc w:val="center"/>
        <w:rPr>
          <w:rFonts w:ascii="Arial" w:hAnsi="Arial" w:cs="Arial"/>
          <w:b/>
          <w:iCs/>
        </w:rPr>
      </w:pPr>
    </w:p>
    <w:p w14:paraId="1378D39C" w14:textId="1D5AC2F1" w:rsidR="00051B8E" w:rsidRDefault="00051B8E" w:rsidP="003F5297">
      <w:pPr>
        <w:contextualSpacing/>
        <w:jc w:val="center"/>
        <w:rPr>
          <w:rFonts w:ascii="Arial" w:hAnsi="Arial" w:cs="Arial"/>
          <w:b/>
          <w:i/>
        </w:rPr>
      </w:pPr>
      <w:r w:rsidRPr="00CA423A">
        <w:rPr>
          <w:rFonts w:asciiTheme="minorHAnsi" w:hAnsiTheme="minorHAnsi" w:cstheme="minorHAnsi"/>
          <w:noProof/>
        </w:rPr>
        <w:drawing>
          <wp:inline distT="0" distB="0" distL="0" distR="0" wp14:anchorId="3DF56507" wp14:editId="096DFD3D">
            <wp:extent cx="6183881" cy="343852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3881" cy="3438525"/>
                    </a:xfrm>
                    <a:prstGeom prst="rect">
                      <a:avLst/>
                    </a:prstGeom>
                    <a:noFill/>
                    <a:ln>
                      <a:noFill/>
                    </a:ln>
                  </pic:spPr>
                </pic:pic>
              </a:graphicData>
            </a:graphic>
          </wp:inline>
        </w:drawing>
      </w:r>
    </w:p>
    <w:p w14:paraId="21B1D43C" w14:textId="36634917" w:rsidR="00CA6C67" w:rsidRDefault="00CA6C67" w:rsidP="00CA6C67">
      <w:pPr>
        <w:contextualSpacing/>
        <w:jc w:val="both"/>
        <w:rPr>
          <w:rFonts w:ascii="Arial" w:hAnsi="Arial" w:cs="Arial"/>
          <w:b/>
          <w:i/>
        </w:rPr>
      </w:pPr>
    </w:p>
    <w:p w14:paraId="25E28DC9" w14:textId="14E36D76" w:rsidR="00CA6C67" w:rsidRPr="006202AD" w:rsidRDefault="008E693C" w:rsidP="003F5297">
      <w:pPr>
        <w:spacing w:line="264" w:lineRule="auto"/>
        <w:contextualSpacing/>
        <w:jc w:val="both"/>
        <w:rPr>
          <w:rFonts w:ascii="Arial" w:hAnsi="Arial" w:cs="Arial"/>
          <w:bCs/>
          <w:iCs/>
        </w:rPr>
      </w:pPr>
      <w:r w:rsidRPr="006202AD">
        <w:rPr>
          <w:rFonts w:ascii="Arial" w:hAnsi="Arial" w:cs="Arial"/>
          <w:bCs/>
          <w:iCs/>
        </w:rPr>
        <w:t xml:space="preserve">As noted above, </w:t>
      </w:r>
      <w:r w:rsidR="005C36AB" w:rsidRPr="006202AD">
        <w:rPr>
          <w:rFonts w:ascii="Arial" w:hAnsi="Arial" w:cs="Arial"/>
          <w:bCs/>
          <w:iCs/>
        </w:rPr>
        <w:t xml:space="preserve">upgrades </w:t>
      </w:r>
      <w:r w:rsidRPr="006202AD">
        <w:rPr>
          <w:rFonts w:ascii="Arial" w:hAnsi="Arial" w:cs="Arial"/>
          <w:bCs/>
          <w:iCs/>
        </w:rPr>
        <w:t>the wastewater conveyance system</w:t>
      </w:r>
      <w:r w:rsidR="005C36AB" w:rsidRPr="006202AD">
        <w:rPr>
          <w:rFonts w:ascii="Arial" w:hAnsi="Arial" w:cs="Arial"/>
          <w:bCs/>
          <w:iCs/>
        </w:rPr>
        <w:t xml:space="preserve"> is one of the </w:t>
      </w:r>
      <w:r w:rsidR="0098192F" w:rsidRPr="006202AD">
        <w:rPr>
          <w:rFonts w:ascii="Arial" w:hAnsi="Arial" w:cs="Arial"/>
          <w:bCs/>
          <w:iCs/>
        </w:rPr>
        <w:t xml:space="preserve">major capital expenditures required </w:t>
      </w:r>
      <w:r w:rsidR="00F1100C" w:rsidRPr="006202AD">
        <w:rPr>
          <w:rFonts w:ascii="Arial" w:hAnsi="Arial" w:cs="Arial"/>
          <w:bCs/>
          <w:iCs/>
        </w:rPr>
        <w:t xml:space="preserve">to manage the system. </w:t>
      </w:r>
      <w:r w:rsidR="005C36AB" w:rsidRPr="006202AD">
        <w:rPr>
          <w:rFonts w:ascii="Arial" w:hAnsi="Arial" w:cs="Arial"/>
          <w:bCs/>
          <w:iCs/>
        </w:rPr>
        <w:t xml:space="preserve"> </w:t>
      </w:r>
      <w:r w:rsidR="00654592" w:rsidRPr="006202AD">
        <w:rPr>
          <w:rFonts w:ascii="Arial" w:hAnsi="Arial" w:cs="Arial"/>
          <w:bCs/>
          <w:iCs/>
        </w:rPr>
        <w:t xml:space="preserve">Chart </w:t>
      </w:r>
      <w:r w:rsidR="007B2CB4">
        <w:rPr>
          <w:rFonts w:ascii="Arial" w:hAnsi="Arial" w:cs="Arial"/>
          <w:bCs/>
          <w:iCs/>
        </w:rPr>
        <w:t>3</w:t>
      </w:r>
      <w:r w:rsidR="00654592" w:rsidRPr="006202AD">
        <w:rPr>
          <w:rFonts w:ascii="Arial" w:hAnsi="Arial" w:cs="Arial"/>
          <w:bCs/>
          <w:iCs/>
        </w:rPr>
        <w:t xml:space="preserve"> below</w:t>
      </w:r>
      <w:r w:rsidR="00CA6C67" w:rsidRPr="006202AD">
        <w:rPr>
          <w:rFonts w:ascii="Arial" w:hAnsi="Arial" w:cs="Arial"/>
          <w:bCs/>
          <w:iCs/>
        </w:rPr>
        <w:t xml:space="preserve"> </w:t>
      </w:r>
      <w:r w:rsidR="004D1430" w:rsidRPr="006202AD">
        <w:rPr>
          <w:rFonts w:ascii="Arial" w:hAnsi="Arial" w:cs="Arial"/>
          <w:bCs/>
          <w:iCs/>
        </w:rPr>
        <w:t xml:space="preserve">illustrates </w:t>
      </w:r>
      <w:r w:rsidR="00CA6C67" w:rsidRPr="006202AD">
        <w:rPr>
          <w:rFonts w:ascii="Arial" w:hAnsi="Arial" w:cs="Arial"/>
          <w:bCs/>
          <w:iCs/>
        </w:rPr>
        <w:t xml:space="preserve">the age </w:t>
      </w:r>
      <w:r w:rsidR="004D1430" w:rsidRPr="006202AD">
        <w:rPr>
          <w:rFonts w:ascii="Arial" w:hAnsi="Arial" w:cs="Arial"/>
          <w:bCs/>
          <w:iCs/>
        </w:rPr>
        <w:t xml:space="preserve">range </w:t>
      </w:r>
      <w:r w:rsidR="00CA6C67" w:rsidRPr="006202AD">
        <w:rPr>
          <w:rFonts w:ascii="Arial" w:hAnsi="Arial" w:cs="Arial"/>
          <w:bCs/>
          <w:iCs/>
        </w:rPr>
        <w:t>of interceptor conveyance lines throughout the system</w:t>
      </w:r>
      <w:r w:rsidR="00237A67">
        <w:rPr>
          <w:rFonts w:ascii="Arial" w:hAnsi="Arial" w:cs="Arial"/>
          <w:bCs/>
          <w:iCs/>
        </w:rPr>
        <w:t>.</w:t>
      </w:r>
    </w:p>
    <w:p w14:paraId="4833065E" w14:textId="77777777" w:rsidR="00AC02A3" w:rsidRDefault="00AC02A3" w:rsidP="003F5297">
      <w:pPr>
        <w:rPr>
          <w:rFonts w:ascii="Arial" w:hAnsi="Arial" w:cs="Arial"/>
          <w:b/>
        </w:rPr>
      </w:pPr>
    </w:p>
    <w:p w14:paraId="6E25FC97" w14:textId="77777777" w:rsidR="003F5297" w:rsidRDefault="005A3711" w:rsidP="00CA6C67">
      <w:pPr>
        <w:jc w:val="center"/>
        <w:rPr>
          <w:rFonts w:ascii="Arial" w:hAnsi="Arial" w:cs="Arial"/>
          <w:b/>
        </w:rPr>
      </w:pPr>
      <w:r>
        <w:rPr>
          <w:rFonts w:ascii="Arial" w:hAnsi="Arial" w:cs="Arial"/>
          <w:b/>
        </w:rPr>
        <w:t>C</w:t>
      </w:r>
      <w:r w:rsidR="00CA6C67">
        <w:rPr>
          <w:rFonts w:ascii="Arial" w:hAnsi="Arial" w:cs="Arial"/>
          <w:b/>
        </w:rPr>
        <w:t xml:space="preserve">hart </w:t>
      </w:r>
      <w:r w:rsidR="007B2CB4">
        <w:rPr>
          <w:rFonts w:ascii="Arial" w:hAnsi="Arial" w:cs="Arial"/>
          <w:b/>
        </w:rPr>
        <w:t>3.</w:t>
      </w:r>
      <w:r w:rsidR="00CA6C67">
        <w:rPr>
          <w:rFonts w:ascii="Arial" w:hAnsi="Arial" w:cs="Arial"/>
          <w:b/>
        </w:rPr>
        <w:t xml:space="preserve">  </w:t>
      </w:r>
    </w:p>
    <w:p w14:paraId="52731D92" w14:textId="42581FCC" w:rsidR="00CA6C67" w:rsidRDefault="00CA6C67" w:rsidP="00CA6C67">
      <w:pPr>
        <w:jc w:val="center"/>
        <w:rPr>
          <w:rFonts w:ascii="Arial" w:hAnsi="Arial" w:cs="Arial"/>
          <w:b/>
        </w:rPr>
      </w:pPr>
      <w:r>
        <w:rPr>
          <w:rFonts w:ascii="Arial" w:hAnsi="Arial" w:cs="Arial"/>
          <w:b/>
        </w:rPr>
        <w:t xml:space="preserve">Interceptors </w:t>
      </w:r>
      <w:proofErr w:type="gramStart"/>
      <w:r>
        <w:rPr>
          <w:rFonts w:ascii="Arial" w:hAnsi="Arial" w:cs="Arial"/>
          <w:b/>
        </w:rPr>
        <w:t>By</w:t>
      </w:r>
      <w:proofErr w:type="gramEnd"/>
      <w:r>
        <w:rPr>
          <w:rFonts w:ascii="Arial" w:hAnsi="Arial" w:cs="Arial"/>
          <w:b/>
        </w:rPr>
        <w:t xml:space="preserve"> Age</w:t>
      </w:r>
    </w:p>
    <w:p w14:paraId="49C8AC8D" w14:textId="77777777" w:rsidR="003F5297" w:rsidRPr="007C5494" w:rsidRDefault="003F5297" w:rsidP="00CA6C67">
      <w:pPr>
        <w:jc w:val="center"/>
        <w:rPr>
          <w:rFonts w:ascii="Arial" w:hAnsi="Arial" w:cs="Arial"/>
          <w:b/>
        </w:rPr>
      </w:pPr>
    </w:p>
    <w:p w14:paraId="25424CA6" w14:textId="77777777" w:rsidR="00CA6C67" w:rsidRDefault="00CA6C67" w:rsidP="003F5297">
      <w:pPr>
        <w:rPr>
          <w:rFonts w:ascii="Arial" w:hAnsi="Arial" w:cs="Arial"/>
        </w:rPr>
      </w:pPr>
      <w:r>
        <w:rPr>
          <w:noProof/>
        </w:rPr>
        <w:drawing>
          <wp:inline distT="0" distB="0" distL="0" distR="0" wp14:anchorId="743376F2" wp14:editId="0F789B11">
            <wp:extent cx="3990975" cy="608845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94789" cy="6094276"/>
                    </a:xfrm>
                    <a:prstGeom prst="rect">
                      <a:avLst/>
                    </a:prstGeom>
                  </pic:spPr>
                </pic:pic>
              </a:graphicData>
            </a:graphic>
          </wp:inline>
        </w:drawing>
      </w:r>
      <w:r>
        <w:rPr>
          <w:noProof/>
        </w:rPr>
        <w:drawing>
          <wp:inline distT="0" distB="0" distL="0" distR="0" wp14:anchorId="0FF971A2" wp14:editId="376AEB2E">
            <wp:extent cx="1838325" cy="325037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38325" cy="3250373"/>
                    </a:xfrm>
                    <a:prstGeom prst="rect">
                      <a:avLst/>
                    </a:prstGeom>
                  </pic:spPr>
                </pic:pic>
              </a:graphicData>
            </a:graphic>
          </wp:inline>
        </w:drawing>
      </w:r>
    </w:p>
    <w:p w14:paraId="7B833CBD" w14:textId="77777777" w:rsidR="00CA6C67" w:rsidRDefault="00CA6C67" w:rsidP="00CA6C67">
      <w:pPr>
        <w:ind w:left="720"/>
        <w:jc w:val="both"/>
        <w:rPr>
          <w:rFonts w:ascii="Arial" w:hAnsi="Arial" w:cs="Arial"/>
        </w:rPr>
      </w:pPr>
    </w:p>
    <w:p w14:paraId="2D3D237E" w14:textId="77777777" w:rsidR="00237A67" w:rsidRDefault="00237A67" w:rsidP="003F5297">
      <w:pPr>
        <w:spacing w:line="264" w:lineRule="auto"/>
        <w:contextualSpacing/>
        <w:jc w:val="both"/>
        <w:rPr>
          <w:rFonts w:ascii="Arial" w:hAnsi="Arial" w:cs="Arial"/>
          <w:bCs/>
          <w:iCs/>
        </w:rPr>
      </w:pPr>
    </w:p>
    <w:p w14:paraId="4FDF1F81" w14:textId="73EB1471" w:rsidR="000C5434" w:rsidRPr="006202AD" w:rsidRDefault="00CA6C67" w:rsidP="003F5297">
      <w:pPr>
        <w:spacing w:line="264" w:lineRule="auto"/>
        <w:contextualSpacing/>
        <w:jc w:val="both"/>
        <w:rPr>
          <w:rFonts w:ascii="Arial" w:hAnsi="Arial" w:cs="Arial"/>
          <w:bCs/>
          <w:iCs/>
        </w:rPr>
      </w:pPr>
      <w:r w:rsidRPr="006202AD">
        <w:rPr>
          <w:rFonts w:ascii="Arial" w:hAnsi="Arial" w:cs="Arial"/>
          <w:bCs/>
          <w:iCs/>
        </w:rPr>
        <w:t>The map above illustrates that a large proportion of the system was built before 1970</w:t>
      </w:r>
      <w:r w:rsidR="00237A67">
        <w:rPr>
          <w:rFonts w:ascii="Arial" w:hAnsi="Arial" w:cs="Arial"/>
          <w:bCs/>
          <w:iCs/>
        </w:rPr>
        <w:t xml:space="preserve"> </w:t>
      </w:r>
      <w:r w:rsidRPr="006202AD">
        <w:rPr>
          <w:rFonts w:ascii="Arial" w:hAnsi="Arial" w:cs="Arial"/>
          <w:bCs/>
          <w:iCs/>
        </w:rPr>
        <w:t xml:space="preserve">and is at or nearing 50 years of service life. </w:t>
      </w:r>
      <w:r w:rsidR="00237A67">
        <w:rPr>
          <w:rFonts w:ascii="Arial" w:hAnsi="Arial" w:cs="Arial"/>
          <w:bCs/>
          <w:iCs/>
        </w:rPr>
        <w:t xml:space="preserve"> </w:t>
      </w:r>
      <w:r w:rsidR="000C5434" w:rsidRPr="006202AD">
        <w:rPr>
          <w:rFonts w:ascii="Arial" w:hAnsi="Arial" w:cs="Arial"/>
          <w:bCs/>
          <w:iCs/>
        </w:rPr>
        <w:t>In addition to the physical condition of conveyance lines, their age may raise capacity issues.  The Division’s Conveyance System Improvement project is intended to assure that the system is capable of conveying wastewater volumes expected for peak 20 year storms.  As regional population growth continues, the agency is pressed to address these emerging capacity needs.</w:t>
      </w:r>
    </w:p>
    <w:p w14:paraId="3DC8663D" w14:textId="77777777" w:rsidR="000C5434" w:rsidRPr="006202AD" w:rsidRDefault="000C5434" w:rsidP="003F5297">
      <w:pPr>
        <w:spacing w:line="264" w:lineRule="auto"/>
        <w:contextualSpacing/>
        <w:jc w:val="both"/>
        <w:rPr>
          <w:rFonts w:ascii="Arial" w:hAnsi="Arial" w:cs="Arial"/>
          <w:bCs/>
          <w:iCs/>
        </w:rPr>
      </w:pPr>
    </w:p>
    <w:p w14:paraId="4C070BD9" w14:textId="70900984" w:rsidR="000C5434" w:rsidRPr="006202AD" w:rsidRDefault="000C5434" w:rsidP="003F5297">
      <w:pPr>
        <w:spacing w:line="264" w:lineRule="auto"/>
        <w:contextualSpacing/>
        <w:jc w:val="both"/>
        <w:rPr>
          <w:rFonts w:ascii="Arial" w:hAnsi="Arial" w:cs="Arial"/>
          <w:bCs/>
          <w:iCs/>
        </w:rPr>
      </w:pPr>
      <w:r w:rsidRPr="006202AD">
        <w:rPr>
          <w:rFonts w:ascii="Arial" w:hAnsi="Arial" w:cs="Arial"/>
          <w:bCs/>
          <w:iCs/>
        </w:rPr>
        <w:lastRenderedPageBreak/>
        <w:t xml:space="preserve">As noted, the asset management needs are not confined to the conveyance system; the treatment plants—two of which are over 50 years old—also are the focus of asset management evaluation.  The agency indicates that, for the </w:t>
      </w:r>
      <w:proofErr w:type="gramStart"/>
      <w:r w:rsidRPr="006202AD">
        <w:rPr>
          <w:rFonts w:ascii="Arial" w:hAnsi="Arial" w:cs="Arial"/>
          <w:bCs/>
          <w:iCs/>
        </w:rPr>
        <w:t>system as a whole, they</w:t>
      </w:r>
      <w:proofErr w:type="gramEnd"/>
      <w:r w:rsidRPr="006202AD">
        <w:rPr>
          <w:rFonts w:ascii="Arial" w:hAnsi="Arial" w:cs="Arial"/>
          <w:bCs/>
          <w:iCs/>
        </w:rPr>
        <w:t xml:space="preserve"> have identified a priority asset management inventory of $1.18 billion in projects, as depicted </w:t>
      </w:r>
      <w:r w:rsidR="00237A67">
        <w:rPr>
          <w:rFonts w:ascii="Arial" w:hAnsi="Arial" w:cs="Arial"/>
          <w:bCs/>
          <w:iCs/>
        </w:rPr>
        <w:t xml:space="preserve">in Chart 4 </w:t>
      </w:r>
      <w:r w:rsidRPr="006202AD">
        <w:rPr>
          <w:rFonts w:ascii="Arial" w:hAnsi="Arial" w:cs="Arial"/>
          <w:bCs/>
          <w:iCs/>
        </w:rPr>
        <w:t xml:space="preserve">below.  Also depicted is the West Point Power Quality/Reliability project, approved by Council in </w:t>
      </w:r>
      <w:r w:rsidR="00BE00C1">
        <w:rPr>
          <w:rFonts w:ascii="Arial" w:hAnsi="Arial" w:cs="Arial"/>
          <w:bCs/>
          <w:iCs/>
        </w:rPr>
        <w:t xml:space="preserve">February </w:t>
      </w:r>
      <w:r w:rsidRPr="006202AD">
        <w:rPr>
          <w:rFonts w:ascii="Arial" w:hAnsi="Arial" w:cs="Arial"/>
          <w:bCs/>
          <w:iCs/>
        </w:rPr>
        <w:t>2021.</w:t>
      </w:r>
    </w:p>
    <w:p w14:paraId="455E6DEE" w14:textId="77777777" w:rsidR="000C5434" w:rsidRPr="006202AD" w:rsidRDefault="000C5434" w:rsidP="003F5297">
      <w:pPr>
        <w:spacing w:line="264" w:lineRule="auto"/>
        <w:contextualSpacing/>
        <w:jc w:val="both"/>
        <w:rPr>
          <w:rFonts w:ascii="Arial" w:hAnsi="Arial" w:cs="Arial"/>
          <w:bCs/>
          <w:iCs/>
        </w:rPr>
      </w:pPr>
    </w:p>
    <w:p w14:paraId="52AC2517" w14:textId="1F69D684" w:rsidR="000C5434" w:rsidRPr="006202AD" w:rsidRDefault="000C5434" w:rsidP="003F5297">
      <w:pPr>
        <w:spacing w:line="264" w:lineRule="auto"/>
        <w:contextualSpacing/>
        <w:jc w:val="both"/>
        <w:rPr>
          <w:rFonts w:ascii="Arial" w:hAnsi="Arial" w:cs="Arial"/>
          <w:bCs/>
          <w:iCs/>
        </w:rPr>
      </w:pPr>
      <w:r w:rsidRPr="006202AD">
        <w:rPr>
          <w:rFonts w:ascii="Arial" w:hAnsi="Arial" w:cs="Arial"/>
          <w:bCs/>
          <w:iCs/>
        </w:rPr>
        <w:t xml:space="preserve">Chart </w:t>
      </w:r>
      <w:r w:rsidR="00B530D6">
        <w:rPr>
          <w:rFonts w:ascii="Arial" w:hAnsi="Arial" w:cs="Arial"/>
          <w:bCs/>
          <w:iCs/>
        </w:rPr>
        <w:t>4</w:t>
      </w:r>
      <w:r w:rsidRPr="006202AD">
        <w:rPr>
          <w:rFonts w:ascii="Arial" w:hAnsi="Arial" w:cs="Arial"/>
          <w:bCs/>
          <w:iCs/>
        </w:rPr>
        <w:t xml:space="preserve"> illustrates the additional Asset Management </w:t>
      </w:r>
      <w:r w:rsidR="006B0B57">
        <w:rPr>
          <w:rFonts w:ascii="Arial" w:hAnsi="Arial" w:cs="Arial"/>
          <w:bCs/>
          <w:iCs/>
        </w:rPr>
        <w:t>project costs</w:t>
      </w:r>
      <w:r w:rsidRPr="006202AD">
        <w:rPr>
          <w:rFonts w:ascii="Arial" w:hAnsi="Arial" w:cs="Arial"/>
          <w:bCs/>
          <w:iCs/>
        </w:rPr>
        <w:t xml:space="preserve"> that the agency anticipates in coming years. This $1.18 billion in priority projects was initially described as part of last year’s rate cycle.</w:t>
      </w:r>
    </w:p>
    <w:p w14:paraId="4151D99D" w14:textId="77777777" w:rsidR="0086316C" w:rsidRDefault="0086316C" w:rsidP="003F5297">
      <w:pPr>
        <w:jc w:val="both"/>
        <w:rPr>
          <w:rFonts w:ascii="Arial" w:hAnsi="Arial" w:cs="Arial"/>
        </w:rPr>
      </w:pPr>
    </w:p>
    <w:p w14:paraId="765B6204" w14:textId="77777777" w:rsidR="003F5297" w:rsidRDefault="000C5434" w:rsidP="000C5434">
      <w:pPr>
        <w:ind w:left="720"/>
        <w:jc w:val="center"/>
        <w:rPr>
          <w:rFonts w:ascii="Arial" w:hAnsi="Arial" w:cs="Arial"/>
          <w:b/>
        </w:rPr>
      </w:pPr>
      <w:r>
        <w:rPr>
          <w:rFonts w:ascii="Arial" w:hAnsi="Arial" w:cs="Arial"/>
          <w:b/>
        </w:rPr>
        <w:t xml:space="preserve">Chart </w:t>
      </w:r>
      <w:r w:rsidR="00B530D6">
        <w:rPr>
          <w:rFonts w:ascii="Arial" w:hAnsi="Arial" w:cs="Arial"/>
          <w:b/>
        </w:rPr>
        <w:t>4.</w:t>
      </w:r>
      <w:r>
        <w:rPr>
          <w:rFonts w:ascii="Arial" w:hAnsi="Arial" w:cs="Arial"/>
          <w:b/>
        </w:rPr>
        <w:t xml:space="preserve">  </w:t>
      </w:r>
    </w:p>
    <w:p w14:paraId="3117D732" w14:textId="156FA00A" w:rsidR="000C5434" w:rsidRPr="000A441E" w:rsidRDefault="000C5434" w:rsidP="000C5434">
      <w:pPr>
        <w:ind w:left="720"/>
        <w:jc w:val="center"/>
        <w:rPr>
          <w:rFonts w:ascii="Arial" w:hAnsi="Arial" w:cs="Arial"/>
          <w:b/>
        </w:rPr>
      </w:pPr>
      <w:r>
        <w:rPr>
          <w:rFonts w:ascii="Arial" w:hAnsi="Arial" w:cs="Arial"/>
          <w:b/>
        </w:rPr>
        <w:t>Asset Management Inventory</w:t>
      </w:r>
    </w:p>
    <w:p w14:paraId="029F8F10" w14:textId="77777777" w:rsidR="000C5434" w:rsidRDefault="000C5434" w:rsidP="000C5434">
      <w:pPr>
        <w:ind w:left="720"/>
        <w:jc w:val="both"/>
        <w:rPr>
          <w:rFonts w:ascii="Arial" w:hAnsi="Arial" w:cs="Arial"/>
        </w:rPr>
      </w:pPr>
    </w:p>
    <w:p w14:paraId="26D13D73" w14:textId="77777777" w:rsidR="000C5434" w:rsidRDefault="000C5434" w:rsidP="003F5297">
      <w:pPr>
        <w:jc w:val="center"/>
        <w:rPr>
          <w:rFonts w:ascii="Arial" w:hAnsi="Arial" w:cs="Arial"/>
        </w:rPr>
      </w:pPr>
      <w:r>
        <w:rPr>
          <w:noProof/>
        </w:rPr>
        <w:drawing>
          <wp:inline distT="0" distB="0" distL="0" distR="0" wp14:anchorId="73B77B29" wp14:editId="4AE32939">
            <wp:extent cx="5951039" cy="37814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5211" cy="3822201"/>
                    </a:xfrm>
                    <a:prstGeom prst="rect">
                      <a:avLst/>
                    </a:prstGeom>
                  </pic:spPr>
                </pic:pic>
              </a:graphicData>
            </a:graphic>
          </wp:inline>
        </w:drawing>
      </w:r>
    </w:p>
    <w:p w14:paraId="442F2AD6" w14:textId="77777777" w:rsidR="000C5434" w:rsidRDefault="000C5434" w:rsidP="000C5434">
      <w:pPr>
        <w:ind w:left="720"/>
        <w:jc w:val="both"/>
        <w:rPr>
          <w:rFonts w:ascii="Arial" w:hAnsi="Arial" w:cs="Arial"/>
        </w:rPr>
      </w:pPr>
    </w:p>
    <w:p w14:paraId="42EBC354" w14:textId="77777777" w:rsidR="00237A67" w:rsidRDefault="00237A67" w:rsidP="003F5297">
      <w:pPr>
        <w:spacing w:line="264" w:lineRule="auto"/>
        <w:contextualSpacing/>
        <w:jc w:val="both"/>
        <w:rPr>
          <w:rFonts w:ascii="Arial" w:hAnsi="Arial" w:cs="Arial"/>
          <w:bCs/>
          <w:iCs/>
        </w:rPr>
      </w:pPr>
    </w:p>
    <w:p w14:paraId="608B2736" w14:textId="39FB06FE" w:rsidR="000C5434" w:rsidRPr="006202AD" w:rsidRDefault="000C5434" w:rsidP="003F5297">
      <w:pPr>
        <w:spacing w:line="264" w:lineRule="auto"/>
        <w:contextualSpacing/>
        <w:jc w:val="both"/>
        <w:rPr>
          <w:rFonts w:ascii="Arial" w:hAnsi="Arial" w:cs="Arial"/>
          <w:bCs/>
          <w:iCs/>
        </w:rPr>
      </w:pPr>
      <w:r w:rsidRPr="006202AD">
        <w:rPr>
          <w:rFonts w:ascii="Arial" w:hAnsi="Arial" w:cs="Arial"/>
          <w:bCs/>
          <w:iCs/>
        </w:rPr>
        <w:t xml:space="preserve">The historic mid-century project to restore the water quality of Lake Washington, which </w:t>
      </w:r>
      <w:r w:rsidR="004259FD">
        <w:rPr>
          <w:rFonts w:ascii="Arial" w:hAnsi="Arial" w:cs="Arial"/>
          <w:bCs/>
          <w:iCs/>
        </w:rPr>
        <w:t xml:space="preserve">was the original undertaking of </w:t>
      </w:r>
      <w:r w:rsidRPr="006202AD">
        <w:rPr>
          <w:rFonts w:ascii="Arial" w:hAnsi="Arial" w:cs="Arial"/>
          <w:bCs/>
          <w:iCs/>
        </w:rPr>
        <w:t>Metro government, is often cited as a major regional accomplishment.  That project was begun in the late 1950s, with construction of wastewater facilities—plants and interceptor pipelines—getting underway in the 1960s.  The extensive construction of that period</w:t>
      </w:r>
      <w:r w:rsidR="005626EF">
        <w:rPr>
          <w:rFonts w:ascii="Arial" w:hAnsi="Arial" w:cs="Arial"/>
          <w:bCs/>
          <w:iCs/>
        </w:rPr>
        <w:t xml:space="preserve"> </w:t>
      </w:r>
      <w:r w:rsidRPr="006202AD">
        <w:rPr>
          <w:rFonts w:ascii="Arial" w:hAnsi="Arial" w:cs="Arial"/>
          <w:bCs/>
          <w:iCs/>
        </w:rPr>
        <w:t xml:space="preserve">is now reaching the end its service life, much of it at about the same time, placing intensified asset management pressure on the wastewater capital program.  </w:t>
      </w:r>
    </w:p>
    <w:p w14:paraId="556C29CB" w14:textId="77777777" w:rsidR="000C5434" w:rsidRPr="006202AD" w:rsidRDefault="000C5434" w:rsidP="003F5297">
      <w:pPr>
        <w:spacing w:line="264" w:lineRule="auto"/>
        <w:contextualSpacing/>
        <w:jc w:val="both"/>
        <w:rPr>
          <w:rFonts w:ascii="Arial" w:hAnsi="Arial" w:cs="Arial"/>
          <w:bCs/>
          <w:iCs/>
        </w:rPr>
      </w:pPr>
    </w:p>
    <w:p w14:paraId="318C2F28" w14:textId="5D32660A" w:rsidR="000C5434" w:rsidRPr="006202AD" w:rsidRDefault="00537043" w:rsidP="003F5297">
      <w:pPr>
        <w:spacing w:line="264" w:lineRule="auto"/>
        <w:contextualSpacing/>
        <w:jc w:val="both"/>
        <w:rPr>
          <w:rFonts w:ascii="Arial" w:hAnsi="Arial" w:cs="Arial"/>
          <w:bCs/>
          <w:iCs/>
        </w:rPr>
      </w:pPr>
      <w:r>
        <w:rPr>
          <w:rFonts w:ascii="Arial" w:hAnsi="Arial" w:cs="Arial"/>
          <w:bCs/>
          <w:iCs/>
        </w:rPr>
        <w:t>The capital program also su</w:t>
      </w:r>
      <w:r w:rsidR="00366C33">
        <w:rPr>
          <w:rFonts w:ascii="Arial" w:hAnsi="Arial" w:cs="Arial"/>
          <w:bCs/>
          <w:iCs/>
        </w:rPr>
        <w:t xml:space="preserve">pports the Combined Sewer Overflow program.  </w:t>
      </w:r>
      <w:r w:rsidR="000C5434" w:rsidRPr="006202AD">
        <w:rPr>
          <w:rFonts w:ascii="Arial" w:hAnsi="Arial" w:cs="Arial"/>
          <w:bCs/>
          <w:iCs/>
        </w:rPr>
        <w:t xml:space="preserve">The agency is required by a Consent Decree to complete a total of 14 Combined Sewer Overflow </w:t>
      </w:r>
      <w:r w:rsidR="000C5434" w:rsidRPr="006202AD">
        <w:rPr>
          <w:rFonts w:ascii="Arial" w:hAnsi="Arial" w:cs="Arial"/>
          <w:bCs/>
          <w:iCs/>
        </w:rPr>
        <w:lastRenderedPageBreak/>
        <w:t xml:space="preserve">projects by 2030; negotiations are underway with the Environmental Protection Agency and the Washington Department of Ecology to extend that deadline until 2040.  The transmitted rate assumes the success of those negotiations; revenues to support remaining projects are not included in projected revenues through 2030.  </w:t>
      </w:r>
      <w:proofErr w:type="gramStart"/>
      <w:r w:rsidR="000C5434" w:rsidRPr="006202AD">
        <w:rPr>
          <w:rFonts w:ascii="Arial" w:hAnsi="Arial" w:cs="Arial"/>
          <w:bCs/>
          <w:iCs/>
        </w:rPr>
        <w:t>A number of</w:t>
      </w:r>
      <w:proofErr w:type="gramEnd"/>
      <w:r w:rsidR="000C5434" w:rsidRPr="006202AD">
        <w:rPr>
          <w:rFonts w:ascii="Arial" w:hAnsi="Arial" w:cs="Arial"/>
          <w:bCs/>
          <w:iCs/>
        </w:rPr>
        <w:t xml:space="preserve"> projects are currently underway—including the Joint Ship Canal project, and the Georgetown Wet Weather Treatment Plant.  Four earlier projects have been completed.  Remaining projects (some of these are combined projects) include the Hanford/Lander/Kingdome/King Street (HLKK) Wet Weather Treatment Station, the Montlake Storage Tank/Green Stormwater Infrastructure, and the University Storage Tank/Green Stormwater Infrastructure. </w:t>
      </w:r>
    </w:p>
    <w:p w14:paraId="056F9699" w14:textId="77777777" w:rsidR="00CA6C67" w:rsidRPr="005354CF" w:rsidRDefault="00CA6C67" w:rsidP="003F5297">
      <w:pPr>
        <w:spacing w:line="264" w:lineRule="auto"/>
        <w:jc w:val="both"/>
        <w:rPr>
          <w:rFonts w:ascii="Arial" w:hAnsi="Arial" w:cs="Arial"/>
        </w:rPr>
      </w:pPr>
    </w:p>
    <w:p w14:paraId="539A1917" w14:textId="61B06E6A" w:rsidR="00CA6C67" w:rsidRPr="00237A67" w:rsidRDefault="00CA6C67" w:rsidP="003F5297">
      <w:pPr>
        <w:spacing w:line="264" w:lineRule="auto"/>
        <w:jc w:val="both"/>
        <w:rPr>
          <w:rFonts w:ascii="Arial" w:hAnsi="Arial" w:cs="Arial"/>
          <w:b/>
          <w:u w:val="single"/>
        </w:rPr>
      </w:pPr>
      <w:r w:rsidRPr="00DE5664">
        <w:rPr>
          <w:rFonts w:ascii="Arial" w:hAnsi="Arial" w:cs="Arial"/>
          <w:b/>
        </w:rPr>
        <w:t>Metropolitan Water Pollution Abatement Advisory Committee Comments</w:t>
      </w:r>
      <w:r w:rsidR="00237A67" w:rsidRPr="00DE5664">
        <w:rPr>
          <w:rFonts w:ascii="Arial" w:hAnsi="Arial" w:cs="Arial"/>
          <w:b/>
        </w:rPr>
        <w:t>.</w:t>
      </w:r>
      <w:r w:rsidR="00237A67">
        <w:rPr>
          <w:rFonts w:ascii="Arial" w:hAnsi="Arial" w:cs="Arial"/>
          <w:b/>
        </w:rPr>
        <w:t xml:space="preserve">  </w:t>
      </w:r>
      <w:r w:rsidRPr="00AC709F">
        <w:rPr>
          <w:rFonts w:ascii="Arial" w:hAnsi="Arial" w:cs="Arial"/>
        </w:rPr>
        <w:t xml:space="preserve">The Metropolitan Water Pollution </w:t>
      </w:r>
      <w:r>
        <w:rPr>
          <w:rFonts w:ascii="Arial" w:hAnsi="Arial" w:cs="Arial"/>
        </w:rPr>
        <w:t>Abatement Advisory Committee</w:t>
      </w:r>
      <w:r w:rsidR="00237A67">
        <w:rPr>
          <w:rFonts w:ascii="Arial" w:hAnsi="Arial" w:cs="Arial"/>
        </w:rPr>
        <w:t xml:space="preserve"> </w:t>
      </w:r>
      <w:r>
        <w:rPr>
          <w:rFonts w:ascii="Arial" w:hAnsi="Arial" w:cs="Arial"/>
        </w:rPr>
        <w:t>(</w:t>
      </w:r>
      <w:r w:rsidRPr="00AC709F">
        <w:rPr>
          <w:rFonts w:ascii="Arial" w:hAnsi="Arial" w:cs="Arial"/>
        </w:rPr>
        <w:t>MWPAAC</w:t>
      </w:r>
      <w:r>
        <w:rPr>
          <w:rFonts w:ascii="Arial" w:hAnsi="Arial" w:cs="Arial"/>
        </w:rPr>
        <w:t>)</w:t>
      </w:r>
      <w:r w:rsidRPr="00AC709F">
        <w:rPr>
          <w:rFonts w:ascii="Arial" w:hAnsi="Arial" w:cs="Arial"/>
        </w:rPr>
        <w:t xml:space="preserve"> advises the King County Council and Executive on matters related to water pollution abatement. </w:t>
      </w:r>
      <w:r w:rsidR="00237A67">
        <w:rPr>
          <w:rFonts w:ascii="Arial" w:hAnsi="Arial" w:cs="Arial"/>
        </w:rPr>
        <w:t xml:space="preserve"> </w:t>
      </w:r>
      <w:r w:rsidRPr="00AC709F">
        <w:rPr>
          <w:rFonts w:ascii="Arial" w:hAnsi="Arial" w:cs="Arial"/>
        </w:rPr>
        <w:t>It was created by state law (RCW 35.58.210) and consists of representatives from cities and local sewer utilities that operate sewer systems within King County</w:t>
      </w:r>
      <w:r>
        <w:rPr>
          <w:rFonts w:ascii="Arial" w:hAnsi="Arial" w:cs="Arial"/>
        </w:rPr>
        <w:t>’s sewer service area</w:t>
      </w:r>
      <w:r w:rsidRPr="00AC709F">
        <w:rPr>
          <w:rFonts w:ascii="Arial" w:hAnsi="Arial" w:cs="Arial"/>
        </w:rPr>
        <w:t xml:space="preserve">. </w:t>
      </w:r>
      <w:r w:rsidR="000C1194">
        <w:rPr>
          <w:rFonts w:ascii="Arial" w:hAnsi="Arial" w:cs="Arial"/>
        </w:rPr>
        <w:t xml:space="preserve"> T</w:t>
      </w:r>
      <w:r w:rsidRPr="00AC709F">
        <w:rPr>
          <w:rFonts w:ascii="Arial" w:hAnsi="Arial" w:cs="Arial"/>
        </w:rPr>
        <w:t>hese cities and sewer utilities deliver their sewage to King County for treatment and disposal.</w:t>
      </w:r>
    </w:p>
    <w:p w14:paraId="59C175CC" w14:textId="77777777" w:rsidR="00CA6C67" w:rsidRPr="00AC709F" w:rsidRDefault="00CA6C67" w:rsidP="003F5297">
      <w:pPr>
        <w:spacing w:line="264" w:lineRule="auto"/>
        <w:jc w:val="both"/>
        <w:rPr>
          <w:rFonts w:ascii="Arial" w:hAnsi="Arial" w:cs="Arial"/>
        </w:rPr>
      </w:pPr>
    </w:p>
    <w:p w14:paraId="6DD10945" w14:textId="400C280C" w:rsidR="00CA6C67" w:rsidRDefault="00CA6C67" w:rsidP="003F5297">
      <w:pPr>
        <w:spacing w:line="264" w:lineRule="auto"/>
        <w:jc w:val="both"/>
        <w:rPr>
          <w:rFonts w:ascii="Arial" w:hAnsi="Arial" w:cs="Arial"/>
        </w:rPr>
      </w:pPr>
      <w:r w:rsidRPr="00AB3E83">
        <w:rPr>
          <w:rFonts w:ascii="Arial" w:hAnsi="Arial" w:cs="Arial"/>
        </w:rPr>
        <w:t>MWPAAC has forwarded an advisory letter</w:t>
      </w:r>
      <w:r>
        <w:rPr>
          <w:rFonts w:ascii="Arial" w:hAnsi="Arial" w:cs="Arial"/>
        </w:rPr>
        <w:t xml:space="preserve">, Attachment </w:t>
      </w:r>
      <w:r w:rsidR="00237A67">
        <w:rPr>
          <w:rFonts w:ascii="Arial" w:hAnsi="Arial" w:cs="Arial"/>
        </w:rPr>
        <w:t>4</w:t>
      </w:r>
      <w:r>
        <w:rPr>
          <w:rFonts w:ascii="Arial" w:hAnsi="Arial" w:cs="Arial"/>
        </w:rPr>
        <w:t>, which is included in the transmittal.  MWPAAC’s comments come in the context of revisions to the proposed 2021 rate package</w:t>
      </w:r>
      <w:r w:rsidR="009C0FF1">
        <w:rPr>
          <w:rFonts w:ascii="Arial" w:hAnsi="Arial" w:cs="Arial"/>
        </w:rPr>
        <w:t xml:space="preserve">. </w:t>
      </w:r>
      <w:r w:rsidR="00B57BCE">
        <w:rPr>
          <w:rFonts w:ascii="Arial" w:hAnsi="Arial" w:cs="Arial"/>
        </w:rPr>
        <w:t xml:space="preserve"> </w:t>
      </w:r>
      <w:r w:rsidR="009C0FF1">
        <w:rPr>
          <w:rFonts w:ascii="Arial" w:hAnsi="Arial" w:cs="Arial"/>
        </w:rPr>
        <w:t>T</w:t>
      </w:r>
      <w:r w:rsidR="00B57BCE">
        <w:rPr>
          <w:rFonts w:ascii="Arial" w:hAnsi="Arial" w:cs="Arial"/>
        </w:rPr>
        <w:t>he initial recommendation</w:t>
      </w:r>
      <w:r w:rsidR="008307ED">
        <w:rPr>
          <w:rFonts w:ascii="Arial" w:hAnsi="Arial" w:cs="Arial"/>
        </w:rPr>
        <w:t xml:space="preserve"> by WTD</w:t>
      </w:r>
      <w:r w:rsidR="00B57BCE">
        <w:rPr>
          <w:rFonts w:ascii="Arial" w:hAnsi="Arial" w:cs="Arial"/>
        </w:rPr>
        <w:t xml:space="preserve"> to the Executive was for </w:t>
      </w:r>
      <w:r w:rsidR="00971745">
        <w:rPr>
          <w:rFonts w:ascii="Arial" w:hAnsi="Arial" w:cs="Arial"/>
        </w:rPr>
        <w:t>a 0</w:t>
      </w:r>
      <w:r w:rsidR="00237A67">
        <w:rPr>
          <w:rFonts w:ascii="Arial" w:hAnsi="Arial" w:cs="Arial"/>
        </w:rPr>
        <w:t>.0</w:t>
      </w:r>
      <w:r w:rsidR="00971745">
        <w:rPr>
          <w:rFonts w:ascii="Arial" w:hAnsi="Arial" w:cs="Arial"/>
        </w:rPr>
        <w:t xml:space="preserve">% rate increase for 2022, </w:t>
      </w:r>
      <w:proofErr w:type="gramStart"/>
      <w:r w:rsidR="008307ED">
        <w:rPr>
          <w:rFonts w:ascii="Arial" w:hAnsi="Arial" w:cs="Arial"/>
        </w:rPr>
        <w:t>in light of</w:t>
      </w:r>
      <w:proofErr w:type="gramEnd"/>
      <w:r w:rsidR="008307ED">
        <w:rPr>
          <w:rFonts w:ascii="Arial" w:hAnsi="Arial" w:cs="Arial"/>
        </w:rPr>
        <w:t xml:space="preserve"> continuing COVID-19 </w:t>
      </w:r>
      <w:r w:rsidR="00AB22B6">
        <w:rPr>
          <w:rFonts w:ascii="Arial" w:hAnsi="Arial" w:cs="Arial"/>
        </w:rPr>
        <w:t>revenue and cost challenges to partner agencies--</w:t>
      </w:r>
      <w:r w:rsidR="00971745">
        <w:rPr>
          <w:rFonts w:ascii="Arial" w:hAnsi="Arial" w:cs="Arial"/>
        </w:rPr>
        <w:t>with large increases in</w:t>
      </w:r>
      <w:r w:rsidR="005D770A">
        <w:rPr>
          <w:rFonts w:ascii="Arial" w:hAnsi="Arial" w:cs="Arial"/>
        </w:rPr>
        <w:t xml:space="preserve"> the outyears on </w:t>
      </w:r>
      <w:r w:rsidR="004C7158">
        <w:rPr>
          <w:rFonts w:ascii="Arial" w:hAnsi="Arial" w:cs="Arial"/>
        </w:rPr>
        <w:t>a biennial schedule.  MW</w:t>
      </w:r>
      <w:r w:rsidR="00FE0D6A">
        <w:rPr>
          <w:rFonts w:ascii="Arial" w:hAnsi="Arial" w:cs="Arial"/>
        </w:rPr>
        <w:t xml:space="preserve">PAAC had expressed an interest in a more steady, </w:t>
      </w:r>
      <w:proofErr w:type="gramStart"/>
      <w:r w:rsidR="00FE0D6A">
        <w:rPr>
          <w:rFonts w:ascii="Arial" w:hAnsi="Arial" w:cs="Arial"/>
        </w:rPr>
        <w:t>gradual</w:t>
      </w:r>
      <w:proofErr w:type="gramEnd"/>
      <w:r w:rsidR="00FE0D6A">
        <w:rPr>
          <w:rFonts w:ascii="Arial" w:hAnsi="Arial" w:cs="Arial"/>
        </w:rPr>
        <w:t xml:space="preserve"> </w:t>
      </w:r>
      <w:r w:rsidR="00951AA6">
        <w:rPr>
          <w:rFonts w:ascii="Arial" w:hAnsi="Arial" w:cs="Arial"/>
        </w:rPr>
        <w:t xml:space="preserve">and predictable </w:t>
      </w:r>
      <w:r w:rsidR="00FE0D6A">
        <w:rPr>
          <w:rFonts w:ascii="Arial" w:hAnsi="Arial" w:cs="Arial"/>
        </w:rPr>
        <w:t>pattern of</w:t>
      </w:r>
      <w:r w:rsidR="00951AA6">
        <w:rPr>
          <w:rFonts w:ascii="Arial" w:hAnsi="Arial" w:cs="Arial"/>
        </w:rPr>
        <w:t xml:space="preserve"> increases, beginning with a 4</w:t>
      </w:r>
      <w:r w:rsidR="00237A67">
        <w:rPr>
          <w:rFonts w:ascii="Arial" w:hAnsi="Arial" w:cs="Arial"/>
        </w:rPr>
        <w:t>.0</w:t>
      </w:r>
      <w:r w:rsidR="00951AA6">
        <w:rPr>
          <w:rFonts w:ascii="Arial" w:hAnsi="Arial" w:cs="Arial"/>
        </w:rPr>
        <w:t xml:space="preserve">% increase for 2022. </w:t>
      </w:r>
      <w:r w:rsidR="00FE0D6A">
        <w:rPr>
          <w:rFonts w:ascii="Arial" w:hAnsi="Arial" w:cs="Arial"/>
        </w:rPr>
        <w:t xml:space="preserve"> </w:t>
      </w:r>
      <w:r w:rsidR="008307ED">
        <w:rPr>
          <w:rFonts w:ascii="Arial" w:hAnsi="Arial" w:cs="Arial"/>
        </w:rPr>
        <w:t>The</w:t>
      </w:r>
      <w:r w:rsidR="00AB22B6">
        <w:rPr>
          <w:rFonts w:ascii="Arial" w:hAnsi="Arial" w:cs="Arial"/>
        </w:rPr>
        <w:t xml:space="preserve"> </w:t>
      </w:r>
      <w:r w:rsidR="002631CF">
        <w:rPr>
          <w:rFonts w:ascii="Arial" w:hAnsi="Arial" w:cs="Arial"/>
        </w:rPr>
        <w:t>transmitted rate proposal includes the recommended 4</w:t>
      </w:r>
      <w:r w:rsidR="00237A67">
        <w:rPr>
          <w:rFonts w:ascii="Arial" w:hAnsi="Arial" w:cs="Arial"/>
        </w:rPr>
        <w:t>.0</w:t>
      </w:r>
      <w:r w:rsidR="002631CF">
        <w:rPr>
          <w:rFonts w:ascii="Arial" w:hAnsi="Arial" w:cs="Arial"/>
        </w:rPr>
        <w:t xml:space="preserve">% </w:t>
      </w:r>
      <w:r w:rsidR="005610EA">
        <w:rPr>
          <w:rFonts w:ascii="Arial" w:hAnsi="Arial" w:cs="Arial"/>
        </w:rPr>
        <w:t xml:space="preserve">2022 rate, with annual rate increases </w:t>
      </w:r>
      <w:r w:rsidR="00E35FB1">
        <w:rPr>
          <w:rFonts w:ascii="Arial" w:hAnsi="Arial" w:cs="Arial"/>
        </w:rPr>
        <w:t>rather</w:t>
      </w:r>
      <w:r w:rsidR="005610EA">
        <w:rPr>
          <w:rFonts w:ascii="Arial" w:hAnsi="Arial" w:cs="Arial"/>
        </w:rPr>
        <w:t xml:space="preserve"> than</w:t>
      </w:r>
      <w:r w:rsidR="00E35FB1">
        <w:rPr>
          <w:rFonts w:ascii="Arial" w:hAnsi="Arial" w:cs="Arial"/>
        </w:rPr>
        <w:t xml:space="preserve"> larger</w:t>
      </w:r>
      <w:r w:rsidR="005610EA">
        <w:rPr>
          <w:rFonts w:ascii="Arial" w:hAnsi="Arial" w:cs="Arial"/>
        </w:rPr>
        <w:t xml:space="preserve"> </w:t>
      </w:r>
      <w:r w:rsidR="00C40447">
        <w:rPr>
          <w:rFonts w:ascii="Arial" w:hAnsi="Arial" w:cs="Arial"/>
        </w:rPr>
        <w:t>biennial projected increases.</w:t>
      </w:r>
      <w:r w:rsidR="008307ED">
        <w:rPr>
          <w:rFonts w:ascii="Arial" w:hAnsi="Arial" w:cs="Arial"/>
        </w:rPr>
        <w:t xml:space="preserve"> </w:t>
      </w:r>
    </w:p>
    <w:p w14:paraId="075D8711" w14:textId="77777777" w:rsidR="00CA6C67" w:rsidRDefault="00CA6C67" w:rsidP="003F5297">
      <w:pPr>
        <w:spacing w:line="264" w:lineRule="auto"/>
        <w:jc w:val="both"/>
        <w:rPr>
          <w:rFonts w:ascii="Arial" w:hAnsi="Arial" w:cs="Arial"/>
        </w:rPr>
      </w:pPr>
    </w:p>
    <w:p w14:paraId="2A135957" w14:textId="68547504" w:rsidR="00CA6C67" w:rsidRDefault="00CA6C67" w:rsidP="003F5297">
      <w:pPr>
        <w:spacing w:line="264" w:lineRule="auto"/>
        <w:jc w:val="both"/>
        <w:rPr>
          <w:rFonts w:ascii="Arial" w:hAnsi="Arial" w:cs="Arial"/>
        </w:rPr>
      </w:pPr>
      <w:r>
        <w:rPr>
          <w:rFonts w:ascii="Arial" w:hAnsi="Arial" w:cs="Arial"/>
        </w:rPr>
        <w:t>The MWPAAC letter indicates:</w:t>
      </w:r>
    </w:p>
    <w:p w14:paraId="21EBCC1C" w14:textId="04A213B2" w:rsidR="007058CD" w:rsidRPr="007058CD" w:rsidRDefault="007058CD" w:rsidP="003F5297">
      <w:pPr>
        <w:numPr>
          <w:ilvl w:val="0"/>
          <w:numId w:val="9"/>
        </w:numPr>
        <w:spacing w:after="5" w:line="264" w:lineRule="auto"/>
        <w:ind w:right="50" w:hanging="360"/>
        <w:jc w:val="both"/>
        <w:rPr>
          <w:rFonts w:ascii="Arial" w:hAnsi="Arial" w:cs="Arial"/>
        </w:rPr>
      </w:pPr>
      <w:r w:rsidRPr="007058CD">
        <w:rPr>
          <w:rFonts w:ascii="Arial" w:hAnsi="Arial" w:cs="Arial"/>
        </w:rPr>
        <w:t>Confirmation that MWPAAC supports the Executive-Proposed 4</w:t>
      </w:r>
      <w:r w:rsidR="00237A67">
        <w:rPr>
          <w:rFonts w:ascii="Arial" w:hAnsi="Arial" w:cs="Arial"/>
        </w:rPr>
        <w:t>.0</w:t>
      </w:r>
      <w:r w:rsidRPr="007058CD">
        <w:rPr>
          <w:rFonts w:ascii="Arial" w:hAnsi="Arial" w:cs="Arial"/>
        </w:rPr>
        <w:t xml:space="preserve">% rate increase for </w:t>
      </w:r>
      <w:proofErr w:type="gramStart"/>
      <w:r w:rsidRPr="007058CD">
        <w:rPr>
          <w:rFonts w:ascii="Arial" w:hAnsi="Arial" w:cs="Arial"/>
        </w:rPr>
        <w:t>2022;</w:t>
      </w:r>
      <w:proofErr w:type="gramEnd"/>
      <w:r w:rsidRPr="007058CD">
        <w:rPr>
          <w:rFonts w:ascii="Arial" w:hAnsi="Arial" w:cs="Arial"/>
        </w:rPr>
        <w:t xml:space="preserve"> </w:t>
      </w:r>
    </w:p>
    <w:p w14:paraId="6E02034C" w14:textId="77777777" w:rsidR="007058CD" w:rsidRPr="007058CD" w:rsidRDefault="007058CD" w:rsidP="003F5297">
      <w:pPr>
        <w:numPr>
          <w:ilvl w:val="0"/>
          <w:numId w:val="9"/>
        </w:numPr>
        <w:spacing w:after="5" w:line="264" w:lineRule="auto"/>
        <w:ind w:right="50" w:hanging="360"/>
        <w:jc w:val="both"/>
        <w:rPr>
          <w:rFonts w:ascii="Arial" w:hAnsi="Arial" w:cs="Arial"/>
        </w:rPr>
      </w:pPr>
      <w:r w:rsidRPr="007058CD">
        <w:rPr>
          <w:rFonts w:ascii="Arial" w:hAnsi="Arial" w:cs="Arial"/>
        </w:rPr>
        <w:t xml:space="preserve">A request for annualized rate increases going forward, rather than rate increases on a biennial </w:t>
      </w:r>
      <w:proofErr w:type="gramStart"/>
      <w:r w:rsidRPr="007058CD">
        <w:rPr>
          <w:rFonts w:ascii="Arial" w:hAnsi="Arial" w:cs="Arial"/>
        </w:rPr>
        <w:t>schedule;</w:t>
      </w:r>
      <w:proofErr w:type="gramEnd"/>
      <w:r w:rsidRPr="007058CD">
        <w:rPr>
          <w:rFonts w:ascii="Arial" w:hAnsi="Arial" w:cs="Arial"/>
        </w:rPr>
        <w:t xml:space="preserve"> </w:t>
      </w:r>
    </w:p>
    <w:p w14:paraId="5E456322" w14:textId="77777777" w:rsidR="007058CD" w:rsidRPr="007058CD" w:rsidRDefault="007058CD" w:rsidP="003F5297">
      <w:pPr>
        <w:numPr>
          <w:ilvl w:val="0"/>
          <w:numId w:val="9"/>
        </w:numPr>
        <w:spacing w:after="5" w:line="264" w:lineRule="auto"/>
        <w:ind w:right="50" w:hanging="360"/>
        <w:jc w:val="both"/>
        <w:rPr>
          <w:rFonts w:ascii="Arial" w:hAnsi="Arial" w:cs="Arial"/>
        </w:rPr>
      </w:pPr>
      <w:r w:rsidRPr="007058CD">
        <w:rPr>
          <w:rFonts w:ascii="Arial" w:hAnsi="Arial" w:cs="Arial"/>
        </w:rPr>
        <w:t xml:space="preserve">Request for clarification of anticipated asset management cost projections over coming </w:t>
      </w:r>
      <w:proofErr w:type="gramStart"/>
      <w:r w:rsidRPr="007058CD">
        <w:rPr>
          <w:rFonts w:ascii="Arial" w:hAnsi="Arial" w:cs="Arial"/>
        </w:rPr>
        <w:t>decades;</w:t>
      </w:r>
      <w:proofErr w:type="gramEnd"/>
      <w:r w:rsidRPr="007058CD">
        <w:rPr>
          <w:rFonts w:ascii="Arial" w:hAnsi="Arial" w:cs="Arial"/>
        </w:rPr>
        <w:t xml:space="preserve"> </w:t>
      </w:r>
    </w:p>
    <w:p w14:paraId="26F8F82E" w14:textId="77777777" w:rsidR="007058CD" w:rsidRPr="007058CD" w:rsidRDefault="007058CD" w:rsidP="003F5297">
      <w:pPr>
        <w:numPr>
          <w:ilvl w:val="0"/>
          <w:numId w:val="9"/>
        </w:numPr>
        <w:spacing w:after="5" w:line="264" w:lineRule="auto"/>
        <w:ind w:right="50" w:hanging="360"/>
        <w:jc w:val="both"/>
        <w:rPr>
          <w:rFonts w:ascii="Arial" w:hAnsi="Arial" w:cs="Arial"/>
        </w:rPr>
      </w:pPr>
      <w:r w:rsidRPr="007058CD">
        <w:rPr>
          <w:rFonts w:ascii="Arial" w:hAnsi="Arial" w:cs="Arial"/>
        </w:rPr>
        <w:t xml:space="preserve">Request for preliminary estimate of the impact of the Nutrients rule changes on sewer </w:t>
      </w:r>
      <w:proofErr w:type="gramStart"/>
      <w:r w:rsidRPr="007058CD">
        <w:rPr>
          <w:rFonts w:ascii="Arial" w:hAnsi="Arial" w:cs="Arial"/>
        </w:rPr>
        <w:t>rates;</w:t>
      </w:r>
      <w:proofErr w:type="gramEnd"/>
      <w:r w:rsidRPr="007058CD">
        <w:rPr>
          <w:rFonts w:ascii="Arial" w:hAnsi="Arial" w:cs="Arial"/>
        </w:rPr>
        <w:t xml:space="preserve"> </w:t>
      </w:r>
    </w:p>
    <w:p w14:paraId="3855B49C" w14:textId="77777777" w:rsidR="007058CD" w:rsidRPr="007058CD" w:rsidRDefault="007058CD" w:rsidP="003F5297">
      <w:pPr>
        <w:numPr>
          <w:ilvl w:val="0"/>
          <w:numId w:val="9"/>
        </w:numPr>
        <w:spacing w:after="5" w:line="264" w:lineRule="auto"/>
        <w:ind w:right="50" w:hanging="360"/>
        <w:jc w:val="both"/>
        <w:rPr>
          <w:rFonts w:ascii="Arial" w:hAnsi="Arial" w:cs="Arial"/>
        </w:rPr>
      </w:pPr>
      <w:r w:rsidRPr="007058CD">
        <w:rPr>
          <w:rFonts w:ascii="Arial" w:hAnsi="Arial" w:cs="Arial"/>
        </w:rPr>
        <w:t xml:space="preserve">Emphasis on the need for MWPAAC input on the Clean Water Plan, and cost estimates associated with possible changes resulting from the planning </w:t>
      </w:r>
      <w:proofErr w:type="gramStart"/>
      <w:r w:rsidRPr="007058CD">
        <w:rPr>
          <w:rFonts w:ascii="Arial" w:hAnsi="Arial" w:cs="Arial"/>
        </w:rPr>
        <w:t>process;</w:t>
      </w:r>
      <w:proofErr w:type="gramEnd"/>
      <w:r w:rsidRPr="007058CD">
        <w:rPr>
          <w:rFonts w:ascii="Arial" w:hAnsi="Arial" w:cs="Arial"/>
        </w:rPr>
        <w:t xml:space="preserve"> </w:t>
      </w:r>
    </w:p>
    <w:p w14:paraId="4AFE8B7B" w14:textId="77777777" w:rsidR="007058CD" w:rsidRPr="007058CD" w:rsidRDefault="007058CD" w:rsidP="003F5297">
      <w:pPr>
        <w:numPr>
          <w:ilvl w:val="0"/>
          <w:numId w:val="9"/>
        </w:numPr>
        <w:spacing w:after="5" w:line="264" w:lineRule="auto"/>
        <w:ind w:right="50" w:hanging="360"/>
        <w:jc w:val="both"/>
        <w:rPr>
          <w:rFonts w:ascii="Arial" w:hAnsi="Arial" w:cs="Arial"/>
        </w:rPr>
      </w:pPr>
      <w:r w:rsidRPr="007058CD">
        <w:rPr>
          <w:rFonts w:ascii="Arial" w:hAnsi="Arial" w:cs="Arial"/>
        </w:rPr>
        <w:t xml:space="preserve">Concern about the assumption in the rate proposal of the shift of the bulk of combined sewer overflow costs to the 2030-2040 decade, in the context of discussions with the Environmental Protection Agency regarding modification of deadlines for completion of required combined sewer overflow projects.   </w:t>
      </w:r>
    </w:p>
    <w:p w14:paraId="2239BA1D" w14:textId="77777777" w:rsidR="007058CD" w:rsidRPr="007058CD" w:rsidRDefault="007058CD" w:rsidP="003F5297">
      <w:pPr>
        <w:numPr>
          <w:ilvl w:val="0"/>
          <w:numId w:val="9"/>
        </w:numPr>
        <w:spacing w:after="5" w:line="264" w:lineRule="auto"/>
        <w:ind w:right="50" w:hanging="360"/>
        <w:jc w:val="both"/>
        <w:rPr>
          <w:rFonts w:ascii="Arial" w:hAnsi="Arial" w:cs="Arial"/>
        </w:rPr>
      </w:pPr>
      <w:r w:rsidRPr="007058CD">
        <w:rPr>
          <w:rFonts w:ascii="Arial" w:hAnsi="Arial" w:cs="Arial"/>
        </w:rPr>
        <w:lastRenderedPageBreak/>
        <w:t xml:space="preserve">The need for more time for MWPAAC to review proposed rates prior to </w:t>
      </w:r>
      <w:proofErr w:type="gramStart"/>
      <w:r w:rsidRPr="007058CD">
        <w:rPr>
          <w:rFonts w:ascii="Arial" w:hAnsi="Arial" w:cs="Arial"/>
        </w:rPr>
        <w:t>transmittal;</w:t>
      </w:r>
      <w:proofErr w:type="gramEnd"/>
      <w:r w:rsidRPr="007058CD">
        <w:rPr>
          <w:rFonts w:ascii="Arial" w:hAnsi="Arial" w:cs="Arial"/>
        </w:rPr>
        <w:t xml:space="preserve"> </w:t>
      </w:r>
    </w:p>
    <w:p w14:paraId="1BA5A881" w14:textId="77777777" w:rsidR="007058CD" w:rsidRPr="007058CD" w:rsidRDefault="007058CD" w:rsidP="003F5297">
      <w:pPr>
        <w:numPr>
          <w:ilvl w:val="0"/>
          <w:numId w:val="9"/>
        </w:numPr>
        <w:spacing w:after="5" w:line="264" w:lineRule="auto"/>
        <w:ind w:right="50" w:hanging="360"/>
        <w:jc w:val="both"/>
        <w:rPr>
          <w:rFonts w:ascii="Arial" w:hAnsi="Arial" w:cs="Arial"/>
        </w:rPr>
      </w:pPr>
      <w:r w:rsidRPr="007058CD">
        <w:rPr>
          <w:rFonts w:ascii="Arial" w:hAnsi="Arial" w:cs="Arial"/>
        </w:rPr>
        <w:t xml:space="preserve">The scope, nexus to wastewater programs, and rate implications associated with the Executive’s “Clean Water, Healthy Habitats” </w:t>
      </w:r>
      <w:proofErr w:type="gramStart"/>
      <w:r w:rsidRPr="007058CD">
        <w:rPr>
          <w:rFonts w:ascii="Arial" w:hAnsi="Arial" w:cs="Arial"/>
        </w:rPr>
        <w:t>program;</w:t>
      </w:r>
      <w:proofErr w:type="gramEnd"/>
      <w:r w:rsidRPr="007058CD">
        <w:rPr>
          <w:rFonts w:ascii="Arial" w:hAnsi="Arial" w:cs="Arial"/>
        </w:rPr>
        <w:t xml:space="preserve"> </w:t>
      </w:r>
    </w:p>
    <w:p w14:paraId="3D3E18A8" w14:textId="2594B662" w:rsidR="007058CD" w:rsidRPr="007058CD" w:rsidRDefault="007058CD" w:rsidP="003F5297">
      <w:pPr>
        <w:numPr>
          <w:ilvl w:val="0"/>
          <w:numId w:val="9"/>
        </w:numPr>
        <w:spacing w:after="5" w:line="264" w:lineRule="auto"/>
        <w:ind w:right="50" w:hanging="360"/>
        <w:jc w:val="both"/>
        <w:rPr>
          <w:rFonts w:ascii="Arial" w:hAnsi="Arial" w:cs="Arial"/>
        </w:rPr>
      </w:pPr>
      <w:r w:rsidRPr="007058CD">
        <w:rPr>
          <w:rFonts w:ascii="Arial" w:hAnsi="Arial" w:cs="Arial"/>
        </w:rPr>
        <w:t xml:space="preserve">Concern regarding increases in cumulative system debt as capital costs continue to grow; </w:t>
      </w:r>
      <w:r w:rsidR="00237A67">
        <w:rPr>
          <w:rFonts w:ascii="Arial" w:hAnsi="Arial" w:cs="Arial"/>
        </w:rPr>
        <w:t>and</w:t>
      </w:r>
    </w:p>
    <w:p w14:paraId="1244BCED" w14:textId="77777777" w:rsidR="007058CD" w:rsidRPr="007058CD" w:rsidRDefault="007058CD" w:rsidP="003F5297">
      <w:pPr>
        <w:numPr>
          <w:ilvl w:val="0"/>
          <w:numId w:val="9"/>
        </w:numPr>
        <w:spacing w:after="5" w:line="264" w:lineRule="auto"/>
        <w:ind w:right="50" w:hanging="360"/>
        <w:jc w:val="both"/>
        <w:rPr>
          <w:rFonts w:ascii="Arial" w:hAnsi="Arial" w:cs="Arial"/>
        </w:rPr>
      </w:pPr>
      <w:r w:rsidRPr="007058CD">
        <w:rPr>
          <w:rFonts w:ascii="Arial" w:hAnsi="Arial" w:cs="Arial"/>
        </w:rPr>
        <w:t xml:space="preserve">A desire for reliable construction time schedules, and an </w:t>
      </w:r>
      <w:proofErr w:type="gramStart"/>
      <w:r w:rsidRPr="007058CD">
        <w:rPr>
          <w:rFonts w:ascii="Arial" w:hAnsi="Arial" w:cs="Arial"/>
        </w:rPr>
        <w:t>appeals</w:t>
      </w:r>
      <w:proofErr w:type="gramEnd"/>
      <w:r w:rsidRPr="007058CD">
        <w:rPr>
          <w:rFonts w:ascii="Arial" w:hAnsi="Arial" w:cs="Arial"/>
        </w:rPr>
        <w:t xml:space="preserve"> process to review any changes in prioritization, to allow for consideration of impacts on local agencies. </w:t>
      </w:r>
    </w:p>
    <w:p w14:paraId="20A2565D" w14:textId="77777777" w:rsidR="00CA6C67" w:rsidRDefault="00CA6C67" w:rsidP="003F5297">
      <w:pPr>
        <w:spacing w:line="264" w:lineRule="auto"/>
        <w:jc w:val="both"/>
        <w:rPr>
          <w:rFonts w:ascii="Arial" w:hAnsi="Arial" w:cs="Arial"/>
          <w:b/>
          <w:u w:val="single"/>
        </w:rPr>
      </w:pPr>
    </w:p>
    <w:p w14:paraId="0D031A18" w14:textId="77777777" w:rsidR="00B52297" w:rsidRDefault="00B52297" w:rsidP="003F5297">
      <w:pPr>
        <w:spacing w:line="264" w:lineRule="auto"/>
        <w:ind w:right="-540"/>
        <w:jc w:val="both"/>
        <w:rPr>
          <w:rFonts w:ascii="Arial" w:hAnsi="Arial" w:cs="Arial"/>
        </w:rPr>
      </w:pPr>
    </w:p>
    <w:p w14:paraId="4202A80F" w14:textId="25EA8794" w:rsidR="008200C5" w:rsidRPr="00237A67" w:rsidRDefault="00EE2E4E" w:rsidP="00DE5664">
      <w:pPr>
        <w:spacing w:line="264" w:lineRule="auto"/>
        <w:jc w:val="both"/>
        <w:rPr>
          <w:rFonts w:ascii="Arial" w:hAnsi="Arial" w:cs="Arial"/>
          <w:b/>
          <w:bCs/>
        </w:rPr>
      </w:pPr>
      <w:r w:rsidRPr="00B52297">
        <w:rPr>
          <w:rFonts w:ascii="Arial" w:hAnsi="Arial" w:cs="Arial"/>
          <w:b/>
          <w:bCs/>
        </w:rPr>
        <w:t>Proposed Ordinance 2021-0190</w:t>
      </w:r>
      <w:r w:rsidR="00237A67">
        <w:rPr>
          <w:rFonts w:ascii="Arial" w:hAnsi="Arial" w:cs="Arial"/>
          <w:b/>
          <w:bCs/>
        </w:rPr>
        <w:t xml:space="preserve">.  </w:t>
      </w:r>
      <w:r w:rsidR="008200C5">
        <w:rPr>
          <w:rFonts w:ascii="Arial" w:hAnsi="Arial" w:cs="Arial"/>
        </w:rPr>
        <w:t xml:space="preserve">During the 2021 sewer rate discussion that occurred in Spring of 2020, the Executive identified </w:t>
      </w:r>
      <w:proofErr w:type="gramStart"/>
      <w:r w:rsidR="008200C5">
        <w:rPr>
          <w:rFonts w:ascii="Arial" w:hAnsi="Arial" w:cs="Arial"/>
        </w:rPr>
        <w:t>a number of</w:t>
      </w:r>
      <w:proofErr w:type="gramEnd"/>
      <w:r w:rsidR="008200C5">
        <w:rPr>
          <w:rFonts w:ascii="Arial" w:hAnsi="Arial" w:cs="Arial"/>
        </w:rPr>
        <w:t xml:space="preserve"> high-priority asset management projects that were deferred pending a full discussion of the asset management backlog.  The Wastewater Treatment Division, during Fall of 2020 and Spring of 2021, engaged with the Metropolitan Water Pollution Abatement Advisory Committee, and with the Regional Water Quality Committee, to describe the nature and extent of the asset management backlog, and the risks involved in not addressing the identified projects.  </w:t>
      </w:r>
    </w:p>
    <w:p w14:paraId="7AF62C00" w14:textId="77777777" w:rsidR="008200C5" w:rsidRDefault="008200C5" w:rsidP="003F5297">
      <w:pPr>
        <w:spacing w:line="264" w:lineRule="auto"/>
        <w:jc w:val="both"/>
        <w:rPr>
          <w:rFonts w:ascii="Arial" w:hAnsi="Arial" w:cs="Arial"/>
        </w:rPr>
      </w:pPr>
    </w:p>
    <w:p w14:paraId="5102FE86" w14:textId="13FEF617" w:rsidR="008200C5" w:rsidRPr="00CC6855" w:rsidRDefault="008200C5" w:rsidP="003F5297">
      <w:pPr>
        <w:spacing w:line="264" w:lineRule="auto"/>
        <w:jc w:val="both"/>
        <w:rPr>
          <w:rFonts w:ascii="Arial" w:hAnsi="Arial" w:cs="Arial"/>
        </w:rPr>
      </w:pPr>
      <w:r>
        <w:rPr>
          <w:rFonts w:ascii="Arial" w:hAnsi="Arial" w:cs="Arial"/>
        </w:rPr>
        <w:t xml:space="preserve">In the 2022 rate proposal, the Executive has included </w:t>
      </w:r>
      <w:r w:rsidR="005C466C">
        <w:rPr>
          <w:rFonts w:ascii="Arial" w:hAnsi="Arial" w:cs="Arial"/>
        </w:rPr>
        <w:t xml:space="preserve">revenue </w:t>
      </w:r>
      <w:r>
        <w:rPr>
          <w:rFonts w:ascii="Arial" w:hAnsi="Arial" w:cs="Arial"/>
        </w:rPr>
        <w:t xml:space="preserve">for an Asset Management “Strike Team”, which would be responsible for moving forward expeditiously with priority asset management projects, including projects </w:t>
      </w:r>
      <w:r w:rsidRPr="00CC6855">
        <w:rPr>
          <w:rFonts w:ascii="Arial" w:hAnsi="Arial" w:cs="Arial"/>
        </w:rPr>
        <w:t>initially identified in the 2021 rate, but delayed to accommodate the</w:t>
      </w:r>
      <w:r w:rsidR="009B25EA" w:rsidRPr="00CC6855">
        <w:rPr>
          <w:rFonts w:ascii="Arial" w:hAnsi="Arial" w:cs="Arial"/>
        </w:rPr>
        <w:t xml:space="preserve"> </w:t>
      </w:r>
      <w:r w:rsidRPr="00CC6855">
        <w:rPr>
          <w:rFonts w:ascii="Arial" w:hAnsi="Arial" w:cs="Arial"/>
        </w:rPr>
        <w:t xml:space="preserve">engagement process. </w:t>
      </w:r>
      <w:r w:rsidR="005C466C" w:rsidRPr="00CC6855">
        <w:rPr>
          <w:rFonts w:ascii="Arial" w:hAnsi="Arial" w:cs="Arial"/>
        </w:rPr>
        <w:t>Expenditure authority for these projects was not included in the 2021-2022 budget.</w:t>
      </w:r>
      <w:r w:rsidRPr="00CC6855">
        <w:rPr>
          <w:rFonts w:ascii="Arial" w:hAnsi="Arial" w:cs="Arial"/>
        </w:rPr>
        <w:t xml:space="preserve"> The Executive indicates that revenue from the 2021 rate is available to support the initial phase-in of the Strike Team, including 6</w:t>
      </w:r>
      <w:r w:rsidR="00237A67" w:rsidRPr="00CC6855">
        <w:rPr>
          <w:rFonts w:ascii="Arial" w:hAnsi="Arial" w:cs="Arial"/>
        </w:rPr>
        <w:t>.0</w:t>
      </w:r>
      <w:r w:rsidRPr="00CC6855">
        <w:rPr>
          <w:rFonts w:ascii="Arial" w:hAnsi="Arial" w:cs="Arial"/>
        </w:rPr>
        <w:t xml:space="preserve"> FTE’s in mid-2021</w:t>
      </w:r>
      <w:r w:rsidR="00364939" w:rsidRPr="00CC6855">
        <w:rPr>
          <w:rFonts w:ascii="Arial" w:hAnsi="Arial" w:cs="Arial"/>
        </w:rPr>
        <w:t xml:space="preserve">; </w:t>
      </w:r>
      <w:r w:rsidR="00310324" w:rsidRPr="00CC6855">
        <w:rPr>
          <w:rFonts w:ascii="Arial" w:hAnsi="Arial" w:cs="Arial"/>
        </w:rPr>
        <w:t>6</w:t>
      </w:r>
      <w:r w:rsidR="00237A67" w:rsidRPr="00CC6855">
        <w:rPr>
          <w:rFonts w:ascii="Arial" w:hAnsi="Arial" w:cs="Arial"/>
        </w:rPr>
        <w:t>.0</w:t>
      </w:r>
      <w:r w:rsidR="00310324" w:rsidRPr="00CC6855">
        <w:rPr>
          <w:rFonts w:ascii="Arial" w:hAnsi="Arial" w:cs="Arial"/>
        </w:rPr>
        <w:t xml:space="preserve"> FTE’s in 2022</w:t>
      </w:r>
      <w:r w:rsidR="00364939" w:rsidRPr="00CC6855">
        <w:rPr>
          <w:rFonts w:ascii="Arial" w:hAnsi="Arial" w:cs="Arial"/>
        </w:rPr>
        <w:t xml:space="preserve"> would be supported by the 2022 proposed rate</w:t>
      </w:r>
      <w:r w:rsidRPr="00CC6855">
        <w:rPr>
          <w:rFonts w:ascii="Arial" w:hAnsi="Arial" w:cs="Arial"/>
        </w:rPr>
        <w:t xml:space="preserve">.  </w:t>
      </w:r>
      <w:r w:rsidR="00642AAA" w:rsidRPr="00CC6855">
        <w:rPr>
          <w:rFonts w:ascii="Arial" w:hAnsi="Arial" w:cs="Arial"/>
        </w:rPr>
        <w:t xml:space="preserve">Proposed Ordinance 2021-0190 would </w:t>
      </w:r>
      <w:r w:rsidR="00576DD6" w:rsidRPr="00CC6855">
        <w:rPr>
          <w:rFonts w:ascii="Arial" w:hAnsi="Arial" w:cs="Arial"/>
        </w:rPr>
        <w:t xml:space="preserve">provide expenditure authority for </w:t>
      </w:r>
      <w:r w:rsidRPr="00CC6855">
        <w:rPr>
          <w:rFonts w:ascii="Arial" w:hAnsi="Arial" w:cs="Arial"/>
        </w:rPr>
        <w:t>$1,43</w:t>
      </w:r>
      <w:r w:rsidR="00310324" w:rsidRPr="00CC6855">
        <w:rPr>
          <w:rFonts w:ascii="Arial" w:hAnsi="Arial" w:cs="Arial"/>
        </w:rPr>
        <w:t>5</w:t>
      </w:r>
      <w:r w:rsidRPr="00CC6855">
        <w:rPr>
          <w:rFonts w:ascii="Arial" w:hAnsi="Arial" w:cs="Arial"/>
        </w:rPr>
        <w:t>,</w:t>
      </w:r>
      <w:r w:rsidR="00310324" w:rsidRPr="00CC6855">
        <w:rPr>
          <w:rFonts w:ascii="Arial" w:hAnsi="Arial" w:cs="Arial"/>
        </w:rPr>
        <w:t>000</w:t>
      </w:r>
      <w:r w:rsidRPr="00CC6855">
        <w:rPr>
          <w:rFonts w:ascii="Arial" w:hAnsi="Arial" w:cs="Arial"/>
        </w:rPr>
        <w:t xml:space="preserve"> </w:t>
      </w:r>
      <w:r w:rsidR="00642AAA" w:rsidRPr="00CC6855">
        <w:rPr>
          <w:rFonts w:ascii="Arial" w:hAnsi="Arial" w:cs="Arial"/>
        </w:rPr>
        <w:t xml:space="preserve">for the </w:t>
      </w:r>
      <w:r w:rsidRPr="00CC6855">
        <w:rPr>
          <w:rFonts w:ascii="Arial" w:hAnsi="Arial" w:cs="Arial"/>
        </w:rPr>
        <w:t>2021</w:t>
      </w:r>
      <w:r w:rsidR="00642AAA" w:rsidRPr="00CC6855">
        <w:rPr>
          <w:rFonts w:ascii="Arial" w:hAnsi="Arial" w:cs="Arial"/>
        </w:rPr>
        <w:t>--</w:t>
      </w:r>
      <w:r w:rsidRPr="00CC6855">
        <w:rPr>
          <w:rFonts w:ascii="Arial" w:hAnsi="Arial" w:cs="Arial"/>
        </w:rPr>
        <w:t xml:space="preserve">2022 </w:t>
      </w:r>
      <w:r w:rsidR="00642AAA" w:rsidRPr="00CC6855">
        <w:rPr>
          <w:rFonts w:ascii="Arial" w:hAnsi="Arial" w:cs="Arial"/>
        </w:rPr>
        <w:t xml:space="preserve">biennium </w:t>
      </w:r>
      <w:r w:rsidRPr="00CC6855">
        <w:rPr>
          <w:rFonts w:ascii="Arial" w:hAnsi="Arial" w:cs="Arial"/>
        </w:rPr>
        <w:t xml:space="preserve">to support this early </w:t>
      </w:r>
      <w:r w:rsidR="00CC6855" w:rsidRPr="00CC6855">
        <w:rPr>
          <w:rFonts w:ascii="Arial" w:hAnsi="Arial" w:cs="Arial"/>
        </w:rPr>
        <w:t>phase-in and</w:t>
      </w:r>
      <w:r w:rsidRPr="00CC6855">
        <w:rPr>
          <w:rFonts w:ascii="Arial" w:hAnsi="Arial" w:cs="Arial"/>
        </w:rPr>
        <w:t xml:space="preserve"> begin work on these backlogged projects. </w:t>
      </w:r>
    </w:p>
    <w:p w14:paraId="7AEB44B3" w14:textId="77777777" w:rsidR="008200C5" w:rsidRPr="00CC6855" w:rsidRDefault="008200C5" w:rsidP="003F5297">
      <w:pPr>
        <w:spacing w:line="264" w:lineRule="auto"/>
        <w:jc w:val="both"/>
        <w:rPr>
          <w:rFonts w:ascii="Arial" w:hAnsi="Arial" w:cs="Arial"/>
        </w:rPr>
      </w:pPr>
    </w:p>
    <w:p w14:paraId="2EB7880E" w14:textId="7564CEE2" w:rsidR="008200C5" w:rsidRDefault="008200C5" w:rsidP="003F5297">
      <w:pPr>
        <w:spacing w:line="264" w:lineRule="auto"/>
        <w:jc w:val="both"/>
        <w:rPr>
          <w:rFonts w:ascii="Arial" w:hAnsi="Arial" w:cs="Arial"/>
        </w:rPr>
      </w:pPr>
      <w:r w:rsidRPr="00CC6855">
        <w:rPr>
          <w:rFonts w:ascii="Arial" w:hAnsi="Arial" w:cs="Arial"/>
        </w:rPr>
        <w:t xml:space="preserve">In addition, the </w:t>
      </w:r>
      <w:r w:rsidR="00642AAA" w:rsidRPr="00CC6855">
        <w:rPr>
          <w:rFonts w:ascii="Arial" w:hAnsi="Arial" w:cs="Arial"/>
        </w:rPr>
        <w:t>proposed appropriation would</w:t>
      </w:r>
      <w:r w:rsidRPr="00CC6855">
        <w:rPr>
          <w:rFonts w:ascii="Arial" w:hAnsi="Arial" w:cs="Arial"/>
        </w:rPr>
        <w:t xml:space="preserve"> </w:t>
      </w:r>
      <w:r w:rsidR="00576DD6" w:rsidRPr="00CC6855">
        <w:rPr>
          <w:rFonts w:ascii="Arial" w:hAnsi="Arial" w:cs="Arial"/>
        </w:rPr>
        <w:t>provide expenditure authority</w:t>
      </w:r>
      <w:r w:rsidRPr="00CC6855">
        <w:rPr>
          <w:rFonts w:ascii="Arial" w:hAnsi="Arial" w:cs="Arial"/>
        </w:rPr>
        <w:t xml:space="preserve"> for a long-term lease for employees currently housed in the Jameson and </w:t>
      </w:r>
      <w:proofErr w:type="spellStart"/>
      <w:r w:rsidRPr="00CC6855">
        <w:rPr>
          <w:rFonts w:ascii="Arial" w:hAnsi="Arial" w:cs="Arial"/>
        </w:rPr>
        <w:t>ArcWeld</w:t>
      </w:r>
      <w:proofErr w:type="spellEnd"/>
      <w:r w:rsidRPr="00CC6855">
        <w:rPr>
          <w:rFonts w:ascii="Arial" w:hAnsi="Arial" w:cs="Arial"/>
        </w:rPr>
        <w:t xml:space="preserve"> buildings, </w:t>
      </w:r>
      <w:r w:rsidR="00576DD6" w:rsidRPr="00CC6855">
        <w:rPr>
          <w:rFonts w:ascii="Arial" w:hAnsi="Arial" w:cs="Arial"/>
        </w:rPr>
        <w:t xml:space="preserve">both of which have housed construction management staff for many years, and are beyond their useful service lives, showing conditions of wear and </w:t>
      </w:r>
      <w:proofErr w:type="gramStart"/>
      <w:r w:rsidR="00576DD6" w:rsidRPr="00CC6855">
        <w:rPr>
          <w:rFonts w:ascii="Arial" w:hAnsi="Arial" w:cs="Arial"/>
        </w:rPr>
        <w:t>deterioration.</w:t>
      </w:r>
      <w:r w:rsidRPr="00CC6855">
        <w:rPr>
          <w:rFonts w:ascii="Arial" w:hAnsi="Arial" w:cs="Arial"/>
        </w:rPr>
        <w:t>.</w:t>
      </w:r>
      <w:proofErr w:type="gramEnd"/>
      <w:r w:rsidRPr="00CC6855">
        <w:rPr>
          <w:rFonts w:ascii="Arial" w:hAnsi="Arial" w:cs="Arial"/>
        </w:rPr>
        <w:t xml:space="preserve">  An opportunity</w:t>
      </w:r>
      <w:r>
        <w:rPr>
          <w:rFonts w:ascii="Arial" w:hAnsi="Arial" w:cs="Arial"/>
        </w:rPr>
        <w:t xml:space="preserve"> for a long-term lease in an existing building has emerged, however, avoiding the need to construct replacements for these two structures.  This would be a 20-year lease; the agency plans to pay tenant improvement costs to the property owner in a lump sum, to achieve savings in monthly rent payments. </w:t>
      </w:r>
    </w:p>
    <w:p w14:paraId="51EB52D5" w14:textId="77777777" w:rsidR="008200C5" w:rsidRDefault="008200C5" w:rsidP="003F5297">
      <w:pPr>
        <w:spacing w:line="264" w:lineRule="auto"/>
        <w:jc w:val="both"/>
        <w:rPr>
          <w:rFonts w:ascii="Arial" w:hAnsi="Arial" w:cs="Arial"/>
        </w:rPr>
      </w:pPr>
    </w:p>
    <w:p w14:paraId="4BD595BC" w14:textId="4EB67F9B" w:rsidR="008200C5" w:rsidRDefault="008200C5" w:rsidP="003F5297">
      <w:pPr>
        <w:spacing w:line="264" w:lineRule="auto"/>
        <w:jc w:val="both"/>
        <w:rPr>
          <w:rFonts w:ascii="Arial" w:hAnsi="Arial" w:cs="Arial"/>
        </w:rPr>
      </w:pPr>
      <w:r>
        <w:rPr>
          <w:rFonts w:ascii="Arial" w:hAnsi="Arial" w:cs="Arial"/>
        </w:rPr>
        <w:t xml:space="preserve">The supplemental </w:t>
      </w:r>
      <w:r w:rsidR="00642AAA">
        <w:rPr>
          <w:rFonts w:ascii="Arial" w:hAnsi="Arial" w:cs="Arial"/>
        </w:rPr>
        <w:t xml:space="preserve">appropriation ordinance would </w:t>
      </w:r>
      <w:r>
        <w:rPr>
          <w:rFonts w:ascii="Arial" w:hAnsi="Arial" w:cs="Arial"/>
        </w:rPr>
        <w:t>also authorize expenditure</w:t>
      </w:r>
      <w:r w:rsidR="00642AAA">
        <w:rPr>
          <w:rFonts w:ascii="Arial" w:hAnsi="Arial" w:cs="Arial"/>
        </w:rPr>
        <w:t>s</w:t>
      </w:r>
      <w:r>
        <w:rPr>
          <w:rFonts w:ascii="Arial" w:hAnsi="Arial" w:cs="Arial"/>
        </w:rPr>
        <w:t xml:space="preserve"> of capital funding from the Water Quality Account in support of the priority Asset Management backlog.  Projects include:</w:t>
      </w:r>
    </w:p>
    <w:p w14:paraId="5BDE3DC3" w14:textId="77777777" w:rsidR="008200C5" w:rsidRDefault="008200C5" w:rsidP="003F5297">
      <w:pPr>
        <w:pStyle w:val="ListParagraph"/>
        <w:numPr>
          <w:ilvl w:val="0"/>
          <w:numId w:val="13"/>
        </w:numPr>
        <w:spacing w:line="264" w:lineRule="auto"/>
        <w:ind w:left="720"/>
        <w:jc w:val="both"/>
        <w:rPr>
          <w:rFonts w:ascii="Arial" w:hAnsi="Arial" w:cs="Arial"/>
        </w:rPr>
      </w:pPr>
      <w:r>
        <w:rPr>
          <w:rFonts w:ascii="Arial" w:hAnsi="Arial" w:cs="Arial"/>
        </w:rPr>
        <w:t>Refurbishment of the M Street Trunk Line ($1,126,528)</w:t>
      </w:r>
    </w:p>
    <w:p w14:paraId="77F45454" w14:textId="77777777" w:rsidR="008200C5" w:rsidRDefault="008200C5" w:rsidP="003F5297">
      <w:pPr>
        <w:pStyle w:val="ListParagraph"/>
        <w:numPr>
          <w:ilvl w:val="0"/>
          <w:numId w:val="13"/>
        </w:numPr>
        <w:spacing w:line="264" w:lineRule="auto"/>
        <w:ind w:left="720"/>
        <w:jc w:val="both"/>
        <w:rPr>
          <w:rFonts w:ascii="Arial" w:hAnsi="Arial" w:cs="Arial"/>
        </w:rPr>
      </w:pPr>
      <w:r>
        <w:rPr>
          <w:rFonts w:ascii="Arial" w:hAnsi="Arial" w:cs="Arial"/>
        </w:rPr>
        <w:t>Improvement of the electrical system at West Point ($3,555,281)</w:t>
      </w:r>
    </w:p>
    <w:p w14:paraId="73540955" w14:textId="77777777" w:rsidR="008200C5" w:rsidRDefault="008200C5" w:rsidP="003F5297">
      <w:pPr>
        <w:pStyle w:val="ListParagraph"/>
        <w:numPr>
          <w:ilvl w:val="0"/>
          <w:numId w:val="13"/>
        </w:numPr>
        <w:spacing w:line="264" w:lineRule="auto"/>
        <w:ind w:left="720"/>
        <w:jc w:val="both"/>
        <w:rPr>
          <w:rFonts w:ascii="Arial" w:hAnsi="Arial" w:cs="Arial"/>
        </w:rPr>
      </w:pPr>
      <w:r>
        <w:rPr>
          <w:rFonts w:ascii="Arial" w:hAnsi="Arial" w:cs="Arial"/>
        </w:rPr>
        <w:t>Refurbishment of the influent and effluent pumps at West Point ($5,212,620)</w:t>
      </w:r>
    </w:p>
    <w:p w14:paraId="79F6F497" w14:textId="77777777" w:rsidR="008200C5" w:rsidRDefault="008200C5" w:rsidP="003F5297">
      <w:pPr>
        <w:pStyle w:val="ListParagraph"/>
        <w:numPr>
          <w:ilvl w:val="0"/>
          <w:numId w:val="13"/>
        </w:numPr>
        <w:spacing w:line="264" w:lineRule="auto"/>
        <w:ind w:left="720"/>
        <w:jc w:val="both"/>
        <w:rPr>
          <w:rFonts w:ascii="Arial" w:hAnsi="Arial" w:cs="Arial"/>
        </w:rPr>
      </w:pPr>
      <w:r>
        <w:rPr>
          <w:rFonts w:ascii="Arial" w:hAnsi="Arial" w:cs="Arial"/>
        </w:rPr>
        <w:lastRenderedPageBreak/>
        <w:t>Upgrade of the Lakeland Hills Pump Station ($1,101,000)</w:t>
      </w:r>
    </w:p>
    <w:p w14:paraId="121248A8" w14:textId="77777777" w:rsidR="008200C5" w:rsidRPr="00FA1D48" w:rsidRDefault="008200C5" w:rsidP="003F5297">
      <w:pPr>
        <w:pStyle w:val="ListParagraph"/>
        <w:numPr>
          <w:ilvl w:val="0"/>
          <w:numId w:val="13"/>
        </w:numPr>
        <w:spacing w:line="264" w:lineRule="auto"/>
        <w:ind w:left="720"/>
        <w:jc w:val="both"/>
        <w:rPr>
          <w:rFonts w:ascii="Arial" w:hAnsi="Arial" w:cs="Arial"/>
        </w:rPr>
      </w:pPr>
      <w:r>
        <w:rPr>
          <w:rFonts w:ascii="Arial" w:hAnsi="Arial" w:cs="Arial"/>
        </w:rPr>
        <w:t>Improvements to the South Plant Dewatering System ($554,706)</w:t>
      </w:r>
    </w:p>
    <w:p w14:paraId="3D237C84" w14:textId="594DCCAF" w:rsidR="00107B69" w:rsidRDefault="00107B69" w:rsidP="003F5297">
      <w:pPr>
        <w:spacing w:line="264" w:lineRule="auto"/>
        <w:ind w:right="-540"/>
        <w:jc w:val="both"/>
        <w:rPr>
          <w:rFonts w:ascii="Arial" w:hAnsi="Arial" w:cs="Arial"/>
        </w:rPr>
      </w:pPr>
    </w:p>
    <w:p w14:paraId="5B932795" w14:textId="77777777" w:rsidR="005626EF" w:rsidRDefault="005626EF" w:rsidP="00237A67">
      <w:pPr>
        <w:spacing w:line="264" w:lineRule="auto"/>
        <w:jc w:val="both"/>
        <w:rPr>
          <w:rFonts w:ascii="Arial" w:hAnsi="Arial" w:cs="Arial"/>
          <w:b/>
          <w:u w:val="single"/>
        </w:rPr>
      </w:pPr>
    </w:p>
    <w:p w14:paraId="07DA3B49" w14:textId="6E480275" w:rsidR="00237A67" w:rsidRDefault="00237A67" w:rsidP="00237A67">
      <w:pPr>
        <w:spacing w:line="264" w:lineRule="auto"/>
        <w:jc w:val="both"/>
        <w:rPr>
          <w:rFonts w:ascii="Arial" w:hAnsi="Arial" w:cs="Arial"/>
          <w:b/>
          <w:u w:val="single"/>
        </w:rPr>
      </w:pPr>
      <w:r>
        <w:rPr>
          <w:rFonts w:ascii="Arial" w:hAnsi="Arial" w:cs="Arial"/>
          <w:b/>
          <w:u w:val="single"/>
        </w:rPr>
        <w:t>TIMING</w:t>
      </w:r>
    </w:p>
    <w:p w14:paraId="5A21170A" w14:textId="77777777" w:rsidR="00237A67" w:rsidRPr="004D5597" w:rsidRDefault="00237A67" w:rsidP="00237A67">
      <w:pPr>
        <w:spacing w:line="264" w:lineRule="auto"/>
        <w:jc w:val="both"/>
        <w:rPr>
          <w:rFonts w:ascii="Arial" w:hAnsi="Arial" w:cs="Arial"/>
        </w:rPr>
      </w:pPr>
    </w:p>
    <w:p w14:paraId="427DCB53" w14:textId="77777777" w:rsidR="00237A67" w:rsidRDefault="00237A67" w:rsidP="00DE5664">
      <w:pPr>
        <w:spacing w:line="264" w:lineRule="auto"/>
        <w:ind w:right="90"/>
        <w:jc w:val="both"/>
        <w:rPr>
          <w:rFonts w:ascii="Arial" w:hAnsi="Arial" w:cs="Arial"/>
        </w:rPr>
      </w:pPr>
      <w:r w:rsidRPr="00AC709F">
        <w:rPr>
          <w:rFonts w:ascii="Arial" w:hAnsi="Arial" w:cs="Arial"/>
        </w:rPr>
        <w:t>The wastewater contracts</w:t>
      </w:r>
      <w:r>
        <w:rPr>
          <w:rFonts w:ascii="Arial" w:hAnsi="Arial" w:cs="Arial"/>
        </w:rPr>
        <w:t xml:space="preserve"> with participating cities and sewer districts</w:t>
      </w:r>
      <w:r w:rsidRPr="00AC709F">
        <w:rPr>
          <w:rFonts w:ascii="Arial" w:hAnsi="Arial" w:cs="Arial"/>
        </w:rPr>
        <w:t xml:space="preserve"> specify that the sewer rate be in place by June 30</w:t>
      </w:r>
      <w:r w:rsidRPr="00317822">
        <w:rPr>
          <w:rFonts w:ascii="Arial" w:hAnsi="Arial" w:cs="Arial"/>
          <w:vertAlign w:val="superscript"/>
        </w:rPr>
        <w:t>th</w:t>
      </w:r>
      <w:r>
        <w:rPr>
          <w:rFonts w:ascii="Arial" w:hAnsi="Arial" w:cs="Arial"/>
        </w:rPr>
        <w:t xml:space="preserve"> </w:t>
      </w:r>
      <w:r w:rsidRPr="00AC709F">
        <w:rPr>
          <w:rFonts w:ascii="Arial" w:hAnsi="Arial" w:cs="Arial"/>
        </w:rPr>
        <w:t>of each y</w:t>
      </w:r>
      <w:r>
        <w:rPr>
          <w:rFonts w:ascii="Arial" w:hAnsi="Arial" w:cs="Arial"/>
        </w:rPr>
        <w:t>ear (partner city and sewer districts act after the county sets the sewer rate to establish their local rates, all of which go into effect on January 1, 2021).  In addition, sewer rates are required by state statute to advertise a public hearing notice 10 days prior to the public hearing date.</w:t>
      </w:r>
    </w:p>
    <w:p w14:paraId="6EEE102F" w14:textId="77777777" w:rsidR="00237A67" w:rsidRDefault="00237A67" w:rsidP="00237A67">
      <w:pPr>
        <w:spacing w:line="264" w:lineRule="auto"/>
        <w:ind w:right="-540"/>
        <w:jc w:val="both"/>
        <w:rPr>
          <w:rFonts w:ascii="Arial" w:hAnsi="Arial" w:cs="Arial"/>
        </w:rPr>
      </w:pPr>
    </w:p>
    <w:p w14:paraId="3DEFBD88" w14:textId="77777777" w:rsidR="00237A67" w:rsidRDefault="00237A67" w:rsidP="00DE5664">
      <w:pPr>
        <w:spacing w:line="264" w:lineRule="auto"/>
        <w:jc w:val="both"/>
        <w:rPr>
          <w:rFonts w:ascii="Arial" w:hAnsi="Arial" w:cs="Arial"/>
        </w:rPr>
      </w:pPr>
      <w:r>
        <w:rPr>
          <w:rFonts w:ascii="Arial" w:hAnsi="Arial" w:cs="Arial"/>
        </w:rPr>
        <w:t xml:space="preserve">To meet the above requirements, following consideration by the Budget and Fiscal Management Committee, a public hearing is planned for full Council on June 1, 2021, with Council action to follow. </w:t>
      </w:r>
    </w:p>
    <w:p w14:paraId="18B2364F" w14:textId="77777777" w:rsidR="00237A67" w:rsidRDefault="00237A67" w:rsidP="003F5297">
      <w:pPr>
        <w:spacing w:line="264" w:lineRule="auto"/>
        <w:ind w:right="-540"/>
        <w:jc w:val="both"/>
        <w:rPr>
          <w:rFonts w:ascii="Arial" w:hAnsi="Arial" w:cs="Arial"/>
        </w:rPr>
      </w:pPr>
    </w:p>
    <w:p w14:paraId="6FFBBEEC" w14:textId="77777777" w:rsidR="003F5297" w:rsidRPr="001C4B19" w:rsidRDefault="003F5297" w:rsidP="003F5297">
      <w:pPr>
        <w:jc w:val="both"/>
        <w:rPr>
          <w:rFonts w:ascii="Arial" w:hAnsi="Arial" w:cs="Arial"/>
          <w:b/>
          <w:szCs w:val="24"/>
          <w:u w:val="single"/>
        </w:rPr>
      </w:pPr>
      <w:r w:rsidRPr="001C4B19">
        <w:rPr>
          <w:rFonts w:ascii="Arial" w:hAnsi="Arial" w:cs="Arial"/>
          <w:b/>
          <w:szCs w:val="24"/>
          <w:u w:val="single"/>
        </w:rPr>
        <w:t>INVITED</w:t>
      </w:r>
    </w:p>
    <w:p w14:paraId="27D85028" w14:textId="77777777" w:rsidR="003F5297" w:rsidRPr="001C4B19" w:rsidRDefault="003F5297" w:rsidP="003F5297">
      <w:pPr>
        <w:jc w:val="both"/>
        <w:rPr>
          <w:rFonts w:ascii="Arial" w:hAnsi="Arial" w:cs="Arial"/>
          <w:szCs w:val="24"/>
        </w:rPr>
      </w:pPr>
    </w:p>
    <w:p w14:paraId="06A737F2" w14:textId="723D12AA" w:rsidR="005C466C" w:rsidRDefault="005C466C" w:rsidP="003F5297">
      <w:pPr>
        <w:pStyle w:val="ListParagraph"/>
        <w:numPr>
          <w:ilvl w:val="0"/>
          <w:numId w:val="16"/>
        </w:numPr>
        <w:rPr>
          <w:rFonts w:ascii="Arial" w:hAnsi="Arial" w:cs="Arial"/>
        </w:rPr>
      </w:pPr>
      <w:r>
        <w:rPr>
          <w:rFonts w:ascii="Arial" w:hAnsi="Arial" w:cs="Arial"/>
        </w:rPr>
        <w:t>Christie True, Director, Department of Natural Resources and Parks</w:t>
      </w:r>
    </w:p>
    <w:p w14:paraId="2C020AC8" w14:textId="34A26C67" w:rsidR="005C466C" w:rsidRDefault="005C466C" w:rsidP="003F5297">
      <w:pPr>
        <w:pStyle w:val="ListParagraph"/>
        <w:numPr>
          <w:ilvl w:val="0"/>
          <w:numId w:val="16"/>
        </w:numPr>
        <w:rPr>
          <w:rFonts w:ascii="Arial" w:hAnsi="Arial" w:cs="Arial"/>
        </w:rPr>
      </w:pPr>
      <w:proofErr w:type="spellStart"/>
      <w:r>
        <w:rPr>
          <w:rFonts w:ascii="Arial" w:hAnsi="Arial" w:cs="Arial"/>
        </w:rPr>
        <w:t>Kamuron</w:t>
      </w:r>
      <w:proofErr w:type="spellEnd"/>
      <w:r>
        <w:rPr>
          <w:rFonts w:ascii="Arial" w:hAnsi="Arial" w:cs="Arial"/>
        </w:rPr>
        <w:t xml:space="preserve"> </w:t>
      </w:r>
      <w:proofErr w:type="spellStart"/>
      <w:r>
        <w:rPr>
          <w:rFonts w:ascii="Arial" w:hAnsi="Arial" w:cs="Arial"/>
        </w:rPr>
        <w:t>Gurol</w:t>
      </w:r>
      <w:proofErr w:type="spellEnd"/>
      <w:r>
        <w:rPr>
          <w:rFonts w:ascii="Arial" w:hAnsi="Arial" w:cs="Arial"/>
        </w:rPr>
        <w:t>, Director, Wastewater Treatment Division</w:t>
      </w:r>
    </w:p>
    <w:p w14:paraId="3087E214" w14:textId="6A958F4C" w:rsidR="003F5297" w:rsidRDefault="00EA312C" w:rsidP="003F5297">
      <w:pPr>
        <w:pStyle w:val="ListParagraph"/>
        <w:numPr>
          <w:ilvl w:val="0"/>
          <w:numId w:val="16"/>
        </w:numPr>
        <w:rPr>
          <w:rFonts w:ascii="Arial" w:hAnsi="Arial" w:cs="Arial"/>
        </w:rPr>
      </w:pPr>
      <w:r>
        <w:rPr>
          <w:rFonts w:ascii="Arial" w:hAnsi="Arial" w:cs="Arial"/>
        </w:rPr>
        <w:t>Hiedi Popochock,</w:t>
      </w:r>
      <w:r w:rsidR="003762CD">
        <w:rPr>
          <w:rFonts w:ascii="Arial" w:hAnsi="Arial" w:cs="Arial"/>
        </w:rPr>
        <w:t xml:space="preserve"> Financial Services Manager, Wastewater Treatment Division</w:t>
      </w:r>
      <w:r>
        <w:rPr>
          <w:rFonts w:ascii="Arial" w:hAnsi="Arial" w:cs="Arial"/>
        </w:rPr>
        <w:t xml:space="preserve"> </w:t>
      </w:r>
    </w:p>
    <w:p w14:paraId="51DE63A6" w14:textId="5B5A3E2F" w:rsidR="003F5297" w:rsidRPr="003762CD" w:rsidRDefault="00EA312C" w:rsidP="003F5297">
      <w:pPr>
        <w:pStyle w:val="ListParagraph"/>
        <w:numPr>
          <w:ilvl w:val="0"/>
          <w:numId w:val="16"/>
        </w:numPr>
        <w:rPr>
          <w:rFonts w:ascii="Arial" w:hAnsi="Arial" w:cs="Arial"/>
        </w:rPr>
      </w:pPr>
      <w:r w:rsidRPr="000047E1">
        <w:rPr>
          <w:rFonts w:ascii="Arial" w:hAnsi="Arial" w:cs="Arial"/>
        </w:rPr>
        <w:t>Courtney Black, Rates, Capital and Debt Management Supervisor, Wastewater Treatment Division</w:t>
      </w:r>
    </w:p>
    <w:p w14:paraId="15AF31FC" w14:textId="77777777" w:rsidR="00D27BE7" w:rsidRPr="00AC709F" w:rsidRDefault="00D27BE7" w:rsidP="003F5297">
      <w:pPr>
        <w:spacing w:line="264" w:lineRule="auto"/>
        <w:ind w:right="-540"/>
        <w:jc w:val="both"/>
        <w:rPr>
          <w:rFonts w:ascii="Arial" w:hAnsi="Arial" w:cs="Arial"/>
        </w:rPr>
      </w:pPr>
    </w:p>
    <w:p w14:paraId="53C5A24D" w14:textId="4A4A2EC1" w:rsidR="009B1CE6" w:rsidRPr="00DE5664" w:rsidRDefault="009B1CE6" w:rsidP="003F5297">
      <w:pPr>
        <w:spacing w:line="264" w:lineRule="auto"/>
        <w:ind w:right="-540"/>
        <w:jc w:val="both"/>
        <w:rPr>
          <w:rFonts w:ascii="Arial" w:hAnsi="Arial" w:cs="Arial"/>
          <w:b/>
          <w:bCs/>
          <w:u w:val="single"/>
        </w:rPr>
      </w:pPr>
      <w:r w:rsidRPr="00DE5664">
        <w:rPr>
          <w:rFonts w:ascii="Arial" w:hAnsi="Arial" w:cs="Arial"/>
          <w:b/>
          <w:bCs/>
          <w:u w:val="single"/>
        </w:rPr>
        <w:t>ATTACHMENTS</w:t>
      </w:r>
    </w:p>
    <w:p w14:paraId="137947CF" w14:textId="4CA2E83D" w:rsidR="003F5297" w:rsidRDefault="003F5297" w:rsidP="003F5297">
      <w:pPr>
        <w:pStyle w:val="ListParagraph"/>
        <w:numPr>
          <w:ilvl w:val="0"/>
          <w:numId w:val="15"/>
        </w:numPr>
        <w:spacing w:line="264" w:lineRule="auto"/>
        <w:ind w:right="-540"/>
        <w:jc w:val="both"/>
        <w:rPr>
          <w:rFonts w:ascii="Arial" w:hAnsi="Arial" w:cs="Arial"/>
        </w:rPr>
      </w:pPr>
      <w:r>
        <w:rPr>
          <w:rFonts w:ascii="Arial" w:hAnsi="Arial" w:cs="Arial"/>
        </w:rPr>
        <w:t>Proposed Ordi</w:t>
      </w:r>
      <w:r w:rsidR="001D64BF">
        <w:rPr>
          <w:rFonts w:ascii="Arial" w:hAnsi="Arial" w:cs="Arial"/>
        </w:rPr>
        <w:t>nance 2021-0187 (and its attachment)</w:t>
      </w:r>
    </w:p>
    <w:p w14:paraId="20B43D76" w14:textId="52E589AF" w:rsidR="001D64BF" w:rsidRDefault="001D64BF" w:rsidP="003F5297">
      <w:pPr>
        <w:pStyle w:val="ListParagraph"/>
        <w:numPr>
          <w:ilvl w:val="0"/>
          <w:numId w:val="15"/>
        </w:numPr>
        <w:spacing w:line="264" w:lineRule="auto"/>
        <w:ind w:right="-540"/>
        <w:jc w:val="both"/>
        <w:rPr>
          <w:rFonts w:ascii="Arial" w:hAnsi="Arial" w:cs="Arial"/>
        </w:rPr>
      </w:pPr>
      <w:r>
        <w:rPr>
          <w:rFonts w:ascii="Arial" w:hAnsi="Arial" w:cs="Arial"/>
        </w:rPr>
        <w:t>PO 2021-0187 Transmittal Letter</w:t>
      </w:r>
    </w:p>
    <w:p w14:paraId="4ADFD963" w14:textId="1DADEA51" w:rsidR="001D64BF" w:rsidRDefault="001D64BF" w:rsidP="003F5297">
      <w:pPr>
        <w:pStyle w:val="ListParagraph"/>
        <w:numPr>
          <w:ilvl w:val="0"/>
          <w:numId w:val="15"/>
        </w:numPr>
        <w:spacing w:line="264" w:lineRule="auto"/>
        <w:ind w:right="-540"/>
        <w:jc w:val="both"/>
        <w:rPr>
          <w:rFonts w:ascii="Arial" w:hAnsi="Arial" w:cs="Arial"/>
        </w:rPr>
      </w:pPr>
      <w:r>
        <w:rPr>
          <w:rFonts w:ascii="Arial" w:hAnsi="Arial" w:cs="Arial"/>
        </w:rPr>
        <w:t>PO 2021-0187 Fiscal Note</w:t>
      </w:r>
    </w:p>
    <w:p w14:paraId="3402E125" w14:textId="450B0058" w:rsidR="001D64BF" w:rsidRDefault="001D64BF" w:rsidP="003F5297">
      <w:pPr>
        <w:pStyle w:val="ListParagraph"/>
        <w:numPr>
          <w:ilvl w:val="0"/>
          <w:numId w:val="15"/>
        </w:numPr>
        <w:spacing w:line="264" w:lineRule="auto"/>
        <w:ind w:right="-540"/>
        <w:jc w:val="both"/>
        <w:rPr>
          <w:rFonts w:ascii="Arial" w:hAnsi="Arial" w:cs="Arial"/>
        </w:rPr>
      </w:pPr>
      <w:r>
        <w:rPr>
          <w:rFonts w:ascii="Arial" w:hAnsi="Arial" w:cs="Arial"/>
        </w:rPr>
        <w:t>PO 2021-0187 MWPAAC Letter with rate recommendation</w:t>
      </w:r>
    </w:p>
    <w:p w14:paraId="5218FBF2" w14:textId="02DB6F68" w:rsidR="001D64BF" w:rsidRDefault="001D64BF" w:rsidP="003F5297">
      <w:pPr>
        <w:pStyle w:val="ListParagraph"/>
        <w:numPr>
          <w:ilvl w:val="0"/>
          <w:numId w:val="15"/>
        </w:numPr>
        <w:spacing w:line="264" w:lineRule="auto"/>
        <w:ind w:right="-540"/>
        <w:jc w:val="both"/>
        <w:rPr>
          <w:rFonts w:ascii="Arial" w:hAnsi="Arial" w:cs="Arial"/>
        </w:rPr>
      </w:pPr>
      <w:r>
        <w:rPr>
          <w:rFonts w:ascii="Arial" w:hAnsi="Arial" w:cs="Arial"/>
        </w:rPr>
        <w:t>PO 2021-0187 Technical Memo</w:t>
      </w:r>
    </w:p>
    <w:p w14:paraId="374DA360" w14:textId="50A4FD42" w:rsidR="001D64BF" w:rsidRDefault="001D64BF" w:rsidP="003F5297">
      <w:pPr>
        <w:pStyle w:val="ListParagraph"/>
        <w:numPr>
          <w:ilvl w:val="0"/>
          <w:numId w:val="15"/>
        </w:numPr>
        <w:spacing w:line="264" w:lineRule="auto"/>
        <w:ind w:right="-540"/>
        <w:jc w:val="both"/>
        <w:rPr>
          <w:rFonts w:ascii="Arial" w:hAnsi="Arial" w:cs="Arial"/>
        </w:rPr>
      </w:pPr>
      <w:r>
        <w:rPr>
          <w:rFonts w:ascii="Arial" w:hAnsi="Arial" w:cs="Arial"/>
        </w:rPr>
        <w:t>PO 2021-0187 WTD Sewer Rate Proposal</w:t>
      </w:r>
    </w:p>
    <w:p w14:paraId="5FF03378" w14:textId="195C93F5" w:rsidR="009B1CE6" w:rsidRDefault="00747C2A" w:rsidP="003F5297">
      <w:pPr>
        <w:pStyle w:val="ListParagraph"/>
        <w:numPr>
          <w:ilvl w:val="0"/>
          <w:numId w:val="15"/>
        </w:numPr>
        <w:spacing w:line="264" w:lineRule="auto"/>
        <w:ind w:right="-540"/>
        <w:jc w:val="both"/>
        <w:rPr>
          <w:rFonts w:ascii="Arial" w:hAnsi="Arial" w:cs="Arial"/>
        </w:rPr>
      </w:pPr>
      <w:r>
        <w:rPr>
          <w:rFonts w:ascii="Arial" w:hAnsi="Arial" w:cs="Arial"/>
        </w:rPr>
        <w:t>Proposed Ordinance 2021-019</w:t>
      </w:r>
      <w:r w:rsidR="001D64BF">
        <w:rPr>
          <w:rFonts w:ascii="Arial" w:hAnsi="Arial" w:cs="Arial"/>
        </w:rPr>
        <w:t>0</w:t>
      </w:r>
      <w:r>
        <w:rPr>
          <w:rFonts w:ascii="Arial" w:hAnsi="Arial" w:cs="Arial"/>
        </w:rPr>
        <w:t xml:space="preserve"> </w:t>
      </w:r>
      <w:r w:rsidR="003F5297">
        <w:rPr>
          <w:rFonts w:ascii="Arial" w:hAnsi="Arial" w:cs="Arial"/>
        </w:rPr>
        <w:t>(</w:t>
      </w:r>
      <w:r>
        <w:rPr>
          <w:rFonts w:ascii="Arial" w:hAnsi="Arial" w:cs="Arial"/>
        </w:rPr>
        <w:t>and its attachment</w:t>
      </w:r>
      <w:r w:rsidR="001D64BF">
        <w:rPr>
          <w:rFonts w:ascii="Arial" w:hAnsi="Arial" w:cs="Arial"/>
        </w:rPr>
        <w:t>)</w:t>
      </w:r>
    </w:p>
    <w:p w14:paraId="1CF37815" w14:textId="02EFF400" w:rsidR="009B1CE6" w:rsidRPr="00D607E9" w:rsidRDefault="001D64BF" w:rsidP="003F5297">
      <w:pPr>
        <w:pStyle w:val="ListParagraph"/>
        <w:numPr>
          <w:ilvl w:val="0"/>
          <w:numId w:val="15"/>
        </w:numPr>
        <w:spacing w:line="264" w:lineRule="auto"/>
        <w:ind w:right="-540"/>
        <w:jc w:val="both"/>
        <w:rPr>
          <w:rFonts w:ascii="Arial" w:hAnsi="Arial" w:cs="Arial"/>
        </w:rPr>
      </w:pPr>
      <w:r>
        <w:rPr>
          <w:rFonts w:ascii="Arial" w:hAnsi="Arial" w:cs="Arial"/>
        </w:rPr>
        <w:t xml:space="preserve">PO 2021-0190 </w:t>
      </w:r>
      <w:r w:rsidR="009B1CE6" w:rsidRPr="00D607E9">
        <w:rPr>
          <w:rFonts w:ascii="Arial" w:hAnsi="Arial" w:cs="Arial"/>
        </w:rPr>
        <w:t>Transmittal Letter</w:t>
      </w:r>
    </w:p>
    <w:p w14:paraId="43529046" w14:textId="353AC5FB" w:rsidR="009B1CE6" w:rsidRPr="00D607E9" w:rsidRDefault="001D64BF" w:rsidP="003F5297">
      <w:pPr>
        <w:pStyle w:val="ListParagraph"/>
        <w:numPr>
          <w:ilvl w:val="0"/>
          <w:numId w:val="15"/>
        </w:numPr>
        <w:spacing w:line="264" w:lineRule="auto"/>
        <w:ind w:right="-540"/>
        <w:jc w:val="both"/>
        <w:rPr>
          <w:rFonts w:ascii="Arial" w:hAnsi="Arial" w:cs="Arial"/>
        </w:rPr>
      </w:pPr>
      <w:r>
        <w:rPr>
          <w:rFonts w:ascii="Arial" w:hAnsi="Arial" w:cs="Arial"/>
        </w:rPr>
        <w:t xml:space="preserve">PO 2021-0190 </w:t>
      </w:r>
      <w:r w:rsidR="009B1CE6" w:rsidRPr="00D607E9">
        <w:rPr>
          <w:rFonts w:ascii="Arial" w:hAnsi="Arial" w:cs="Arial"/>
        </w:rPr>
        <w:t>Fiscal Note</w:t>
      </w:r>
      <w:r w:rsidR="001E4D0E">
        <w:rPr>
          <w:rFonts w:ascii="Arial" w:hAnsi="Arial" w:cs="Arial"/>
        </w:rPr>
        <w:t>--Capital</w:t>
      </w:r>
    </w:p>
    <w:p w14:paraId="5175B4AE" w14:textId="70B3241C" w:rsidR="009B1CE6" w:rsidRPr="00D607E9" w:rsidRDefault="001D64BF" w:rsidP="003F5297">
      <w:pPr>
        <w:pStyle w:val="ListParagraph"/>
        <w:numPr>
          <w:ilvl w:val="0"/>
          <w:numId w:val="15"/>
        </w:numPr>
        <w:spacing w:line="264" w:lineRule="auto"/>
        <w:ind w:right="-540"/>
        <w:jc w:val="both"/>
        <w:rPr>
          <w:rFonts w:ascii="Arial" w:hAnsi="Arial" w:cs="Arial"/>
        </w:rPr>
      </w:pPr>
      <w:r>
        <w:rPr>
          <w:rFonts w:ascii="Arial" w:hAnsi="Arial" w:cs="Arial"/>
        </w:rPr>
        <w:t xml:space="preserve">PO 2021-0190 </w:t>
      </w:r>
      <w:r w:rsidR="001E4D0E">
        <w:rPr>
          <w:rFonts w:ascii="Arial" w:hAnsi="Arial" w:cs="Arial"/>
        </w:rPr>
        <w:t>Fiscal Note--Operating</w:t>
      </w:r>
    </w:p>
    <w:p w14:paraId="0F37017C" w14:textId="6869DD7A" w:rsidR="00CA6C67" w:rsidRDefault="00CA6C67" w:rsidP="003F5297">
      <w:pPr>
        <w:spacing w:line="264" w:lineRule="auto"/>
        <w:jc w:val="both"/>
        <w:rPr>
          <w:rFonts w:ascii="Arial" w:hAnsi="Arial" w:cs="Arial"/>
        </w:rPr>
      </w:pPr>
    </w:p>
    <w:p w14:paraId="4C40AB37" w14:textId="77777777" w:rsidR="00CA6C67" w:rsidRPr="00344C55" w:rsidRDefault="00CA6C67" w:rsidP="003F5297">
      <w:pPr>
        <w:spacing w:line="264" w:lineRule="auto"/>
      </w:pPr>
    </w:p>
    <w:p w14:paraId="6FD4C585" w14:textId="77777777" w:rsidR="0037234A" w:rsidRDefault="0037234A" w:rsidP="003F5297">
      <w:pPr>
        <w:spacing w:line="264" w:lineRule="auto"/>
      </w:pPr>
    </w:p>
    <w:sectPr w:rsidR="0037234A" w:rsidSect="0037234A">
      <w:headerReference w:type="first" r:id="rId16"/>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6FE68" w14:textId="77777777" w:rsidR="004F6DFE" w:rsidRDefault="004F6DFE" w:rsidP="00CA6C67">
      <w:r>
        <w:separator/>
      </w:r>
    </w:p>
  </w:endnote>
  <w:endnote w:type="continuationSeparator" w:id="0">
    <w:p w14:paraId="4A2E338A" w14:textId="77777777" w:rsidR="004F6DFE" w:rsidRDefault="004F6DFE" w:rsidP="00CA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33FD7" w14:textId="77777777" w:rsidR="004F6DFE" w:rsidRDefault="004F6DFE" w:rsidP="00CA6C67">
      <w:r>
        <w:separator/>
      </w:r>
    </w:p>
  </w:footnote>
  <w:footnote w:type="continuationSeparator" w:id="0">
    <w:p w14:paraId="27FB8750" w14:textId="77777777" w:rsidR="004F6DFE" w:rsidRDefault="004F6DFE" w:rsidP="00CA6C67">
      <w:r>
        <w:continuationSeparator/>
      </w:r>
    </w:p>
  </w:footnote>
  <w:footnote w:id="1">
    <w:p w14:paraId="5152220D" w14:textId="2FCB3258" w:rsidR="004F6DFE" w:rsidRPr="0044399B" w:rsidRDefault="004F6DFE" w:rsidP="00CA6C67">
      <w:pPr>
        <w:tabs>
          <w:tab w:val="left" w:pos="720"/>
          <w:tab w:val="decimal" w:pos="7200"/>
        </w:tabs>
        <w:jc w:val="both"/>
        <w:rPr>
          <w:rFonts w:ascii="Arial" w:hAnsi="Arial" w:cs="Arial"/>
        </w:rPr>
      </w:pPr>
      <w:r>
        <w:rPr>
          <w:rStyle w:val="FootnoteReference"/>
        </w:rPr>
        <w:footnoteRef/>
      </w:r>
      <w:r>
        <w:rPr>
          <w:rFonts w:ascii="Arial" w:hAnsi="Arial" w:cs="Arial"/>
          <w:sz w:val="20"/>
        </w:rPr>
        <w:t xml:space="preserve"> </w:t>
      </w:r>
      <w:r w:rsidRPr="0044399B">
        <w:rPr>
          <w:rFonts w:ascii="Arial" w:hAnsi="Arial" w:cs="Arial"/>
          <w:sz w:val="20"/>
        </w:rPr>
        <w:t xml:space="preserve">The County has a contractual relationship with cities and utility districts to collect wastewater from them and convey it to County treatment plants for treatment and discharge.  The component agencies that provide direct services to the ratepayers and use the County conveyance and treatment facilities are charged for the customers within their districts.  The utility providers, as direct service providers, set their own rates to recoup the payments required by use of County services plus their own “local” cost of service.  </w:t>
      </w:r>
    </w:p>
  </w:footnote>
  <w:footnote w:id="2">
    <w:p w14:paraId="56F12044" w14:textId="77777777" w:rsidR="004F6DFE" w:rsidRPr="005B19E7" w:rsidRDefault="004F6DFE" w:rsidP="00CA6C67">
      <w:pPr>
        <w:jc w:val="both"/>
        <w:rPr>
          <w:rFonts w:ascii="Arial" w:hAnsi="Arial" w:cs="Arial"/>
          <w:sz w:val="20"/>
        </w:rPr>
      </w:pPr>
      <w:r>
        <w:rPr>
          <w:rStyle w:val="FootnoteReference"/>
        </w:rPr>
        <w:footnoteRef/>
      </w:r>
      <w:r>
        <w:t xml:space="preserve"> </w:t>
      </w:r>
      <w:r w:rsidRPr="005B19E7">
        <w:rPr>
          <w:rFonts w:ascii="Arial" w:hAnsi="Arial" w:cs="Arial"/>
          <w:sz w:val="20"/>
        </w:rPr>
        <w:t xml:space="preserve">A single family residence is one RCE.  Commercial and industrial customers are charged based on the amount of wastewater they generate, calculated using the quantity of water consumed.  For commercial and multi-family residences, the calculation is then converted into RCEs.  One RCE (750 cubic feet of wastewater) represents the average amount of wastewater a single family residence would generate in a month.  </w:t>
      </w:r>
    </w:p>
    <w:p w14:paraId="7B6FBED8" w14:textId="77777777" w:rsidR="004F6DFE" w:rsidRDefault="004F6DFE" w:rsidP="00CA6C67">
      <w:pPr>
        <w:pStyle w:val="FootnoteText"/>
      </w:pPr>
    </w:p>
  </w:footnote>
  <w:footnote w:id="3">
    <w:p w14:paraId="08F96520" w14:textId="77777777" w:rsidR="004F6DFE" w:rsidRPr="005B19E7" w:rsidRDefault="004F6DFE" w:rsidP="00CA6C67">
      <w:pPr>
        <w:pStyle w:val="BodyTextIndent2"/>
        <w:spacing w:line="240" w:lineRule="auto"/>
        <w:ind w:left="0"/>
        <w:rPr>
          <w:rFonts w:ascii="Arial" w:hAnsi="Arial" w:cs="Arial"/>
          <w:sz w:val="20"/>
        </w:rPr>
      </w:pPr>
      <w:r>
        <w:rPr>
          <w:rStyle w:val="FootnoteReference"/>
        </w:rPr>
        <w:footnoteRef/>
      </w:r>
      <w:r>
        <w:t xml:space="preserve"> </w:t>
      </w:r>
      <w:r w:rsidRPr="005B19E7">
        <w:rPr>
          <w:rFonts w:ascii="Arial" w:hAnsi="Arial" w:cs="Arial"/>
          <w:sz w:val="20"/>
        </w:rPr>
        <w:t>K.C.C. 28.86.160 (FP-15) sets the charge via the following calculation:</w:t>
      </w:r>
    </w:p>
    <w:p w14:paraId="62A92B74" w14:textId="77777777" w:rsidR="004F6DFE" w:rsidRPr="00AC709F" w:rsidRDefault="004F6DFE" w:rsidP="00CA6C67">
      <w:pPr>
        <w:pStyle w:val="BodyText"/>
        <w:ind w:right="31"/>
        <w:jc w:val="center"/>
        <w:rPr>
          <w:rFonts w:ascii="Arial" w:hAnsi="Arial" w:cs="Arial"/>
          <w:sz w:val="16"/>
          <w:szCs w:val="16"/>
          <w:u w:val="single"/>
        </w:rPr>
      </w:pPr>
      <w:r>
        <w:rPr>
          <w:rFonts w:ascii="Arial" w:hAnsi="Arial" w:cs="Arial"/>
          <w:sz w:val="16"/>
          <w:szCs w:val="16"/>
        </w:rPr>
        <w:t>C</w:t>
      </w:r>
      <w:r w:rsidRPr="00AC709F">
        <w:rPr>
          <w:rFonts w:ascii="Arial" w:hAnsi="Arial" w:cs="Arial"/>
          <w:sz w:val="16"/>
          <w:szCs w:val="16"/>
        </w:rPr>
        <w:t>apacity charge = (</w:t>
      </w:r>
      <w:r w:rsidRPr="00AC709F">
        <w:rPr>
          <w:rFonts w:ascii="Arial" w:hAnsi="Arial" w:cs="Arial"/>
          <w:sz w:val="16"/>
          <w:szCs w:val="16"/>
          <w:u w:val="single"/>
        </w:rPr>
        <w:t>total system costs – rate revenue from existing customers) – rate revenue from new customers</w:t>
      </w:r>
    </w:p>
    <w:p w14:paraId="0EF4EF24" w14:textId="77777777" w:rsidR="004F6DFE" w:rsidRPr="00BD4758" w:rsidRDefault="004F6DFE" w:rsidP="00CA6C67">
      <w:pPr>
        <w:jc w:val="center"/>
        <w:rPr>
          <w:rFonts w:ascii="Arial" w:hAnsi="Arial" w:cs="Arial"/>
          <w:i/>
          <w:sz w:val="16"/>
          <w:szCs w:val="16"/>
        </w:rPr>
      </w:pPr>
      <w:r w:rsidRPr="00BD4758">
        <w:rPr>
          <w:rFonts w:ascii="Arial" w:hAnsi="Arial" w:cs="Arial"/>
          <w:i/>
          <w:sz w:val="16"/>
          <w:szCs w:val="16"/>
        </w:rPr>
        <w:t>number of new customers</w:t>
      </w:r>
    </w:p>
    <w:p w14:paraId="6586DE11" w14:textId="77777777" w:rsidR="004F6DFE" w:rsidRDefault="004F6DFE" w:rsidP="00CA6C67">
      <w:pPr>
        <w:pStyle w:val="FootnoteText"/>
      </w:pPr>
    </w:p>
  </w:footnote>
  <w:footnote w:id="4">
    <w:p w14:paraId="02020F8A" w14:textId="77777777" w:rsidR="004F6DFE" w:rsidRDefault="004F6DFE" w:rsidP="00CA6C67">
      <w:pPr>
        <w:pStyle w:val="FootnoteText"/>
      </w:pPr>
      <w:r>
        <w:rPr>
          <w:rStyle w:val="FootnoteReference"/>
        </w:rPr>
        <w:footnoteRef/>
      </w:r>
      <w:r>
        <w:t xml:space="preserve"> </w:t>
      </w:r>
      <w:r>
        <w:rPr>
          <w:rFonts w:ascii="Arial" w:hAnsi="Arial" w:cs="Arial"/>
          <w:szCs w:val="24"/>
        </w:rPr>
        <w:t>T</w:t>
      </w:r>
      <w:r w:rsidRPr="00AC709F">
        <w:rPr>
          <w:rFonts w:ascii="Arial" w:hAnsi="Arial" w:cs="Arial"/>
          <w:szCs w:val="24"/>
        </w:rPr>
        <w:t xml:space="preserve">he </w:t>
      </w:r>
      <w:r>
        <w:rPr>
          <w:rFonts w:ascii="Arial" w:hAnsi="Arial" w:cs="Arial"/>
          <w:szCs w:val="24"/>
        </w:rPr>
        <w:t xml:space="preserve">RWSP financial policies, established in county code, require </w:t>
      </w:r>
      <w:r w:rsidRPr="00AC709F">
        <w:rPr>
          <w:rFonts w:ascii="Arial" w:hAnsi="Arial" w:cs="Arial"/>
          <w:szCs w:val="24"/>
        </w:rPr>
        <w:t>the capacity charge to be a uniform charge, approved annually, and the charge is not to exceed the cost of capital facilities necessary to serve customers establishing new connec</w:t>
      </w:r>
      <w:r>
        <w:rPr>
          <w:rFonts w:ascii="Arial" w:hAnsi="Arial" w:cs="Arial"/>
          <w:szCs w:val="24"/>
        </w:rPr>
        <w:t>tions to the sewer system</w:t>
      </w:r>
      <w:r w:rsidRPr="00AC709F">
        <w:rPr>
          <w:rFonts w:ascii="Arial" w:hAnsi="Arial" w:cs="Arial"/>
          <w:szCs w:val="24"/>
        </w:rPr>
        <w:t xml:space="preserve">.  </w:t>
      </w:r>
    </w:p>
  </w:footnote>
  <w:footnote w:id="5">
    <w:p w14:paraId="5FFD363B" w14:textId="17E785F7" w:rsidR="004F6DFE" w:rsidRPr="000E0427" w:rsidRDefault="004F6DFE" w:rsidP="005F02EE">
      <w:pPr>
        <w:rPr>
          <w:sz w:val="20"/>
        </w:rPr>
      </w:pPr>
      <w:r>
        <w:rPr>
          <w:rStyle w:val="FootnoteReference"/>
        </w:rPr>
        <w:footnoteRef/>
      </w:r>
      <w:r w:rsidRPr="00B4206B">
        <w:rPr>
          <w:sz w:val="20"/>
        </w:rPr>
        <w:t xml:space="preserve"> </w:t>
      </w:r>
      <w:r>
        <w:rPr>
          <w:b/>
          <w:sz w:val="20"/>
        </w:rPr>
        <w:t xml:space="preserve">NorthShore – </w:t>
      </w:r>
      <w:r>
        <w:rPr>
          <w:sz w:val="20"/>
        </w:rPr>
        <w:t>Bimonthly rate including King County is 123.93.; monthly rate $61.96 minus $47.37 (KC rate) =$14.59</w:t>
      </w:r>
    </w:p>
    <w:p w14:paraId="363860E1" w14:textId="65106566" w:rsidR="004F6DFE" w:rsidRPr="000E0427" w:rsidRDefault="004F6DFE" w:rsidP="00CA6C67">
      <w:pPr>
        <w:rPr>
          <w:sz w:val="20"/>
        </w:rPr>
      </w:pPr>
      <w:r>
        <w:rPr>
          <w:sz w:val="20"/>
        </w:rPr>
        <w:t xml:space="preserve">Source </w:t>
      </w:r>
      <w:hyperlink r:id="rId1" w:history="1">
        <w:r w:rsidRPr="009F5EE9">
          <w:rPr>
            <w:rStyle w:val="Hyperlink"/>
            <w:sz w:val="20"/>
          </w:rPr>
          <w:t xml:space="preserve">http://www.nud.net/about-us/departments/finance/service-rates  </w:t>
        </w:r>
      </w:hyperlink>
      <w:r>
        <w:rPr>
          <w:rStyle w:val="Hyperlink"/>
          <w:sz w:val="20"/>
        </w:rPr>
        <w:t>.</w:t>
      </w:r>
      <w:r>
        <w:rPr>
          <w:sz w:val="20"/>
        </w:rPr>
        <w:t xml:space="preserve"> </w:t>
      </w:r>
    </w:p>
    <w:p w14:paraId="6A234DEF" w14:textId="0503F615" w:rsidR="004F6DFE" w:rsidRDefault="004F6DFE" w:rsidP="00CA6C67">
      <w:pPr>
        <w:rPr>
          <w:sz w:val="20"/>
        </w:rPr>
      </w:pPr>
      <w:r w:rsidRPr="002D2401">
        <w:rPr>
          <w:b/>
          <w:sz w:val="20"/>
        </w:rPr>
        <w:t>Renton</w:t>
      </w:r>
      <w:r>
        <w:rPr>
          <w:sz w:val="20"/>
        </w:rPr>
        <w:t xml:space="preserve"> – $31.12 </w:t>
      </w:r>
      <w:r w:rsidRPr="00B4206B">
        <w:rPr>
          <w:sz w:val="20"/>
        </w:rPr>
        <w:t>fixed</w:t>
      </w:r>
      <w:r>
        <w:rPr>
          <w:sz w:val="20"/>
        </w:rPr>
        <w:t xml:space="preserve"> Source: </w:t>
      </w:r>
      <w:hyperlink r:id="rId2" w:history="1">
        <w:r w:rsidRPr="00493155">
          <w:rPr>
            <w:rStyle w:val="Hyperlink"/>
            <w:sz w:val="20"/>
          </w:rPr>
          <w:t>https://www.rentonwa.gov/cms/one.aspx?portalId=7922741&amp;pageId=17174716</w:t>
        </w:r>
      </w:hyperlink>
    </w:p>
    <w:p w14:paraId="1C15676D" w14:textId="73A40A2D" w:rsidR="004F6DFE" w:rsidRDefault="004F6DFE" w:rsidP="00CA6C67">
      <w:pPr>
        <w:rPr>
          <w:sz w:val="20"/>
        </w:rPr>
      </w:pPr>
      <w:r w:rsidRPr="002D2401">
        <w:rPr>
          <w:b/>
          <w:sz w:val="20"/>
        </w:rPr>
        <w:t>Bellevue</w:t>
      </w:r>
      <w:r>
        <w:rPr>
          <w:sz w:val="20"/>
        </w:rPr>
        <w:t xml:space="preserve"> </w:t>
      </w:r>
    </w:p>
    <w:p w14:paraId="0330EA26" w14:textId="23D89CE3" w:rsidR="004F6DFE" w:rsidRPr="005626EF" w:rsidRDefault="004F6DFE" w:rsidP="00CA6C67">
      <w:pPr>
        <w:rPr>
          <w:sz w:val="20"/>
        </w:rPr>
      </w:pPr>
      <w:r w:rsidRPr="005626EF">
        <w:rPr>
          <w:sz w:val="20"/>
        </w:rPr>
        <w:t>Bellevue passes WTDs $</w:t>
      </w:r>
      <w:r>
        <w:rPr>
          <w:sz w:val="20"/>
        </w:rPr>
        <w:t>47.37</w:t>
      </w:r>
      <w:r w:rsidRPr="005626EF">
        <w:rPr>
          <w:sz w:val="20"/>
        </w:rPr>
        <w:t xml:space="preserve"> through directly, and adds its own rate of $4.93/</w:t>
      </w:r>
      <w:proofErr w:type="spellStart"/>
      <w:r w:rsidRPr="005626EF">
        <w:rPr>
          <w:sz w:val="20"/>
        </w:rPr>
        <w:t>ccf</w:t>
      </w:r>
      <w:proofErr w:type="spellEnd"/>
      <w:r w:rsidRPr="005626EF">
        <w:rPr>
          <w:sz w:val="20"/>
        </w:rPr>
        <w:t xml:space="preserve">  (charging bimonthly), -- to make it monthly -- using 7.5 per month (KC conversion rate) would be 15 </w:t>
      </w:r>
      <w:proofErr w:type="spellStart"/>
      <w:r w:rsidRPr="005626EF">
        <w:rPr>
          <w:sz w:val="20"/>
        </w:rPr>
        <w:t>ccf</w:t>
      </w:r>
      <w:proofErr w:type="spellEnd"/>
      <w:r w:rsidRPr="005626EF">
        <w:rPr>
          <w:sz w:val="20"/>
        </w:rPr>
        <w:t xml:space="preserve"> per 2 months multiplied by $4.93 = $73.95 2 month bill /</w:t>
      </w:r>
      <w:r>
        <w:rPr>
          <w:sz w:val="20"/>
        </w:rPr>
        <w:t xml:space="preserve"> </w:t>
      </w:r>
      <w:r w:rsidRPr="005626EF">
        <w:rPr>
          <w:sz w:val="20"/>
        </w:rPr>
        <w:t>2 = $36.97 month</w:t>
      </w:r>
      <w:r>
        <w:rPr>
          <w:sz w:val="20"/>
        </w:rPr>
        <w:t xml:space="preserve">.  </w:t>
      </w:r>
      <w:r w:rsidRPr="002D2401">
        <w:rPr>
          <w:sz w:val="20"/>
        </w:rPr>
        <w:t>Source:</w:t>
      </w:r>
      <w:r>
        <w:rPr>
          <w:sz w:val="20"/>
        </w:rPr>
        <w:t xml:space="preserve"> </w:t>
      </w:r>
      <w:hyperlink r:id="rId3" w:history="1">
        <w:r w:rsidRPr="00493155">
          <w:rPr>
            <w:rStyle w:val="Hyperlink"/>
            <w:sz w:val="20"/>
          </w:rPr>
          <w:t>https://bellevuewa.gov/sites/default/files/media/pdf_document/2021/Utility%20Rate%20Flier_2021updated_Revised.pdf</w:t>
        </w:r>
      </w:hyperlink>
    </w:p>
    <w:p w14:paraId="36948400" w14:textId="455EC4F5" w:rsidR="004F6DFE" w:rsidRPr="005F02EE" w:rsidRDefault="004F6DFE" w:rsidP="00CA6C67">
      <w:pPr>
        <w:rPr>
          <w:color w:val="0563C1" w:themeColor="hyperlink"/>
          <w:sz w:val="20"/>
          <w:u w:val="single"/>
        </w:rPr>
      </w:pPr>
      <w:r w:rsidRPr="002D2401">
        <w:rPr>
          <w:b/>
          <w:sz w:val="20"/>
        </w:rPr>
        <w:t>Sammamish Plateau Water/Sewer District</w:t>
      </w:r>
      <w:r>
        <w:rPr>
          <w:sz w:val="20"/>
        </w:rPr>
        <w:t xml:space="preserve"> –</w:t>
      </w:r>
      <w:r w:rsidRPr="00B4206B">
        <w:rPr>
          <w:sz w:val="20"/>
        </w:rPr>
        <w:t xml:space="preserve"> </w:t>
      </w:r>
      <w:r>
        <w:rPr>
          <w:sz w:val="20"/>
        </w:rPr>
        <w:t>$</w:t>
      </w:r>
      <w:r w:rsidRPr="00B4206B">
        <w:rPr>
          <w:sz w:val="20"/>
        </w:rPr>
        <w:t>3</w:t>
      </w:r>
      <w:r>
        <w:rPr>
          <w:sz w:val="20"/>
        </w:rPr>
        <w:t>7</w:t>
      </w:r>
      <w:r w:rsidRPr="00B4206B">
        <w:rPr>
          <w:sz w:val="20"/>
        </w:rPr>
        <w:t>.</w:t>
      </w:r>
      <w:r>
        <w:rPr>
          <w:sz w:val="20"/>
        </w:rPr>
        <w:t>96</w:t>
      </w:r>
      <w:r w:rsidRPr="00B4206B">
        <w:rPr>
          <w:sz w:val="20"/>
        </w:rPr>
        <w:t xml:space="preserve"> </w:t>
      </w:r>
      <w:r>
        <w:rPr>
          <w:sz w:val="20"/>
        </w:rPr>
        <w:t xml:space="preserve">Source: </w:t>
      </w:r>
      <w:hyperlink r:id="rId4" w:history="1">
        <w:r w:rsidRPr="00493155">
          <w:rPr>
            <w:rStyle w:val="Hyperlink"/>
            <w:sz w:val="20"/>
          </w:rPr>
          <w:t>https://spwater.org/384/Single-Family-Residential-Water-and-Sewe</w:t>
        </w:r>
      </w:hyperlink>
      <w:r>
        <w:rPr>
          <w:sz w:val="20"/>
        </w:rPr>
        <w:t>.</w:t>
      </w:r>
    </w:p>
    <w:p w14:paraId="608EFF96" w14:textId="5C44A5B1" w:rsidR="004F6DFE" w:rsidRPr="00B4206B" w:rsidRDefault="004F6DFE" w:rsidP="00CA6C67">
      <w:pPr>
        <w:rPr>
          <w:sz w:val="20"/>
        </w:rPr>
      </w:pPr>
      <w:proofErr w:type="spellStart"/>
      <w:r w:rsidRPr="002D2401">
        <w:rPr>
          <w:b/>
          <w:sz w:val="20"/>
        </w:rPr>
        <w:t>Soos</w:t>
      </w:r>
      <w:proofErr w:type="spellEnd"/>
      <w:r w:rsidRPr="002D2401">
        <w:rPr>
          <w:b/>
          <w:sz w:val="20"/>
        </w:rPr>
        <w:t xml:space="preserve"> Creek Water Sewer District</w:t>
      </w:r>
      <w:r>
        <w:rPr>
          <w:sz w:val="20"/>
        </w:rPr>
        <w:t xml:space="preserve"> – </w:t>
      </w:r>
      <w:r w:rsidRPr="00B4206B">
        <w:rPr>
          <w:sz w:val="20"/>
        </w:rPr>
        <w:t>$</w:t>
      </w:r>
      <w:r>
        <w:rPr>
          <w:sz w:val="20"/>
        </w:rPr>
        <w:t>19.13</w:t>
      </w:r>
      <w:r w:rsidRPr="00B4206B">
        <w:rPr>
          <w:sz w:val="20"/>
        </w:rPr>
        <w:t xml:space="preserve">  </w:t>
      </w:r>
      <w:r>
        <w:rPr>
          <w:sz w:val="20"/>
        </w:rPr>
        <w:t xml:space="preserve">Source: </w:t>
      </w:r>
      <w:hyperlink r:id="rId5" w:history="1">
        <w:r w:rsidRPr="00B4206B">
          <w:rPr>
            <w:rStyle w:val="Hyperlink"/>
            <w:sz w:val="20"/>
          </w:rPr>
          <w:t>https://www.sooscreek.com/static/7/utility-rates</w:t>
        </w:r>
      </w:hyperlink>
      <w:r>
        <w:rPr>
          <w:rStyle w:val="Hyperlink"/>
          <w:sz w:val="20"/>
        </w:rPr>
        <w:t>.</w:t>
      </w:r>
    </w:p>
    <w:p w14:paraId="68F00D46" w14:textId="77777777" w:rsidR="004F6DFE" w:rsidRDefault="004F6DFE" w:rsidP="00CA6C6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27A5" w14:textId="77777777" w:rsidR="004F6DFE" w:rsidRDefault="004F6DFE" w:rsidP="0037234A">
    <w:pPr>
      <w:jc w:val="center"/>
    </w:pPr>
    <w:r>
      <w:rPr>
        <w:noProof/>
      </w:rPr>
      <w:drawing>
        <wp:inline distT="0" distB="0" distL="0" distR="0" wp14:anchorId="33973BB2" wp14:editId="4BD9DF5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E0FD064" w14:textId="77777777" w:rsidR="004F6DFE" w:rsidRPr="003B03EF" w:rsidRDefault="004F6DFE" w:rsidP="0037234A">
    <w:pPr>
      <w:jc w:val="center"/>
      <w:rPr>
        <w:rFonts w:ascii="Arial" w:hAnsi="Arial"/>
        <w:szCs w:val="22"/>
      </w:rPr>
    </w:pPr>
  </w:p>
  <w:p w14:paraId="4B9E0351" w14:textId="77777777" w:rsidR="004F6DFE" w:rsidRDefault="004F6DFE" w:rsidP="00346E7D">
    <w:pPr>
      <w:jc w:val="center"/>
      <w:rPr>
        <w:rFonts w:ascii="Verdana" w:hAnsi="Verdana"/>
        <w:b/>
        <w:sz w:val="28"/>
        <w:szCs w:val="28"/>
      </w:rPr>
    </w:pPr>
    <w:r>
      <w:rPr>
        <w:rFonts w:ascii="Verdana" w:hAnsi="Verdana"/>
        <w:b/>
        <w:sz w:val="28"/>
        <w:szCs w:val="28"/>
      </w:rPr>
      <w:t>Metropolitan King County Council</w:t>
    </w:r>
  </w:p>
  <w:p w14:paraId="07F20DAD" w14:textId="77777777" w:rsidR="004F6DFE" w:rsidRPr="004A1D48" w:rsidRDefault="004F6DFE" w:rsidP="00346E7D">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599"/>
    <w:multiLevelType w:val="hybridMultilevel"/>
    <w:tmpl w:val="D052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41EBF"/>
    <w:multiLevelType w:val="hybridMultilevel"/>
    <w:tmpl w:val="56B2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5F3FA6"/>
    <w:multiLevelType w:val="hybridMultilevel"/>
    <w:tmpl w:val="0A7ECC8A"/>
    <w:lvl w:ilvl="0" w:tplc="6E3672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BAC9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015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44A6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7496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E028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1298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2E9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C241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5E1563"/>
    <w:multiLevelType w:val="hybridMultilevel"/>
    <w:tmpl w:val="4AC01308"/>
    <w:lvl w:ilvl="0" w:tplc="8A36B8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D04B0E">
      <w:start w:val="1"/>
      <w:numFmt w:val="bullet"/>
      <w:lvlText w:val="o"/>
      <w:lvlJc w:val="left"/>
      <w:pPr>
        <w:ind w:left="1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DE92C8">
      <w:start w:val="1"/>
      <w:numFmt w:val="bullet"/>
      <w:lvlText w:val="▪"/>
      <w:lvlJc w:val="left"/>
      <w:pPr>
        <w:ind w:left="2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B8EEF0">
      <w:start w:val="1"/>
      <w:numFmt w:val="bullet"/>
      <w:lvlText w:val="•"/>
      <w:lvlJc w:val="left"/>
      <w:pPr>
        <w:ind w:left="3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52A294">
      <w:start w:val="1"/>
      <w:numFmt w:val="bullet"/>
      <w:lvlText w:val="o"/>
      <w:lvlJc w:val="left"/>
      <w:pPr>
        <w:ind w:left="3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0C9CCE">
      <w:start w:val="1"/>
      <w:numFmt w:val="bullet"/>
      <w:lvlText w:val="▪"/>
      <w:lvlJc w:val="left"/>
      <w:pPr>
        <w:ind w:left="4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42879A">
      <w:start w:val="1"/>
      <w:numFmt w:val="bullet"/>
      <w:lvlText w:val="•"/>
      <w:lvlJc w:val="left"/>
      <w:pPr>
        <w:ind w:left="5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7860FC">
      <w:start w:val="1"/>
      <w:numFmt w:val="bullet"/>
      <w:lvlText w:val="o"/>
      <w:lvlJc w:val="left"/>
      <w:pPr>
        <w:ind w:left="5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983784">
      <w:start w:val="1"/>
      <w:numFmt w:val="bullet"/>
      <w:lvlText w:val="▪"/>
      <w:lvlJc w:val="left"/>
      <w:pPr>
        <w:ind w:left="6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59228C"/>
    <w:multiLevelType w:val="hybridMultilevel"/>
    <w:tmpl w:val="35C06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34F63"/>
    <w:multiLevelType w:val="hybridMultilevel"/>
    <w:tmpl w:val="7C1800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418DA"/>
    <w:multiLevelType w:val="hybridMultilevel"/>
    <w:tmpl w:val="14A69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611D44"/>
    <w:multiLevelType w:val="hybridMultilevel"/>
    <w:tmpl w:val="35C06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87445"/>
    <w:multiLevelType w:val="hybridMultilevel"/>
    <w:tmpl w:val="ABB0EFD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4DD703EB"/>
    <w:multiLevelType w:val="hybridMultilevel"/>
    <w:tmpl w:val="D7B49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ED23C0"/>
    <w:multiLevelType w:val="hybridMultilevel"/>
    <w:tmpl w:val="7544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170E0"/>
    <w:multiLevelType w:val="hybridMultilevel"/>
    <w:tmpl w:val="26D8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C2657"/>
    <w:multiLevelType w:val="hybridMultilevel"/>
    <w:tmpl w:val="42CC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B600F"/>
    <w:multiLevelType w:val="hybridMultilevel"/>
    <w:tmpl w:val="B720B9A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5" w15:restartNumberingAfterBreak="0">
    <w:nsid w:val="58E5155F"/>
    <w:multiLevelType w:val="hybridMultilevel"/>
    <w:tmpl w:val="05C260F8"/>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EBAC9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015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44A6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7496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E028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1298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2E9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C241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12"/>
  </w:num>
  <w:num w:numId="4">
    <w:abstractNumId w:val="14"/>
  </w:num>
  <w:num w:numId="5">
    <w:abstractNumId w:val="13"/>
  </w:num>
  <w:num w:numId="6">
    <w:abstractNumId w:val="0"/>
  </w:num>
  <w:num w:numId="7">
    <w:abstractNumId w:val="11"/>
  </w:num>
  <w:num w:numId="8">
    <w:abstractNumId w:val="2"/>
  </w:num>
  <w:num w:numId="9">
    <w:abstractNumId w:val="15"/>
  </w:num>
  <w:num w:numId="10">
    <w:abstractNumId w:val="3"/>
  </w:num>
  <w:num w:numId="11">
    <w:abstractNumId w:val="9"/>
  </w:num>
  <w:num w:numId="12">
    <w:abstractNumId w:val="10"/>
  </w:num>
  <w:num w:numId="13">
    <w:abstractNumId w:val="1"/>
  </w:num>
  <w:num w:numId="14">
    <w:abstractNumId w:val="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67"/>
    <w:rsid w:val="00000F8F"/>
    <w:rsid w:val="000022EB"/>
    <w:rsid w:val="000047E1"/>
    <w:rsid w:val="0000791A"/>
    <w:rsid w:val="00013436"/>
    <w:rsid w:val="00016089"/>
    <w:rsid w:val="00016B94"/>
    <w:rsid w:val="0003625A"/>
    <w:rsid w:val="0004270E"/>
    <w:rsid w:val="000473EB"/>
    <w:rsid w:val="00050887"/>
    <w:rsid w:val="00051B8E"/>
    <w:rsid w:val="00057264"/>
    <w:rsid w:val="000603BB"/>
    <w:rsid w:val="00060870"/>
    <w:rsid w:val="00063F09"/>
    <w:rsid w:val="00064B2D"/>
    <w:rsid w:val="00064E2C"/>
    <w:rsid w:val="0006645F"/>
    <w:rsid w:val="00066EE7"/>
    <w:rsid w:val="00072313"/>
    <w:rsid w:val="000742DC"/>
    <w:rsid w:val="00077866"/>
    <w:rsid w:val="00081EFD"/>
    <w:rsid w:val="00094971"/>
    <w:rsid w:val="00095AAB"/>
    <w:rsid w:val="0009769B"/>
    <w:rsid w:val="000A0001"/>
    <w:rsid w:val="000A19B1"/>
    <w:rsid w:val="000A5CFB"/>
    <w:rsid w:val="000B24F3"/>
    <w:rsid w:val="000C1194"/>
    <w:rsid w:val="000C3039"/>
    <w:rsid w:val="000C36B2"/>
    <w:rsid w:val="000C402B"/>
    <w:rsid w:val="000C5434"/>
    <w:rsid w:val="000C5D62"/>
    <w:rsid w:val="000C6360"/>
    <w:rsid w:val="000C7BD1"/>
    <w:rsid w:val="000D00F6"/>
    <w:rsid w:val="000D150F"/>
    <w:rsid w:val="000E0E0E"/>
    <w:rsid w:val="000E2E6E"/>
    <w:rsid w:val="000E3CD2"/>
    <w:rsid w:val="000E4C3E"/>
    <w:rsid w:val="000E5723"/>
    <w:rsid w:val="000E5C08"/>
    <w:rsid w:val="000E67DE"/>
    <w:rsid w:val="000F69C5"/>
    <w:rsid w:val="00100E21"/>
    <w:rsid w:val="0010357F"/>
    <w:rsid w:val="00107ADB"/>
    <w:rsid w:val="00107B69"/>
    <w:rsid w:val="001176E0"/>
    <w:rsid w:val="00121968"/>
    <w:rsid w:val="001224A6"/>
    <w:rsid w:val="00122831"/>
    <w:rsid w:val="0012590D"/>
    <w:rsid w:val="001262BF"/>
    <w:rsid w:val="00141E91"/>
    <w:rsid w:val="00143211"/>
    <w:rsid w:val="00151A5D"/>
    <w:rsid w:val="00164890"/>
    <w:rsid w:val="001752D3"/>
    <w:rsid w:val="00176467"/>
    <w:rsid w:val="00185470"/>
    <w:rsid w:val="00186053"/>
    <w:rsid w:val="0018615F"/>
    <w:rsid w:val="00190B11"/>
    <w:rsid w:val="00191CBF"/>
    <w:rsid w:val="00192B56"/>
    <w:rsid w:val="001A2110"/>
    <w:rsid w:val="001A6D76"/>
    <w:rsid w:val="001B20BD"/>
    <w:rsid w:val="001B2C86"/>
    <w:rsid w:val="001B7827"/>
    <w:rsid w:val="001C3C07"/>
    <w:rsid w:val="001C3D4A"/>
    <w:rsid w:val="001D0408"/>
    <w:rsid w:val="001D33B0"/>
    <w:rsid w:val="001D64BF"/>
    <w:rsid w:val="001E0A5D"/>
    <w:rsid w:val="001E4D0E"/>
    <w:rsid w:val="001E5384"/>
    <w:rsid w:val="001E6264"/>
    <w:rsid w:val="001E7480"/>
    <w:rsid w:val="001F1137"/>
    <w:rsid w:val="001F5D55"/>
    <w:rsid w:val="001F7C3B"/>
    <w:rsid w:val="00203203"/>
    <w:rsid w:val="002066B4"/>
    <w:rsid w:val="00207320"/>
    <w:rsid w:val="00207DEE"/>
    <w:rsid w:val="0021030C"/>
    <w:rsid w:val="00210DC4"/>
    <w:rsid w:val="0021415F"/>
    <w:rsid w:val="0022010F"/>
    <w:rsid w:val="0022122E"/>
    <w:rsid w:val="00222071"/>
    <w:rsid w:val="00225657"/>
    <w:rsid w:val="002321F8"/>
    <w:rsid w:val="00234CBB"/>
    <w:rsid w:val="002368F3"/>
    <w:rsid w:val="00237A67"/>
    <w:rsid w:val="00243E7E"/>
    <w:rsid w:val="00244E04"/>
    <w:rsid w:val="0024752F"/>
    <w:rsid w:val="00255844"/>
    <w:rsid w:val="002631CF"/>
    <w:rsid w:val="00263F90"/>
    <w:rsid w:val="00264A81"/>
    <w:rsid w:val="0026685A"/>
    <w:rsid w:val="002669E5"/>
    <w:rsid w:val="002671C4"/>
    <w:rsid w:val="0026762F"/>
    <w:rsid w:val="00270B8F"/>
    <w:rsid w:val="002739B0"/>
    <w:rsid w:val="00273A12"/>
    <w:rsid w:val="00276A0D"/>
    <w:rsid w:val="00276C1B"/>
    <w:rsid w:val="00282A82"/>
    <w:rsid w:val="00284DAA"/>
    <w:rsid w:val="002853D8"/>
    <w:rsid w:val="00292C65"/>
    <w:rsid w:val="0029325C"/>
    <w:rsid w:val="00294899"/>
    <w:rsid w:val="002961E4"/>
    <w:rsid w:val="00297ACF"/>
    <w:rsid w:val="002A0BF3"/>
    <w:rsid w:val="002A12CF"/>
    <w:rsid w:val="002A2D5C"/>
    <w:rsid w:val="002A4301"/>
    <w:rsid w:val="002A457C"/>
    <w:rsid w:val="002A5A24"/>
    <w:rsid w:val="002B17EC"/>
    <w:rsid w:val="002B416B"/>
    <w:rsid w:val="002B5199"/>
    <w:rsid w:val="002B5F86"/>
    <w:rsid w:val="002D0531"/>
    <w:rsid w:val="002D435E"/>
    <w:rsid w:val="002E1B86"/>
    <w:rsid w:val="002E7025"/>
    <w:rsid w:val="002E71F7"/>
    <w:rsid w:val="002F2E95"/>
    <w:rsid w:val="002F396E"/>
    <w:rsid w:val="002F51DB"/>
    <w:rsid w:val="002F6337"/>
    <w:rsid w:val="00302CDD"/>
    <w:rsid w:val="00302E7F"/>
    <w:rsid w:val="00310324"/>
    <w:rsid w:val="0031092A"/>
    <w:rsid w:val="00310A6E"/>
    <w:rsid w:val="00310BE5"/>
    <w:rsid w:val="00311128"/>
    <w:rsid w:val="0031173B"/>
    <w:rsid w:val="0032501B"/>
    <w:rsid w:val="0032562C"/>
    <w:rsid w:val="00327D29"/>
    <w:rsid w:val="00332226"/>
    <w:rsid w:val="00345BE1"/>
    <w:rsid w:val="00346E7D"/>
    <w:rsid w:val="00347402"/>
    <w:rsid w:val="00353763"/>
    <w:rsid w:val="00353B1E"/>
    <w:rsid w:val="00353F20"/>
    <w:rsid w:val="003548BD"/>
    <w:rsid w:val="0035636C"/>
    <w:rsid w:val="003573A8"/>
    <w:rsid w:val="003603CB"/>
    <w:rsid w:val="00360AA5"/>
    <w:rsid w:val="00363C1D"/>
    <w:rsid w:val="00364939"/>
    <w:rsid w:val="00366C33"/>
    <w:rsid w:val="00366C61"/>
    <w:rsid w:val="00370FBA"/>
    <w:rsid w:val="0037234A"/>
    <w:rsid w:val="003762CD"/>
    <w:rsid w:val="003770B4"/>
    <w:rsid w:val="003808EB"/>
    <w:rsid w:val="00381560"/>
    <w:rsid w:val="003817C1"/>
    <w:rsid w:val="00381AE9"/>
    <w:rsid w:val="0038655A"/>
    <w:rsid w:val="003868B6"/>
    <w:rsid w:val="00393863"/>
    <w:rsid w:val="003A3341"/>
    <w:rsid w:val="003A5C45"/>
    <w:rsid w:val="003C062E"/>
    <w:rsid w:val="003C1F55"/>
    <w:rsid w:val="003C6766"/>
    <w:rsid w:val="003D274D"/>
    <w:rsid w:val="003D7022"/>
    <w:rsid w:val="003D70C8"/>
    <w:rsid w:val="003E2FA4"/>
    <w:rsid w:val="003E3180"/>
    <w:rsid w:val="003E7B09"/>
    <w:rsid w:val="003F0BAC"/>
    <w:rsid w:val="003F1801"/>
    <w:rsid w:val="003F5297"/>
    <w:rsid w:val="00402AAF"/>
    <w:rsid w:val="004059B9"/>
    <w:rsid w:val="00413119"/>
    <w:rsid w:val="004141B1"/>
    <w:rsid w:val="00423C53"/>
    <w:rsid w:val="004259AD"/>
    <w:rsid w:val="004259FD"/>
    <w:rsid w:val="0042678E"/>
    <w:rsid w:val="004315E2"/>
    <w:rsid w:val="00440316"/>
    <w:rsid w:val="004432F5"/>
    <w:rsid w:val="004471DC"/>
    <w:rsid w:val="0045071E"/>
    <w:rsid w:val="0046798B"/>
    <w:rsid w:val="00472EB0"/>
    <w:rsid w:val="004753C4"/>
    <w:rsid w:val="00475CAD"/>
    <w:rsid w:val="00475EF7"/>
    <w:rsid w:val="0047753C"/>
    <w:rsid w:val="00482E92"/>
    <w:rsid w:val="004879F0"/>
    <w:rsid w:val="004919C4"/>
    <w:rsid w:val="00491ACB"/>
    <w:rsid w:val="00495BBD"/>
    <w:rsid w:val="004B15AB"/>
    <w:rsid w:val="004B48DB"/>
    <w:rsid w:val="004C132C"/>
    <w:rsid w:val="004C56B2"/>
    <w:rsid w:val="004C7158"/>
    <w:rsid w:val="004D0826"/>
    <w:rsid w:val="004D1430"/>
    <w:rsid w:val="004D16FC"/>
    <w:rsid w:val="004E0118"/>
    <w:rsid w:val="004E514C"/>
    <w:rsid w:val="004E51F1"/>
    <w:rsid w:val="004F29C8"/>
    <w:rsid w:val="004F6DFE"/>
    <w:rsid w:val="005017A6"/>
    <w:rsid w:val="00503B3A"/>
    <w:rsid w:val="00513AEF"/>
    <w:rsid w:val="0051699D"/>
    <w:rsid w:val="00517C0E"/>
    <w:rsid w:val="00522479"/>
    <w:rsid w:val="0053601A"/>
    <w:rsid w:val="00537043"/>
    <w:rsid w:val="0053763B"/>
    <w:rsid w:val="005408DC"/>
    <w:rsid w:val="005475B7"/>
    <w:rsid w:val="005527DF"/>
    <w:rsid w:val="005534CC"/>
    <w:rsid w:val="0055425F"/>
    <w:rsid w:val="00554822"/>
    <w:rsid w:val="0055593B"/>
    <w:rsid w:val="005610EA"/>
    <w:rsid w:val="005626EF"/>
    <w:rsid w:val="00565AD2"/>
    <w:rsid w:val="00565FB7"/>
    <w:rsid w:val="00566F63"/>
    <w:rsid w:val="0057134D"/>
    <w:rsid w:val="00576DD6"/>
    <w:rsid w:val="00577EFD"/>
    <w:rsid w:val="00583FBA"/>
    <w:rsid w:val="00590740"/>
    <w:rsid w:val="00595655"/>
    <w:rsid w:val="00597029"/>
    <w:rsid w:val="0059767A"/>
    <w:rsid w:val="005A0603"/>
    <w:rsid w:val="005A15CF"/>
    <w:rsid w:val="005A23D9"/>
    <w:rsid w:val="005A3711"/>
    <w:rsid w:val="005A7510"/>
    <w:rsid w:val="005B2B7A"/>
    <w:rsid w:val="005B31DB"/>
    <w:rsid w:val="005C36AB"/>
    <w:rsid w:val="005C466C"/>
    <w:rsid w:val="005C7C19"/>
    <w:rsid w:val="005D1952"/>
    <w:rsid w:val="005D770A"/>
    <w:rsid w:val="005E0453"/>
    <w:rsid w:val="005E0A07"/>
    <w:rsid w:val="005E2E91"/>
    <w:rsid w:val="005E3911"/>
    <w:rsid w:val="005E425D"/>
    <w:rsid w:val="005F021C"/>
    <w:rsid w:val="005F02EE"/>
    <w:rsid w:val="005F5672"/>
    <w:rsid w:val="005F56EF"/>
    <w:rsid w:val="006001B0"/>
    <w:rsid w:val="0060060E"/>
    <w:rsid w:val="00603C96"/>
    <w:rsid w:val="006053B9"/>
    <w:rsid w:val="00605C00"/>
    <w:rsid w:val="006102FC"/>
    <w:rsid w:val="0061192E"/>
    <w:rsid w:val="00612C9D"/>
    <w:rsid w:val="00613256"/>
    <w:rsid w:val="006136B6"/>
    <w:rsid w:val="00614F05"/>
    <w:rsid w:val="006163F2"/>
    <w:rsid w:val="006165BE"/>
    <w:rsid w:val="006202AD"/>
    <w:rsid w:val="006211B7"/>
    <w:rsid w:val="006278A1"/>
    <w:rsid w:val="00631916"/>
    <w:rsid w:val="00632C70"/>
    <w:rsid w:val="0063442B"/>
    <w:rsid w:val="0063561B"/>
    <w:rsid w:val="00642AAA"/>
    <w:rsid w:val="006452B8"/>
    <w:rsid w:val="00654592"/>
    <w:rsid w:val="006548FB"/>
    <w:rsid w:val="00655A1C"/>
    <w:rsid w:val="00660445"/>
    <w:rsid w:val="006671CF"/>
    <w:rsid w:val="00667602"/>
    <w:rsid w:val="006679B5"/>
    <w:rsid w:val="00667D32"/>
    <w:rsid w:val="00672478"/>
    <w:rsid w:val="00676F35"/>
    <w:rsid w:val="0068080F"/>
    <w:rsid w:val="00682E84"/>
    <w:rsid w:val="00685613"/>
    <w:rsid w:val="00687790"/>
    <w:rsid w:val="00692284"/>
    <w:rsid w:val="006948DF"/>
    <w:rsid w:val="00696F35"/>
    <w:rsid w:val="006A080A"/>
    <w:rsid w:val="006A1820"/>
    <w:rsid w:val="006A1C72"/>
    <w:rsid w:val="006A2C66"/>
    <w:rsid w:val="006A6B0F"/>
    <w:rsid w:val="006B0B57"/>
    <w:rsid w:val="006B3C92"/>
    <w:rsid w:val="006B4DBA"/>
    <w:rsid w:val="006B5919"/>
    <w:rsid w:val="006B6A5D"/>
    <w:rsid w:val="006B7F5F"/>
    <w:rsid w:val="006C3B32"/>
    <w:rsid w:val="006D02BF"/>
    <w:rsid w:val="006D4266"/>
    <w:rsid w:val="006E5225"/>
    <w:rsid w:val="006E52AB"/>
    <w:rsid w:val="006E6BDE"/>
    <w:rsid w:val="006F2A20"/>
    <w:rsid w:val="006F49D8"/>
    <w:rsid w:val="00701309"/>
    <w:rsid w:val="00701B7F"/>
    <w:rsid w:val="00703F54"/>
    <w:rsid w:val="007058CD"/>
    <w:rsid w:val="00711CB0"/>
    <w:rsid w:val="00713AE0"/>
    <w:rsid w:val="0071529B"/>
    <w:rsid w:val="00716357"/>
    <w:rsid w:val="00720B66"/>
    <w:rsid w:val="007307FD"/>
    <w:rsid w:val="0073101B"/>
    <w:rsid w:val="00747C2A"/>
    <w:rsid w:val="00750DEA"/>
    <w:rsid w:val="00756DD8"/>
    <w:rsid w:val="00760269"/>
    <w:rsid w:val="00762BBC"/>
    <w:rsid w:val="0077449B"/>
    <w:rsid w:val="00777B32"/>
    <w:rsid w:val="00780F76"/>
    <w:rsid w:val="00784340"/>
    <w:rsid w:val="00786F27"/>
    <w:rsid w:val="00792DCD"/>
    <w:rsid w:val="007955E6"/>
    <w:rsid w:val="007A3601"/>
    <w:rsid w:val="007A5ABA"/>
    <w:rsid w:val="007A65B3"/>
    <w:rsid w:val="007A6854"/>
    <w:rsid w:val="007B2CB4"/>
    <w:rsid w:val="007B5245"/>
    <w:rsid w:val="007B5888"/>
    <w:rsid w:val="007C10D8"/>
    <w:rsid w:val="007C2A35"/>
    <w:rsid w:val="007C779B"/>
    <w:rsid w:val="007E06FB"/>
    <w:rsid w:val="007E206A"/>
    <w:rsid w:val="007F23D3"/>
    <w:rsid w:val="007F4B13"/>
    <w:rsid w:val="007F521E"/>
    <w:rsid w:val="007F60BF"/>
    <w:rsid w:val="007F61EA"/>
    <w:rsid w:val="007F6E18"/>
    <w:rsid w:val="007F75F5"/>
    <w:rsid w:val="00802A31"/>
    <w:rsid w:val="00804A99"/>
    <w:rsid w:val="00805A36"/>
    <w:rsid w:val="00807816"/>
    <w:rsid w:val="00814053"/>
    <w:rsid w:val="0081545E"/>
    <w:rsid w:val="008200C5"/>
    <w:rsid w:val="008202C9"/>
    <w:rsid w:val="00820DD0"/>
    <w:rsid w:val="00827A11"/>
    <w:rsid w:val="008307ED"/>
    <w:rsid w:val="0084092D"/>
    <w:rsid w:val="00841142"/>
    <w:rsid w:val="008454CC"/>
    <w:rsid w:val="0086316C"/>
    <w:rsid w:val="008726B0"/>
    <w:rsid w:val="00875AF1"/>
    <w:rsid w:val="0087655D"/>
    <w:rsid w:val="008801E7"/>
    <w:rsid w:val="008858C1"/>
    <w:rsid w:val="00886CD3"/>
    <w:rsid w:val="00891D41"/>
    <w:rsid w:val="00894EC2"/>
    <w:rsid w:val="00896CD1"/>
    <w:rsid w:val="008A45FD"/>
    <w:rsid w:val="008B12CD"/>
    <w:rsid w:val="008B5E26"/>
    <w:rsid w:val="008B5F66"/>
    <w:rsid w:val="008C0B45"/>
    <w:rsid w:val="008C254D"/>
    <w:rsid w:val="008D259B"/>
    <w:rsid w:val="008D60E2"/>
    <w:rsid w:val="008D63C2"/>
    <w:rsid w:val="008D6787"/>
    <w:rsid w:val="008E00A2"/>
    <w:rsid w:val="008E693C"/>
    <w:rsid w:val="008F4366"/>
    <w:rsid w:val="008F59B2"/>
    <w:rsid w:val="008F5A2E"/>
    <w:rsid w:val="008F655F"/>
    <w:rsid w:val="008F6A51"/>
    <w:rsid w:val="009017C4"/>
    <w:rsid w:val="00903F51"/>
    <w:rsid w:val="00906E5A"/>
    <w:rsid w:val="00911BAE"/>
    <w:rsid w:val="00911DB6"/>
    <w:rsid w:val="00913B3A"/>
    <w:rsid w:val="00916800"/>
    <w:rsid w:val="00920A22"/>
    <w:rsid w:val="00923AE3"/>
    <w:rsid w:val="00924DCD"/>
    <w:rsid w:val="00925A2C"/>
    <w:rsid w:val="00927814"/>
    <w:rsid w:val="0093301E"/>
    <w:rsid w:val="00947AC9"/>
    <w:rsid w:val="00951AA6"/>
    <w:rsid w:val="00963A29"/>
    <w:rsid w:val="009653E5"/>
    <w:rsid w:val="00971745"/>
    <w:rsid w:val="009723D6"/>
    <w:rsid w:val="00977585"/>
    <w:rsid w:val="009811BB"/>
    <w:rsid w:val="0098192F"/>
    <w:rsid w:val="00982C24"/>
    <w:rsid w:val="00986DF8"/>
    <w:rsid w:val="009919C6"/>
    <w:rsid w:val="009A52A5"/>
    <w:rsid w:val="009A53D5"/>
    <w:rsid w:val="009B0371"/>
    <w:rsid w:val="009B1CE6"/>
    <w:rsid w:val="009B1F28"/>
    <w:rsid w:val="009B25EA"/>
    <w:rsid w:val="009B5EEE"/>
    <w:rsid w:val="009C0FF1"/>
    <w:rsid w:val="009C3C4E"/>
    <w:rsid w:val="009C52C9"/>
    <w:rsid w:val="009C6126"/>
    <w:rsid w:val="009C66E1"/>
    <w:rsid w:val="009D290C"/>
    <w:rsid w:val="009D2F5A"/>
    <w:rsid w:val="009D550C"/>
    <w:rsid w:val="009D6538"/>
    <w:rsid w:val="009E15FA"/>
    <w:rsid w:val="009E7CC2"/>
    <w:rsid w:val="009F5A4C"/>
    <w:rsid w:val="00A01072"/>
    <w:rsid w:val="00A06158"/>
    <w:rsid w:val="00A07133"/>
    <w:rsid w:val="00A11F38"/>
    <w:rsid w:val="00A13C64"/>
    <w:rsid w:val="00A1402A"/>
    <w:rsid w:val="00A20117"/>
    <w:rsid w:val="00A2368A"/>
    <w:rsid w:val="00A23D0F"/>
    <w:rsid w:val="00A25F0C"/>
    <w:rsid w:val="00A273F1"/>
    <w:rsid w:val="00A35002"/>
    <w:rsid w:val="00A35DCE"/>
    <w:rsid w:val="00A41B07"/>
    <w:rsid w:val="00A43CC2"/>
    <w:rsid w:val="00A44FE2"/>
    <w:rsid w:val="00A560A6"/>
    <w:rsid w:val="00A62F40"/>
    <w:rsid w:val="00A63FBA"/>
    <w:rsid w:val="00A641F1"/>
    <w:rsid w:val="00A64D4B"/>
    <w:rsid w:val="00A876D6"/>
    <w:rsid w:val="00A9178C"/>
    <w:rsid w:val="00A94036"/>
    <w:rsid w:val="00A951AA"/>
    <w:rsid w:val="00A97703"/>
    <w:rsid w:val="00A9795C"/>
    <w:rsid w:val="00AA05B6"/>
    <w:rsid w:val="00AA33B2"/>
    <w:rsid w:val="00AA7261"/>
    <w:rsid w:val="00AB22B6"/>
    <w:rsid w:val="00AC02A3"/>
    <w:rsid w:val="00AC5246"/>
    <w:rsid w:val="00AD752E"/>
    <w:rsid w:val="00AE1EFA"/>
    <w:rsid w:val="00AE3597"/>
    <w:rsid w:val="00AF0ED9"/>
    <w:rsid w:val="00AF51D6"/>
    <w:rsid w:val="00AF6A0E"/>
    <w:rsid w:val="00B02355"/>
    <w:rsid w:val="00B02C04"/>
    <w:rsid w:val="00B0437C"/>
    <w:rsid w:val="00B20C54"/>
    <w:rsid w:val="00B2574A"/>
    <w:rsid w:val="00B261E3"/>
    <w:rsid w:val="00B42A30"/>
    <w:rsid w:val="00B51BF4"/>
    <w:rsid w:val="00B52297"/>
    <w:rsid w:val="00B530D6"/>
    <w:rsid w:val="00B57BCE"/>
    <w:rsid w:val="00B73E5A"/>
    <w:rsid w:val="00B81175"/>
    <w:rsid w:val="00B86DEC"/>
    <w:rsid w:val="00B870BD"/>
    <w:rsid w:val="00B93F7A"/>
    <w:rsid w:val="00B950B6"/>
    <w:rsid w:val="00B95270"/>
    <w:rsid w:val="00BA20FF"/>
    <w:rsid w:val="00BB0B99"/>
    <w:rsid w:val="00BC05AD"/>
    <w:rsid w:val="00BC0B9C"/>
    <w:rsid w:val="00BC3925"/>
    <w:rsid w:val="00BC4CFD"/>
    <w:rsid w:val="00BC51AF"/>
    <w:rsid w:val="00BC5397"/>
    <w:rsid w:val="00BC71B9"/>
    <w:rsid w:val="00BD0D0C"/>
    <w:rsid w:val="00BD60C4"/>
    <w:rsid w:val="00BE00C1"/>
    <w:rsid w:val="00BE06A5"/>
    <w:rsid w:val="00BE0B6D"/>
    <w:rsid w:val="00BE606B"/>
    <w:rsid w:val="00BE6A50"/>
    <w:rsid w:val="00BF0BC4"/>
    <w:rsid w:val="00BF400D"/>
    <w:rsid w:val="00BF4341"/>
    <w:rsid w:val="00BF5F7A"/>
    <w:rsid w:val="00BF6593"/>
    <w:rsid w:val="00C01702"/>
    <w:rsid w:val="00C120EC"/>
    <w:rsid w:val="00C133DF"/>
    <w:rsid w:val="00C21BFC"/>
    <w:rsid w:val="00C2210C"/>
    <w:rsid w:val="00C242F7"/>
    <w:rsid w:val="00C24610"/>
    <w:rsid w:val="00C24CE7"/>
    <w:rsid w:val="00C268DC"/>
    <w:rsid w:val="00C26B5D"/>
    <w:rsid w:val="00C311D2"/>
    <w:rsid w:val="00C3169C"/>
    <w:rsid w:val="00C345F7"/>
    <w:rsid w:val="00C34B14"/>
    <w:rsid w:val="00C3591D"/>
    <w:rsid w:val="00C35DCE"/>
    <w:rsid w:val="00C40447"/>
    <w:rsid w:val="00C413C6"/>
    <w:rsid w:val="00C41423"/>
    <w:rsid w:val="00C4380D"/>
    <w:rsid w:val="00C460C4"/>
    <w:rsid w:val="00C56621"/>
    <w:rsid w:val="00C57DA3"/>
    <w:rsid w:val="00C60627"/>
    <w:rsid w:val="00C62D42"/>
    <w:rsid w:val="00C647FC"/>
    <w:rsid w:val="00C6732B"/>
    <w:rsid w:val="00C71E7A"/>
    <w:rsid w:val="00C7253C"/>
    <w:rsid w:val="00C72883"/>
    <w:rsid w:val="00C75214"/>
    <w:rsid w:val="00C83DA6"/>
    <w:rsid w:val="00C87413"/>
    <w:rsid w:val="00C876A8"/>
    <w:rsid w:val="00C9083E"/>
    <w:rsid w:val="00C953B6"/>
    <w:rsid w:val="00CA147A"/>
    <w:rsid w:val="00CA656F"/>
    <w:rsid w:val="00CA6C67"/>
    <w:rsid w:val="00CB101E"/>
    <w:rsid w:val="00CB3FDA"/>
    <w:rsid w:val="00CB4138"/>
    <w:rsid w:val="00CC0A3D"/>
    <w:rsid w:val="00CC1B76"/>
    <w:rsid w:val="00CC6855"/>
    <w:rsid w:val="00CD0D08"/>
    <w:rsid w:val="00CE0AB9"/>
    <w:rsid w:val="00CE15DF"/>
    <w:rsid w:val="00CE41A0"/>
    <w:rsid w:val="00CE526B"/>
    <w:rsid w:val="00CE5C04"/>
    <w:rsid w:val="00CF4734"/>
    <w:rsid w:val="00CF54D6"/>
    <w:rsid w:val="00D04D9D"/>
    <w:rsid w:val="00D11928"/>
    <w:rsid w:val="00D1340C"/>
    <w:rsid w:val="00D27BE7"/>
    <w:rsid w:val="00D3034C"/>
    <w:rsid w:val="00D317BE"/>
    <w:rsid w:val="00D322BF"/>
    <w:rsid w:val="00D36178"/>
    <w:rsid w:val="00D370F3"/>
    <w:rsid w:val="00D37D53"/>
    <w:rsid w:val="00D42000"/>
    <w:rsid w:val="00D42382"/>
    <w:rsid w:val="00D424F0"/>
    <w:rsid w:val="00D42AE4"/>
    <w:rsid w:val="00D4398B"/>
    <w:rsid w:val="00D47587"/>
    <w:rsid w:val="00D47B1E"/>
    <w:rsid w:val="00D607E9"/>
    <w:rsid w:val="00D638C3"/>
    <w:rsid w:val="00D64E01"/>
    <w:rsid w:val="00D66460"/>
    <w:rsid w:val="00D7050F"/>
    <w:rsid w:val="00D754E2"/>
    <w:rsid w:val="00D77DE3"/>
    <w:rsid w:val="00D82351"/>
    <w:rsid w:val="00D91944"/>
    <w:rsid w:val="00DA7FE4"/>
    <w:rsid w:val="00DB3E3F"/>
    <w:rsid w:val="00DC5867"/>
    <w:rsid w:val="00DD2DFD"/>
    <w:rsid w:val="00DE228A"/>
    <w:rsid w:val="00DE5664"/>
    <w:rsid w:val="00DF4ED9"/>
    <w:rsid w:val="00DF4F2D"/>
    <w:rsid w:val="00DF6728"/>
    <w:rsid w:val="00E11F33"/>
    <w:rsid w:val="00E22F45"/>
    <w:rsid w:val="00E312C1"/>
    <w:rsid w:val="00E34789"/>
    <w:rsid w:val="00E35FB1"/>
    <w:rsid w:val="00E41BFB"/>
    <w:rsid w:val="00E42A52"/>
    <w:rsid w:val="00E47571"/>
    <w:rsid w:val="00E5135D"/>
    <w:rsid w:val="00E51EF5"/>
    <w:rsid w:val="00E62632"/>
    <w:rsid w:val="00E64130"/>
    <w:rsid w:val="00E7128F"/>
    <w:rsid w:val="00E72915"/>
    <w:rsid w:val="00E778C6"/>
    <w:rsid w:val="00E77BDA"/>
    <w:rsid w:val="00E80CC1"/>
    <w:rsid w:val="00E8259F"/>
    <w:rsid w:val="00E835B6"/>
    <w:rsid w:val="00E86A64"/>
    <w:rsid w:val="00E87DB0"/>
    <w:rsid w:val="00EA312C"/>
    <w:rsid w:val="00EB0B46"/>
    <w:rsid w:val="00EB4CA8"/>
    <w:rsid w:val="00EB6414"/>
    <w:rsid w:val="00EC3489"/>
    <w:rsid w:val="00EC5C85"/>
    <w:rsid w:val="00EC6654"/>
    <w:rsid w:val="00ED05B6"/>
    <w:rsid w:val="00ED0821"/>
    <w:rsid w:val="00EE2E4E"/>
    <w:rsid w:val="00EE3C16"/>
    <w:rsid w:val="00EE4322"/>
    <w:rsid w:val="00EE504A"/>
    <w:rsid w:val="00EE5BF9"/>
    <w:rsid w:val="00EF7A24"/>
    <w:rsid w:val="00F055D6"/>
    <w:rsid w:val="00F07DC7"/>
    <w:rsid w:val="00F1100C"/>
    <w:rsid w:val="00F2097F"/>
    <w:rsid w:val="00F247AD"/>
    <w:rsid w:val="00F25A88"/>
    <w:rsid w:val="00F312A4"/>
    <w:rsid w:val="00F32486"/>
    <w:rsid w:val="00F35293"/>
    <w:rsid w:val="00F36944"/>
    <w:rsid w:val="00F56D40"/>
    <w:rsid w:val="00F56E08"/>
    <w:rsid w:val="00F571BC"/>
    <w:rsid w:val="00F600EC"/>
    <w:rsid w:val="00F75254"/>
    <w:rsid w:val="00F8353E"/>
    <w:rsid w:val="00F91692"/>
    <w:rsid w:val="00F91971"/>
    <w:rsid w:val="00F960A0"/>
    <w:rsid w:val="00FA05A5"/>
    <w:rsid w:val="00FA164A"/>
    <w:rsid w:val="00FA1D48"/>
    <w:rsid w:val="00FA34E8"/>
    <w:rsid w:val="00FA4DDA"/>
    <w:rsid w:val="00FA7EC1"/>
    <w:rsid w:val="00FB0DFE"/>
    <w:rsid w:val="00FB1042"/>
    <w:rsid w:val="00FB226F"/>
    <w:rsid w:val="00FD3B3F"/>
    <w:rsid w:val="00FD5E9F"/>
    <w:rsid w:val="00FD7FA6"/>
    <w:rsid w:val="00FE0D6A"/>
    <w:rsid w:val="00FE1A51"/>
    <w:rsid w:val="00FF1EF6"/>
    <w:rsid w:val="00FF60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6395"/>
  <w15:chartTrackingRefBased/>
  <w15:docId w15:val="{0AE88245-757E-4DED-B8A4-4E234392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6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A6C67"/>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6C67"/>
    <w:rPr>
      <w:rFonts w:ascii="Times New Roman" w:eastAsia="Times New Roman" w:hAnsi="Times New Roman" w:cs="Times New Roman"/>
      <w:b/>
      <w:sz w:val="32"/>
      <w:szCs w:val="20"/>
      <w:u w:val="single"/>
    </w:rPr>
  </w:style>
  <w:style w:type="paragraph" w:styleId="BodyText">
    <w:name w:val="Body Text"/>
    <w:basedOn w:val="Normal"/>
    <w:link w:val="BodyTextChar"/>
    <w:rsid w:val="00CA6C67"/>
    <w:rPr>
      <w:i/>
    </w:rPr>
  </w:style>
  <w:style w:type="character" w:customStyle="1" w:styleId="BodyTextChar">
    <w:name w:val="Body Text Char"/>
    <w:basedOn w:val="DefaultParagraphFont"/>
    <w:link w:val="BodyText"/>
    <w:rsid w:val="00CA6C67"/>
    <w:rPr>
      <w:rFonts w:ascii="Times New Roman" w:eastAsia="Times New Roman" w:hAnsi="Times New Roman" w:cs="Times New Roman"/>
      <w:i/>
      <w:sz w:val="24"/>
      <w:szCs w:val="20"/>
    </w:rPr>
  </w:style>
  <w:style w:type="table" w:styleId="TableGrid">
    <w:name w:val="Table Grid"/>
    <w:basedOn w:val="TableNormal"/>
    <w:rsid w:val="00CA6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C67"/>
    <w:pPr>
      <w:spacing w:line="300" w:lineRule="exact"/>
      <w:ind w:left="720"/>
    </w:pPr>
    <w:rPr>
      <w:szCs w:val="24"/>
    </w:rPr>
  </w:style>
  <w:style w:type="paragraph" w:styleId="BodyTextIndent2">
    <w:name w:val="Body Text Indent 2"/>
    <w:basedOn w:val="Normal"/>
    <w:link w:val="BodyTextIndent2Char"/>
    <w:uiPriority w:val="99"/>
    <w:unhideWhenUsed/>
    <w:rsid w:val="00CA6C67"/>
    <w:pPr>
      <w:spacing w:after="120" w:line="480" w:lineRule="auto"/>
      <w:ind w:left="360"/>
    </w:pPr>
  </w:style>
  <w:style w:type="character" w:customStyle="1" w:styleId="BodyTextIndent2Char">
    <w:name w:val="Body Text Indent 2 Char"/>
    <w:basedOn w:val="DefaultParagraphFont"/>
    <w:link w:val="BodyTextIndent2"/>
    <w:uiPriority w:val="99"/>
    <w:rsid w:val="00CA6C67"/>
    <w:rPr>
      <w:rFonts w:ascii="Times New Roman" w:eastAsia="Times New Roman" w:hAnsi="Times New Roman" w:cs="Times New Roman"/>
      <w:sz w:val="24"/>
      <w:szCs w:val="20"/>
    </w:rPr>
  </w:style>
  <w:style w:type="paragraph" w:customStyle="1" w:styleId="Flush1CS1">
    <w:name w:val="Flush 1 &lt;CS 1&gt;"/>
    <w:basedOn w:val="Normal"/>
    <w:rsid w:val="00CA6C67"/>
  </w:style>
  <w:style w:type="paragraph" w:customStyle="1" w:styleId="Courier10">
    <w:name w:val="Courier 10"/>
    <w:basedOn w:val="Normal"/>
    <w:rsid w:val="00CA6C67"/>
    <w:rPr>
      <w:rFonts w:ascii="Courier New" w:hAnsi="Courier New"/>
    </w:rPr>
  </w:style>
  <w:style w:type="paragraph" w:styleId="FootnoteText">
    <w:name w:val="footnote text"/>
    <w:basedOn w:val="Normal"/>
    <w:link w:val="FootnoteTextChar"/>
    <w:unhideWhenUsed/>
    <w:rsid w:val="00CA6C67"/>
    <w:rPr>
      <w:sz w:val="20"/>
    </w:rPr>
  </w:style>
  <w:style w:type="character" w:customStyle="1" w:styleId="FootnoteTextChar">
    <w:name w:val="Footnote Text Char"/>
    <w:basedOn w:val="DefaultParagraphFont"/>
    <w:link w:val="FootnoteText"/>
    <w:rsid w:val="00CA6C67"/>
    <w:rPr>
      <w:rFonts w:ascii="Times New Roman" w:eastAsia="Times New Roman" w:hAnsi="Times New Roman" w:cs="Times New Roman"/>
      <w:sz w:val="20"/>
      <w:szCs w:val="20"/>
    </w:rPr>
  </w:style>
  <w:style w:type="character" w:styleId="FootnoteReference">
    <w:name w:val="footnote reference"/>
    <w:basedOn w:val="DefaultParagraphFont"/>
    <w:unhideWhenUsed/>
    <w:rsid w:val="00CA6C67"/>
    <w:rPr>
      <w:vertAlign w:val="superscript"/>
    </w:rPr>
  </w:style>
  <w:style w:type="paragraph" w:styleId="NormalWeb">
    <w:name w:val="Normal (Web)"/>
    <w:basedOn w:val="Normal"/>
    <w:uiPriority w:val="99"/>
    <w:unhideWhenUsed/>
    <w:rsid w:val="00CA6C67"/>
    <w:pPr>
      <w:spacing w:before="100" w:beforeAutospacing="1" w:after="100" w:afterAutospacing="1"/>
    </w:pPr>
    <w:rPr>
      <w:szCs w:val="24"/>
    </w:rPr>
  </w:style>
  <w:style w:type="character" w:styleId="Hyperlink">
    <w:name w:val="Hyperlink"/>
    <w:basedOn w:val="DefaultParagraphFont"/>
    <w:uiPriority w:val="99"/>
    <w:unhideWhenUsed/>
    <w:rsid w:val="00CA6C67"/>
    <w:rPr>
      <w:color w:val="0563C1" w:themeColor="hyperlink"/>
      <w:u w:val="single"/>
    </w:rPr>
  </w:style>
  <w:style w:type="character" w:styleId="FollowedHyperlink">
    <w:name w:val="FollowedHyperlink"/>
    <w:basedOn w:val="DefaultParagraphFont"/>
    <w:uiPriority w:val="99"/>
    <w:semiHidden/>
    <w:unhideWhenUsed/>
    <w:rsid w:val="00CA6C67"/>
    <w:rPr>
      <w:color w:val="954F72" w:themeColor="followedHyperlink"/>
      <w:u w:val="single"/>
    </w:rPr>
  </w:style>
  <w:style w:type="character" w:styleId="UnresolvedMention">
    <w:name w:val="Unresolved Mention"/>
    <w:basedOn w:val="DefaultParagraphFont"/>
    <w:uiPriority w:val="99"/>
    <w:semiHidden/>
    <w:unhideWhenUsed/>
    <w:rsid w:val="00CA6C67"/>
    <w:rPr>
      <w:color w:val="605E5C"/>
      <w:shd w:val="clear" w:color="auto" w:fill="E1DFDD"/>
    </w:rPr>
  </w:style>
  <w:style w:type="paragraph" w:styleId="Header">
    <w:name w:val="header"/>
    <w:basedOn w:val="Normal"/>
    <w:link w:val="HeaderChar"/>
    <w:uiPriority w:val="99"/>
    <w:unhideWhenUsed/>
    <w:rsid w:val="00311128"/>
    <w:pPr>
      <w:tabs>
        <w:tab w:val="center" w:pos="4680"/>
        <w:tab w:val="right" w:pos="9360"/>
      </w:tabs>
    </w:pPr>
  </w:style>
  <w:style w:type="character" w:customStyle="1" w:styleId="HeaderChar">
    <w:name w:val="Header Char"/>
    <w:basedOn w:val="DefaultParagraphFont"/>
    <w:link w:val="Header"/>
    <w:uiPriority w:val="99"/>
    <w:rsid w:val="0031112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11128"/>
    <w:pPr>
      <w:tabs>
        <w:tab w:val="center" w:pos="4680"/>
        <w:tab w:val="right" w:pos="9360"/>
      </w:tabs>
    </w:pPr>
  </w:style>
  <w:style w:type="character" w:customStyle="1" w:styleId="FooterChar">
    <w:name w:val="Footer Char"/>
    <w:basedOn w:val="DefaultParagraphFont"/>
    <w:link w:val="Footer"/>
    <w:uiPriority w:val="99"/>
    <w:rsid w:val="0031112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46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7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F5297"/>
    <w:rPr>
      <w:sz w:val="16"/>
      <w:szCs w:val="16"/>
    </w:rPr>
  </w:style>
  <w:style w:type="paragraph" w:styleId="CommentText">
    <w:name w:val="annotation text"/>
    <w:basedOn w:val="Normal"/>
    <w:link w:val="CommentTextChar"/>
    <w:uiPriority w:val="99"/>
    <w:semiHidden/>
    <w:unhideWhenUsed/>
    <w:rsid w:val="003F5297"/>
    <w:rPr>
      <w:sz w:val="20"/>
    </w:rPr>
  </w:style>
  <w:style w:type="character" w:customStyle="1" w:styleId="CommentTextChar">
    <w:name w:val="Comment Text Char"/>
    <w:basedOn w:val="DefaultParagraphFont"/>
    <w:link w:val="CommentText"/>
    <w:uiPriority w:val="99"/>
    <w:semiHidden/>
    <w:rsid w:val="003F52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5297"/>
    <w:rPr>
      <w:b/>
      <w:bCs/>
    </w:rPr>
  </w:style>
  <w:style w:type="character" w:customStyle="1" w:styleId="CommentSubjectChar">
    <w:name w:val="Comment Subject Char"/>
    <w:basedOn w:val="CommentTextChar"/>
    <w:link w:val="CommentSubject"/>
    <w:uiPriority w:val="99"/>
    <w:semiHidden/>
    <w:rsid w:val="003F529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321725">
      <w:bodyDiv w:val="1"/>
      <w:marLeft w:val="0"/>
      <w:marRight w:val="0"/>
      <w:marTop w:val="0"/>
      <w:marBottom w:val="0"/>
      <w:divBdr>
        <w:top w:val="none" w:sz="0" w:space="0" w:color="auto"/>
        <w:left w:val="none" w:sz="0" w:space="0" w:color="auto"/>
        <w:bottom w:val="none" w:sz="0" w:space="0" w:color="auto"/>
        <w:right w:val="none" w:sz="0" w:space="0" w:color="auto"/>
      </w:divBdr>
    </w:div>
    <w:div w:id="744959800">
      <w:bodyDiv w:val="1"/>
      <w:marLeft w:val="0"/>
      <w:marRight w:val="0"/>
      <w:marTop w:val="0"/>
      <w:marBottom w:val="0"/>
      <w:divBdr>
        <w:top w:val="none" w:sz="0" w:space="0" w:color="auto"/>
        <w:left w:val="none" w:sz="0" w:space="0" w:color="auto"/>
        <w:bottom w:val="none" w:sz="0" w:space="0" w:color="auto"/>
        <w:right w:val="none" w:sz="0" w:space="0" w:color="auto"/>
      </w:divBdr>
    </w:div>
    <w:div w:id="1260260981">
      <w:bodyDiv w:val="1"/>
      <w:marLeft w:val="0"/>
      <w:marRight w:val="0"/>
      <w:marTop w:val="0"/>
      <w:marBottom w:val="0"/>
      <w:divBdr>
        <w:top w:val="none" w:sz="0" w:space="0" w:color="auto"/>
        <w:left w:val="none" w:sz="0" w:space="0" w:color="auto"/>
        <w:bottom w:val="none" w:sz="0" w:space="0" w:color="auto"/>
        <w:right w:val="none" w:sz="0" w:space="0" w:color="auto"/>
      </w:divBdr>
    </w:div>
    <w:div w:id="16149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bellevuewa.gov/sites/default/files/media/pdf_document/2021/Utility%20Rate%20Flier_2021updated_Revised.pdf" TargetMode="External"/><Relationship Id="rId2" Type="http://schemas.openxmlformats.org/officeDocument/2006/relationships/hyperlink" Target="https://www.rentonwa.gov/cms/one.aspx?portalId=7922741&amp;pageId=17174716" TargetMode="External"/><Relationship Id="rId1" Type="http://schemas.openxmlformats.org/officeDocument/2006/relationships/hyperlink" Target="http://www.nud.net/about-us/departments/finance/service-rates%20%20" TargetMode="External"/><Relationship Id="rId5" Type="http://schemas.openxmlformats.org/officeDocument/2006/relationships/hyperlink" Target="https://www.sooscreek.com/static/7/utility-rates" TargetMode="External"/><Relationship Id="rId4" Type="http://schemas.openxmlformats.org/officeDocument/2006/relationships/hyperlink" Target="https://spwater.org/384/Single-Family-Residential-Water-and-Se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4DA960CB84C346984C9F987F4B9980" ma:contentTypeVersion="10" ma:contentTypeDescription="Create a new document." ma:contentTypeScope="" ma:versionID="6034b77bf7f3798d31697983f7d3c001">
  <xsd:schema xmlns:xsd="http://www.w3.org/2001/XMLSchema" xmlns:xs="http://www.w3.org/2001/XMLSchema" xmlns:p="http://schemas.microsoft.com/office/2006/metadata/properties" xmlns:ns3="4da1888f-f4b6-43bf-a24f-8595d29b12d1" targetNamespace="http://schemas.microsoft.com/office/2006/metadata/properties" ma:root="true" ma:fieldsID="b79fe436450582c182088d69b7eb77b3" ns3:_="">
    <xsd:import namespace="4da1888f-f4b6-43bf-a24f-8595d29b12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1888f-f4b6-43bf-a24f-8595d29b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2338C-CF48-4848-87AD-CDA2363DD670}">
  <ds:schemaRefs>
    <ds:schemaRef ds:uri="http://schemas.microsoft.com/sharepoint/v3/contenttype/forms"/>
  </ds:schemaRefs>
</ds:datastoreItem>
</file>

<file path=customXml/itemProps2.xml><?xml version="1.0" encoding="utf-8"?>
<ds:datastoreItem xmlns:ds="http://schemas.openxmlformats.org/officeDocument/2006/customXml" ds:itemID="{C8BD548B-95EE-44FA-B948-A9326F774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1888f-f4b6-43bf-a24f-8595d29b1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3D481-33C8-42BB-B808-2C8832B274E1}">
  <ds:schemaRefs>
    <ds:schemaRef ds:uri="http://schemas.openxmlformats.org/officeDocument/2006/bibliography"/>
  </ds:schemaRefs>
</ds:datastoreItem>
</file>

<file path=customXml/itemProps4.xml><?xml version="1.0" encoding="utf-8"?>
<ds:datastoreItem xmlns:ds="http://schemas.openxmlformats.org/officeDocument/2006/customXml" ds:itemID="{0BCB3EA3-4E1B-479D-BCED-D4A7BE198487}">
  <ds:schemaRefs>
    <ds:schemaRef ds:uri="http://purl.org/dc/terms/"/>
    <ds:schemaRef ds:uri="http://schemas.microsoft.com/office/2006/metadata/properties"/>
    <ds:schemaRef ds:uri="http://purl.org/dc/elements/1.1/"/>
    <ds:schemaRef ds:uri="4da1888f-f4b6-43bf-a24f-8595d29b12d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15</Pages>
  <Words>3815</Words>
  <Characters>23272</Characters>
  <Application>Microsoft Office Word</Application>
  <DocSecurity>0</DocSecurity>
  <Lines>1011</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Kim, Andrew</cp:lastModifiedBy>
  <cp:revision>16</cp:revision>
  <dcterms:created xsi:type="dcterms:W3CDTF">2021-05-12T17:37:00Z</dcterms:created>
  <dcterms:modified xsi:type="dcterms:W3CDTF">2021-05-13T23:26:00Z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0x0101003A4DA960CB84C346984C9F987F4B9980</vt:lpwstr>
  </property>
</Properties>
</file>