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069A" w14:textId="77777777" w:rsidR="00EB5A13" w:rsidRPr="00A46A5D" w:rsidRDefault="00EB5A13" w:rsidP="00EB5A13">
      <w:pPr>
        <w:pStyle w:val="Heading2"/>
        <w:rPr>
          <w:b w:val="0"/>
          <w:sz w:val="24"/>
          <w:u w:val="none"/>
        </w:rPr>
      </w:pPr>
    </w:p>
    <w:p w14:paraId="1EAE130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71C6ED3"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C583CC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8D45D7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61326CD" w14:textId="77A49199" w:rsidR="00EB5A13" w:rsidRPr="009349D6" w:rsidRDefault="002E2A78"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67C46E9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5D4B608" w14:textId="77777777" w:rsidR="00EB5A13" w:rsidRPr="009349D6" w:rsidRDefault="005337B6" w:rsidP="00074A56">
            <w:pPr>
              <w:spacing w:before="40" w:after="40"/>
              <w:rPr>
                <w:rFonts w:ascii="Arial" w:hAnsi="Arial" w:cs="Arial"/>
              </w:rPr>
            </w:pPr>
            <w:r>
              <w:rPr>
                <w:rFonts w:ascii="Arial" w:hAnsi="Arial" w:cs="Arial"/>
              </w:rPr>
              <w:t>Jake Tracy</w:t>
            </w:r>
          </w:p>
        </w:tc>
      </w:tr>
      <w:tr w:rsidR="00EB5A13" w:rsidRPr="009349D6" w14:paraId="72C8D84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2173E4"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E67CF8F" w14:textId="77777777" w:rsidR="00EB5A13" w:rsidRPr="009349D6" w:rsidRDefault="005337B6" w:rsidP="00074A56">
            <w:pPr>
              <w:spacing w:before="40" w:after="40"/>
              <w:rPr>
                <w:rFonts w:ascii="Arial" w:hAnsi="Arial" w:cs="Arial"/>
              </w:rPr>
            </w:pPr>
            <w:r>
              <w:rPr>
                <w:rFonts w:ascii="Arial" w:hAnsi="Arial" w:cs="Arial"/>
              </w:rPr>
              <w:t>2021-0074</w:t>
            </w:r>
          </w:p>
        </w:tc>
        <w:tc>
          <w:tcPr>
            <w:tcW w:w="1170" w:type="dxa"/>
            <w:tcBorders>
              <w:top w:val="single" w:sz="4" w:space="0" w:color="auto"/>
              <w:left w:val="single" w:sz="4" w:space="0" w:color="auto"/>
              <w:bottom w:val="single" w:sz="4" w:space="0" w:color="auto"/>
              <w:right w:val="single" w:sz="4" w:space="0" w:color="auto"/>
            </w:tcBorders>
            <w:vAlign w:val="center"/>
          </w:tcPr>
          <w:p w14:paraId="6F92AA11"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933799" w14:textId="5C63817D" w:rsidR="00EB5A13" w:rsidRPr="009349D6" w:rsidRDefault="006045A9" w:rsidP="00074A56">
            <w:pPr>
              <w:spacing w:before="40" w:after="40"/>
              <w:rPr>
                <w:rFonts w:ascii="Arial" w:hAnsi="Arial" w:cs="Arial"/>
              </w:rPr>
            </w:pPr>
            <w:r>
              <w:rPr>
                <w:rFonts w:ascii="Arial" w:hAnsi="Arial" w:cs="Arial"/>
              </w:rPr>
              <w:t>March 24</w:t>
            </w:r>
            <w:r w:rsidR="005337B6">
              <w:rPr>
                <w:rFonts w:ascii="Arial" w:hAnsi="Arial" w:cs="Arial"/>
              </w:rPr>
              <w:t>, 2021</w:t>
            </w:r>
          </w:p>
        </w:tc>
      </w:tr>
    </w:tbl>
    <w:p w14:paraId="1E1ED525" w14:textId="77777777" w:rsidR="0096684D" w:rsidRDefault="0096684D" w:rsidP="0026669B">
      <w:pPr>
        <w:rPr>
          <w:rFonts w:ascii="Arial" w:hAnsi="Arial" w:cs="Arial"/>
          <w:b/>
          <w:smallCaps/>
          <w:szCs w:val="24"/>
          <w:u w:val="single"/>
        </w:rPr>
      </w:pPr>
    </w:p>
    <w:p w14:paraId="1FE3B7E5"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7E12A2A8" w14:textId="77777777" w:rsidR="0026669B" w:rsidRDefault="0026669B" w:rsidP="0026669B">
      <w:pPr>
        <w:jc w:val="both"/>
        <w:rPr>
          <w:rFonts w:ascii="Arial" w:hAnsi="Arial" w:cs="Arial"/>
        </w:rPr>
      </w:pPr>
    </w:p>
    <w:p w14:paraId="2BF6F866" w14:textId="77777777" w:rsidR="005337B6" w:rsidRDefault="005337B6" w:rsidP="005337B6">
      <w:pPr>
        <w:jc w:val="both"/>
        <w:rPr>
          <w:rFonts w:ascii="Arial" w:hAnsi="Arial" w:cs="Arial"/>
        </w:rPr>
      </w:pPr>
      <w:r w:rsidRPr="00394FBB">
        <w:rPr>
          <w:rFonts w:ascii="Arial" w:hAnsi="Arial" w:cs="Arial"/>
        </w:rPr>
        <w:t>Proposed</w:t>
      </w:r>
      <w:r>
        <w:rPr>
          <w:rFonts w:ascii="Arial" w:hAnsi="Arial" w:cs="Arial"/>
        </w:rPr>
        <w:t xml:space="preserve"> Motion</w:t>
      </w:r>
      <w:r w:rsidR="00D45177">
        <w:rPr>
          <w:rFonts w:ascii="Arial" w:hAnsi="Arial" w:cs="Arial"/>
        </w:rPr>
        <w:t xml:space="preserve"> (PM)</w:t>
      </w:r>
      <w:r>
        <w:rPr>
          <w:rFonts w:ascii="Arial" w:hAnsi="Arial" w:cs="Arial"/>
        </w:rPr>
        <w:t xml:space="preserve"> 202</w:t>
      </w:r>
      <w:r w:rsidR="00D45177">
        <w:rPr>
          <w:rFonts w:ascii="Arial" w:hAnsi="Arial" w:cs="Arial"/>
        </w:rPr>
        <w:t>1-0074</w:t>
      </w:r>
      <w:r>
        <w:rPr>
          <w:rFonts w:ascii="Arial" w:hAnsi="Arial" w:cs="Arial"/>
        </w:rPr>
        <w:t xml:space="preserve"> would authorize the King County Executive to accept two conservation easement donations north of Covington, WA, totaling approximately 23.5 acres, for habitat conservation purposes. </w:t>
      </w:r>
      <w:r w:rsidR="00593FA5">
        <w:rPr>
          <w:rFonts w:ascii="Arial" w:hAnsi="Arial" w:cs="Arial"/>
        </w:rPr>
        <w:t xml:space="preserve">The donation would act as a match to a conservation futures tax (CFT) grant award from 2019. </w:t>
      </w:r>
    </w:p>
    <w:p w14:paraId="3CA43427" w14:textId="77777777" w:rsidR="0026669B" w:rsidRDefault="0026669B" w:rsidP="0026669B">
      <w:pPr>
        <w:jc w:val="both"/>
        <w:rPr>
          <w:rFonts w:ascii="Arial" w:hAnsi="Arial" w:cs="Arial"/>
          <w:b/>
          <w:smallCaps/>
          <w:szCs w:val="24"/>
          <w:u w:val="single"/>
        </w:rPr>
      </w:pPr>
    </w:p>
    <w:p w14:paraId="02718082"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575BA184" w14:textId="77777777" w:rsidR="0026669B" w:rsidRDefault="0026669B" w:rsidP="0026669B">
      <w:pPr>
        <w:jc w:val="both"/>
        <w:rPr>
          <w:rFonts w:ascii="Arial" w:hAnsi="Arial" w:cs="Arial"/>
        </w:rPr>
      </w:pPr>
    </w:p>
    <w:p w14:paraId="715017D3" w14:textId="77777777" w:rsidR="0026669B" w:rsidRDefault="00F86C5D" w:rsidP="0026669B">
      <w:pPr>
        <w:jc w:val="both"/>
        <w:rPr>
          <w:rFonts w:ascii="Arial" w:hAnsi="Arial" w:cs="Arial"/>
        </w:rPr>
      </w:pPr>
      <w:r>
        <w:rPr>
          <w:rFonts w:ascii="Arial" w:hAnsi="Arial" w:cs="Arial"/>
        </w:rPr>
        <w:t xml:space="preserve">In 2019, the CFT advisory committee recommended that $136,000 in CFT bond proceeds be used to purchase easements on land near Shadow Lake, north of Covington. Combined with previous CFT awards, the project </w:t>
      </w:r>
      <w:r w:rsidR="00D45177">
        <w:rPr>
          <w:rFonts w:ascii="Arial" w:hAnsi="Arial" w:cs="Arial"/>
        </w:rPr>
        <w:t xml:space="preserve">had a total of $178,216 in unspent CFT proceeds. PM 2021-0074 would authorize the King County Executive to accept two conservation easement donations that would act as matching funding for the purchase of two properties that are part of the Shadow Lake CFT project. The properties total 23.5 acres and the value of the conservation easement donations would be $167,500. </w:t>
      </w:r>
    </w:p>
    <w:p w14:paraId="28AEE673" w14:textId="77777777" w:rsidR="00D45177" w:rsidRDefault="00D45177" w:rsidP="0026669B">
      <w:pPr>
        <w:jc w:val="both"/>
        <w:rPr>
          <w:rFonts w:ascii="Arial" w:hAnsi="Arial" w:cs="Arial"/>
        </w:rPr>
      </w:pPr>
    </w:p>
    <w:p w14:paraId="58CB99BA"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15D54725" w14:textId="77777777" w:rsidR="0026669B" w:rsidRDefault="0026669B" w:rsidP="0026669B">
      <w:pPr>
        <w:jc w:val="both"/>
        <w:rPr>
          <w:rFonts w:ascii="Arial" w:hAnsi="Arial" w:cs="Arial"/>
        </w:rPr>
      </w:pPr>
    </w:p>
    <w:p w14:paraId="3217105D" w14:textId="77777777" w:rsidR="00B85386" w:rsidRDefault="00593FA5" w:rsidP="00EB4C8B">
      <w:pPr>
        <w:jc w:val="both"/>
        <w:rPr>
          <w:rFonts w:ascii="Arial" w:hAnsi="Arial" w:cs="Arial"/>
        </w:rPr>
      </w:pPr>
      <w:r>
        <w:rPr>
          <w:rFonts w:ascii="Arial" w:hAnsi="Arial" w:cs="Arial"/>
        </w:rPr>
        <w:t xml:space="preserve">In 2019, the CFT advisory committee recommended that $136,000 in CFT bond proceeds be used to purchase </w:t>
      </w:r>
      <w:r w:rsidR="00B85386">
        <w:rPr>
          <w:rFonts w:ascii="Arial" w:hAnsi="Arial" w:cs="Arial"/>
        </w:rPr>
        <w:t xml:space="preserve">easements on </w:t>
      </w:r>
      <w:r>
        <w:rPr>
          <w:rFonts w:ascii="Arial" w:hAnsi="Arial" w:cs="Arial"/>
        </w:rPr>
        <w:t>land near Shadow Lake, north of Covington.</w:t>
      </w:r>
      <w:r>
        <w:rPr>
          <w:rStyle w:val="FootnoteReference"/>
          <w:rFonts w:ascii="Arial" w:hAnsi="Arial" w:cs="Arial"/>
        </w:rPr>
        <w:footnoteReference w:id="1"/>
      </w:r>
      <w:r>
        <w:rPr>
          <w:rFonts w:ascii="Arial" w:hAnsi="Arial" w:cs="Arial"/>
        </w:rPr>
        <w:t xml:space="preserve"> </w:t>
      </w:r>
      <w:r w:rsidR="00B85386">
        <w:rPr>
          <w:rFonts w:ascii="Arial" w:hAnsi="Arial" w:cs="Arial"/>
        </w:rPr>
        <w:t>The committee's report stated that "</w:t>
      </w:r>
      <w:r w:rsidR="00B85386" w:rsidRPr="00B85386">
        <w:rPr>
          <w:rFonts w:ascii="Arial" w:hAnsi="Arial" w:cs="Arial"/>
        </w:rPr>
        <w:t>Shadow Lake has a large 5,000-year-old peat bog and other associated wetlands, and is in the upper reaches of the Jenkins Creek basin</w:t>
      </w:r>
      <w:r w:rsidR="00B85386">
        <w:rPr>
          <w:rFonts w:ascii="Arial" w:hAnsi="Arial" w:cs="Arial"/>
        </w:rPr>
        <w:t>…</w:t>
      </w:r>
      <w:r w:rsidR="00CD0EA8">
        <w:rPr>
          <w:rFonts w:ascii="Arial" w:hAnsi="Arial" w:cs="Arial"/>
        </w:rPr>
        <w:t>T</w:t>
      </w:r>
      <w:r w:rsidR="00B85386" w:rsidRPr="00B85386">
        <w:rPr>
          <w:rFonts w:ascii="Arial" w:hAnsi="Arial" w:cs="Arial"/>
        </w:rPr>
        <w:t>his proposal will place permanent conservation easements on an additional 30 acres across three parcels, including the parcel supporting the nature center and a boardwalk trail used by visitors. Match will be provided by donation of part of the easement value.</w:t>
      </w:r>
      <w:r w:rsidR="00B85386">
        <w:rPr>
          <w:rFonts w:ascii="Arial" w:hAnsi="Arial" w:cs="Arial"/>
        </w:rPr>
        <w:t>"</w:t>
      </w:r>
      <w:r w:rsidR="00D54C4D">
        <w:rPr>
          <w:rFonts w:ascii="Arial" w:hAnsi="Arial" w:cs="Arial"/>
        </w:rPr>
        <w:t xml:space="preserve"> </w:t>
      </w:r>
      <w:r w:rsidR="00B85386">
        <w:rPr>
          <w:rFonts w:ascii="Arial" w:hAnsi="Arial" w:cs="Arial"/>
        </w:rPr>
        <w:t>King County appropriated $136,000 for the purchase of these easements in its final supplemental appropriation of 2019.</w:t>
      </w:r>
      <w:r w:rsidR="00B85386">
        <w:rPr>
          <w:rStyle w:val="FootnoteReference"/>
          <w:rFonts w:ascii="Arial" w:hAnsi="Arial" w:cs="Arial"/>
        </w:rPr>
        <w:footnoteReference w:id="2"/>
      </w:r>
      <w:r w:rsidR="00F86C5D">
        <w:rPr>
          <w:rFonts w:ascii="Arial" w:hAnsi="Arial" w:cs="Arial"/>
        </w:rPr>
        <w:t xml:space="preserve"> The Shadow Lake project had also received other previous CFT grant awards, and as of the end of 2019, the project had a total of $178,216 in unspent CFT proceeds.</w:t>
      </w:r>
    </w:p>
    <w:p w14:paraId="39DB82EC" w14:textId="77777777" w:rsidR="00D54C4D" w:rsidRDefault="00D54C4D" w:rsidP="00EB4C8B">
      <w:pPr>
        <w:jc w:val="both"/>
        <w:rPr>
          <w:rFonts w:ascii="Arial" w:hAnsi="Arial" w:cs="Arial"/>
        </w:rPr>
      </w:pPr>
    </w:p>
    <w:p w14:paraId="353A67FC" w14:textId="4AFFC8DB" w:rsidR="00EB4C8B" w:rsidRDefault="00EB4C8B" w:rsidP="00EB4C8B">
      <w:pPr>
        <w:jc w:val="both"/>
        <w:rPr>
          <w:rFonts w:ascii="Arial" w:hAnsi="Arial" w:cs="Arial"/>
        </w:rPr>
      </w:pPr>
      <w:r>
        <w:rPr>
          <w:rFonts w:ascii="Arial" w:hAnsi="Arial" w:cs="Arial"/>
        </w:rPr>
        <w:t>King County Code 2.80</w:t>
      </w:r>
      <w:r w:rsidR="00711946">
        <w:rPr>
          <w:rFonts w:ascii="Arial" w:hAnsi="Arial" w:cs="Arial"/>
        </w:rPr>
        <w:t>.060</w:t>
      </w:r>
      <w:r>
        <w:rPr>
          <w:rFonts w:ascii="Arial" w:hAnsi="Arial" w:cs="Arial"/>
        </w:rPr>
        <w:t xml:space="preserve"> requires that </w:t>
      </w:r>
      <w:r w:rsidRPr="00DF4BC2">
        <w:rPr>
          <w:rFonts w:ascii="Arial" w:hAnsi="Arial" w:cs="Arial"/>
        </w:rPr>
        <w:t xml:space="preserve">any and all gifts for parks and recreation purposes that exceed </w:t>
      </w:r>
      <w:r>
        <w:rPr>
          <w:rFonts w:ascii="Arial" w:hAnsi="Arial" w:cs="Arial"/>
        </w:rPr>
        <w:t>$50,000</w:t>
      </w:r>
      <w:r w:rsidRPr="00DF4BC2">
        <w:rPr>
          <w:rFonts w:ascii="Arial" w:hAnsi="Arial" w:cs="Arial"/>
        </w:rPr>
        <w:t xml:space="preserve"> </w:t>
      </w:r>
      <w:r w:rsidR="00711946">
        <w:rPr>
          <w:rFonts w:ascii="Arial" w:hAnsi="Arial" w:cs="Arial"/>
        </w:rPr>
        <w:t>be accepted</w:t>
      </w:r>
      <w:r w:rsidRPr="00DF4BC2">
        <w:rPr>
          <w:rFonts w:ascii="Arial" w:hAnsi="Arial" w:cs="Arial"/>
        </w:rPr>
        <w:t xml:space="preserve"> by the King County </w:t>
      </w:r>
      <w:r w:rsidR="000B09D4">
        <w:rPr>
          <w:rFonts w:ascii="Arial" w:hAnsi="Arial" w:cs="Arial"/>
        </w:rPr>
        <w:t>C</w:t>
      </w:r>
      <w:r w:rsidRPr="00DF4BC2">
        <w:rPr>
          <w:rFonts w:ascii="Arial" w:hAnsi="Arial" w:cs="Arial"/>
        </w:rPr>
        <w:t>ouncil by motion</w:t>
      </w:r>
      <w:r>
        <w:rPr>
          <w:rFonts w:ascii="Arial" w:hAnsi="Arial" w:cs="Arial"/>
        </w:rPr>
        <w:t>.</w:t>
      </w:r>
    </w:p>
    <w:p w14:paraId="1CB3F6A1" w14:textId="77777777" w:rsidR="00D45177" w:rsidRDefault="00D45177" w:rsidP="00EB4C8B">
      <w:pPr>
        <w:jc w:val="both"/>
        <w:rPr>
          <w:rFonts w:ascii="Arial" w:hAnsi="Arial" w:cs="Arial"/>
        </w:rPr>
      </w:pPr>
    </w:p>
    <w:p w14:paraId="3F094E4A" w14:textId="77777777" w:rsidR="00D45177" w:rsidRDefault="00D45177" w:rsidP="00EB4C8B">
      <w:pPr>
        <w:jc w:val="both"/>
        <w:rPr>
          <w:rFonts w:ascii="Arial" w:hAnsi="Arial" w:cs="Arial"/>
        </w:rPr>
      </w:pPr>
    </w:p>
    <w:p w14:paraId="630D3184" w14:textId="77777777" w:rsidR="00D45177" w:rsidRDefault="00D45177" w:rsidP="00EB4C8B">
      <w:pPr>
        <w:jc w:val="both"/>
        <w:rPr>
          <w:rFonts w:ascii="Arial" w:hAnsi="Arial" w:cs="Arial"/>
        </w:rPr>
      </w:pPr>
    </w:p>
    <w:p w14:paraId="0C317D7B" w14:textId="77777777" w:rsidR="0026669B" w:rsidRDefault="0026669B" w:rsidP="0026669B">
      <w:pPr>
        <w:jc w:val="both"/>
        <w:rPr>
          <w:rFonts w:ascii="Arial" w:hAnsi="Arial" w:cs="Arial"/>
        </w:rPr>
      </w:pPr>
    </w:p>
    <w:p w14:paraId="61A79A11"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75CE7BD4" w14:textId="77777777" w:rsidR="0026669B" w:rsidRPr="009931DF" w:rsidRDefault="0026669B" w:rsidP="0026669B">
      <w:pPr>
        <w:jc w:val="both"/>
        <w:rPr>
          <w:rFonts w:ascii="Arial" w:hAnsi="Arial" w:cs="Arial"/>
          <w:color w:val="FF0000"/>
        </w:rPr>
      </w:pPr>
    </w:p>
    <w:p w14:paraId="0D716550" w14:textId="77777777" w:rsidR="0026669B" w:rsidRDefault="00D54C4D" w:rsidP="0026669B">
      <w:pPr>
        <w:jc w:val="both"/>
        <w:rPr>
          <w:rFonts w:ascii="Arial" w:hAnsi="Arial" w:cs="Arial"/>
        </w:rPr>
      </w:pPr>
      <w:r>
        <w:rPr>
          <w:rFonts w:ascii="Arial" w:hAnsi="Arial" w:cs="Arial"/>
        </w:rPr>
        <w:t xml:space="preserve">The proposed </w:t>
      </w:r>
      <w:r w:rsidR="00D45177">
        <w:rPr>
          <w:rFonts w:ascii="Arial" w:hAnsi="Arial" w:cs="Arial"/>
        </w:rPr>
        <w:t>motion</w:t>
      </w:r>
      <w:r>
        <w:rPr>
          <w:rFonts w:ascii="Arial" w:hAnsi="Arial" w:cs="Arial"/>
        </w:rPr>
        <w:t xml:space="preserve"> would authorize the Executive to accept conservation easement donations for half the value of two of the three properties </w:t>
      </w:r>
      <w:r w:rsidR="006F3C17">
        <w:rPr>
          <w:rFonts w:ascii="Arial" w:hAnsi="Arial" w:cs="Arial"/>
        </w:rPr>
        <w:t>that received the 2020</w:t>
      </w:r>
      <w:r>
        <w:rPr>
          <w:rFonts w:ascii="Arial" w:hAnsi="Arial" w:cs="Arial"/>
        </w:rPr>
        <w:t xml:space="preserve"> </w:t>
      </w:r>
      <w:r w:rsidR="006F3C17">
        <w:rPr>
          <w:rFonts w:ascii="Arial" w:hAnsi="Arial" w:cs="Arial"/>
        </w:rPr>
        <w:t xml:space="preserve">Shadow Lake </w:t>
      </w:r>
      <w:r>
        <w:rPr>
          <w:rFonts w:ascii="Arial" w:hAnsi="Arial" w:cs="Arial"/>
        </w:rPr>
        <w:t xml:space="preserve">CFT grant – a total donation of </w:t>
      </w:r>
      <w:r w:rsidR="006F3C17">
        <w:rPr>
          <w:rFonts w:ascii="Arial" w:hAnsi="Arial" w:cs="Arial"/>
        </w:rPr>
        <w:t>$167,500. The properties</w:t>
      </w:r>
      <w:r w:rsidR="00F86C5D">
        <w:rPr>
          <w:rFonts w:ascii="Arial" w:hAnsi="Arial" w:cs="Arial"/>
        </w:rPr>
        <w:t>, which total 23.5 acres,</w:t>
      </w:r>
      <w:r w:rsidR="006F3C17">
        <w:rPr>
          <w:rFonts w:ascii="Arial" w:hAnsi="Arial" w:cs="Arial"/>
        </w:rPr>
        <w:t xml:space="preserve"> would become part of the Shadow Lake Nature Preserve. The properties are located at </w:t>
      </w:r>
      <w:r w:rsidR="00F86C5D" w:rsidRPr="00F86C5D">
        <w:rPr>
          <w:rFonts w:ascii="Arial" w:hAnsi="Arial" w:cs="Arial"/>
        </w:rPr>
        <w:t>21656 184th Ave SE and 22238 Peter Grubb Rd. SE</w:t>
      </w:r>
      <w:r w:rsidR="00F86C5D">
        <w:rPr>
          <w:rFonts w:ascii="Arial" w:hAnsi="Arial" w:cs="Arial"/>
        </w:rPr>
        <w:t>, and are</w:t>
      </w:r>
      <w:r w:rsidR="006F3C17">
        <w:rPr>
          <w:rFonts w:ascii="Arial" w:hAnsi="Arial" w:cs="Arial"/>
        </w:rPr>
        <w:t xml:space="preserve"> shown in Figure 1 below. </w:t>
      </w:r>
    </w:p>
    <w:p w14:paraId="524853C0" w14:textId="77777777" w:rsidR="00F86C5D" w:rsidRDefault="00F86C5D" w:rsidP="0026669B">
      <w:pPr>
        <w:jc w:val="both"/>
        <w:rPr>
          <w:rFonts w:ascii="Arial" w:hAnsi="Arial" w:cs="Arial"/>
        </w:rPr>
      </w:pPr>
    </w:p>
    <w:p w14:paraId="3BC1D49A" w14:textId="77777777" w:rsidR="006F3C17" w:rsidRPr="006F3C17" w:rsidRDefault="006F3C17" w:rsidP="006F3C17">
      <w:pPr>
        <w:jc w:val="center"/>
        <w:rPr>
          <w:rFonts w:ascii="Arial" w:hAnsi="Arial" w:cs="Arial"/>
          <w:b/>
          <w:bCs/>
        </w:rPr>
      </w:pPr>
      <w:r>
        <w:rPr>
          <w:rFonts w:ascii="Arial" w:hAnsi="Arial" w:cs="Arial"/>
          <w:b/>
          <w:bCs/>
        </w:rPr>
        <w:t>Figure 1: Location of Conservation Easement Donations</w:t>
      </w:r>
    </w:p>
    <w:p w14:paraId="1605E859" w14:textId="77777777" w:rsidR="006F3C17" w:rsidRPr="00C65EB8" w:rsidRDefault="006F3C17" w:rsidP="0026669B">
      <w:pPr>
        <w:jc w:val="both"/>
        <w:rPr>
          <w:rFonts w:ascii="Arial" w:hAnsi="Arial" w:cs="Arial"/>
        </w:rPr>
      </w:pPr>
      <w:r>
        <w:rPr>
          <w:noProof/>
        </w:rPr>
        <w:drawing>
          <wp:inline distT="0" distB="0" distL="0" distR="0" wp14:anchorId="1130DCB3" wp14:editId="1A8F8803">
            <wp:extent cx="6096000" cy="4183529"/>
            <wp:effectExtent l="133350" t="114300" r="133350" b="160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519" t="34188" r="17789" b="25926"/>
                    <a:stretch/>
                  </pic:blipFill>
                  <pic:spPr bwMode="auto">
                    <a:xfrm>
                      <a:off x="0" y="0"/>
                      <a:ext cx="6126916" cy="42047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BAF4DFC" w14:textId="77777777" w:rsidR="0026669B" w:rsidRDefault="0026669B" w:rsidP="0026669B">
      <w:pPr>
        <w:jc w:val="both"/>
        <w:rPr>
          <w:rFonts w:ascii="Arial" w:hAnsi="Arial" w:cs="Arial"/>
        </w:rPr>
      </w:pPr>
    </w:p>
    <w:p w14:paraId="0F4FAA78" w14:textId="77777777" w:rsidR="006F3C17" w:rsidRDefault="006F3C17" w:rsidP="0026669B">
      <w:pPr>
        <w:jc w:val="both"/>
        <w:rPr>
          <w:rFonts w:ascii="Arial" w:hAnsi="Arial" w:cs="Arial"/>
        </w:rPr>
      </w:pPr>
    </w:p>
    <w:p w14:paraId="7E4B830C" w14:textId="77777777" w:rsidR="00F86C5D" w:rsidRDefault="00E80E17" w:rsidP="0026669B">
      <w:pPr>
        <w:jc w:val="both"/>
        <w:rPr>
          <w:rFonts w:ascii="Arial" w:hAnsi="Arial" w:cs="Arial"/>
        </w:rPr>
      </w:pPr>
      <w:r>
        <w:rPr>
          <w:rFonts w:ascii="Arial" w:hAnsi="Arial" w:cs="Arial"/>
        </w:rPr>
        <w:t>Executive staff state that the remaining parcel identified for CFT funding, Parcel B, is also being purchased with remaining CFT proceeds and with an easement donation to match. The easement donation for that parcel is not subject to the requirements of K.C.C. 2.80.060, being less than $50,000.</w:t>
      </w:r>
    </w:p>
    <w:p w14:paraId="5F63715B" w14:textId="706B8E92" w:rsidR="0026669B" w:rsidRDefault="0026669B" w:rsidP="0026669B">
      <w:pPr>
        <w:pStyle w:val="BodyText"/>
        <w:jc w:val="both"/>
        <w:rPr>
          <w:rFonts w:ascii="Arial" w:hAnsi="Arial" w:cs="Arial"/>
          <w:i w:val="0"/>
          <w:szCs w:val="24"/>
        </w:rPr>
      </w:pPr>
    </w:p>
    <w:p w14:paraId="69496209" w14:textId="3F42DBCB" w:rsidR="006045A9" w:rsidRDefault="006045A9" w:rsidP="0026669B">
      <w:pPr>
        <w:pStyle w:val="BodyText"/>
        <w:jc w:val="both"/>
        <w:rPr>
          <w:rFonts w:ascii="Arial" w:hAnsi="Arial" w:cs="Arial"/>
          <w:i w:val="0"/>
          <w:szCs w:val="24"/>
        </w:rPr>
      </w:pPr>
    </w:p>
    <w:p w14:paraId="02F6E380" w14:textId="5482566D" w:rsidR="006045A9" w:rsidRDefault="006045A9" w:rsidP="0026669B">
      <w:pPr>
        <w:pStyle w:val="BodyText"/>
        <w:jc w:val="both"/>
        <w:rPr>
          <w:rFonts w:ascii="Arial" w:hAnsi="Arial" w:cs="Arial"/>
          <w:i w:val="0"/>
          <w:szCs w:val="24"/>
        </w:rPr>
      </w:pPr>
    </w:p>
    <w:p w14:paraId="273A84E5" w14:textId="77777777" w:rsidR="006045A9" w:rsidRPr="001C4B19" w:rsidRDefault="006045A9" w:rsidP="0026669B">
      <w:pPr>
        <w:pStyle w:val="BodyText"/>
        <w:jc w:val="both"/>
        <w:rPr>
          <w:rFonts w:ascii="Arial" w:hAnsi="Arial" w:cs="Arial"/>
          <w:i w:val="0"/>
          <w:szCs w:val="24"/>
        </w:rPr>
      </w:pPr>
    </w:p>
    <w:p w14:paraId="050098BD"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lastRenderedPageBreak/>
        <w:t>INVITED</w:t>
      </w:r>
    </w:p>
    <w:p w14:paraId="02F034A0" w14:textId="77777777" w:rsidR="0026669B" w:rsidRPr="001C4B19" w:rsidRDefault="0026669B" w:rsidP="0026669B">
      <w:pPr>
        <w:jc w:val="both"/>
        <w:rPr>
          <w:rFonts w:ascii="Arial" w:hAnsi="Arial" w:cs="Arial"/>
          <w:szCs w:val="24"/>
        </w:rPr>
      </w:pPr>
    </w:p>
    <w:p w14:paraId="541F86CF" w14:textId="77777777" w:rsidR="0026669B" w:rsidRPr="00727A3F" w:rsidRDefault="00F86C5D" w:rsidP="00ED0A4B">
      <w:pPr>
        <w:pStyle w:val="ListParagraph0"/>
        <w:numPr>
          <w:ilvl w:val="0"/>
          <w:numId w:val="50"/>
        </w:numPr>
        <w:ind w:left="720"/>
        <w:jc w:val="both"/>
        <w:rPr>
          <w:rFonts w:ascii="Arial" w:hAnsi="Arial" w:cs="Arial"/>
        </w:rPr>
      </w:pPr>
      <w:r>
        <w:rPr>
          <w:rFonts w:ascii="Arial" w:hAnsi="Arial" w:cs="Arial"/>
        </w:rPr>
        <w:t>Warren Jimenez, Parks Division Director, Department of Natural Resources and Parks</w:t>
      </w:r>
    </w:p>
    <w:p w14:paraId="5883A53E" w14:textId="77777777" w:rsidR="00ED0A4B" w:rsidRDefault="00ED0A4B" w:rsidP="00ED0A4B">
      <w:pPr>
        <w:pStyle w:val="BodyText"/>
        <w:jc w:val="both"/>
        <w:rPr>
          <w:rFonts w:ascii="Arial" w:hAnsi="Arial" w:cs="Arial"/>
          <w:b/>
          <w:i w:val="0"/>
          <w:szCs w:val="24"/>
          <w:u w:val="single"/>
        </w:rPr>
      </w:pPr>
    </w:p>
    <w:p w14:paraId="4D671789"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06FEBEB6" w14:textId="77777777" w:rsidR="00ED0A4B" w:rsidRDefault="00ED0A4B" w:rsidP="00ED0A4B">
      <w:pPr>
        <w:pStyle w:val="BodyText"/>
        <w:jc w:val="both"/>
        <w:rPr>
          <w:rFonts w:ascii="Arial" w:hAnsi="Arial" w:cs="Arial"/>
          <w:b/>
          <w:i w:val="0"/>
          <w:szCs w:val="24"/>
          <w:u w:val="single"/>
        </w:rPr>
      </w:pPr>
    </w:p>
    <w:p w14:paraId="75E6FAB8" w14:textId="77777777" w:rsidR="00ED0A4B" w:rsidRPr="001C4B19" w:rsidRDefault="00ED0A4B" w:rsidP="00ED0A4B">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F86C5D">
        <w:rPr>
          <w:rFonts w:ascii="Arial" w:hAnsi="Arial" w:cs="Arial"/>
          <w:i w:val="0"/>
          <w:szCs w:val="24"/>
        </w:rPr>
        <w:t>21</w:t>
      </w:r>
      <w:r w:rsidRPr="001C4B19">
        <w:rPr>
          <w:rFonts w:ascii="Arial" w:hAnsi="Arial" w:cs="Arial"/>
          <w:i w:val="0"/>
          <w:szCs w:val="24"/>
        </w:rPr>
        <w:t>-0</w:t>
      </w:r>
      <w:r w:rsidR="00F86C5D">
        <w:rPr>
          <w:rFonts w:ascii="Arial" w:hAnsi="Arial" w:cs="Arial"/>
          <w:i w:val="0"/>
          <w:szCs w:val="24"/>
        </w:rPr>
        <w:t>074</w:t>
      </w:r>
      <w:r w:rsidRPr="001C4B19">
        <w:rPr>
          <w:rFonts w:ascii="Arial" w:hAnsi="Arial" w:cs="Arial"/>
          <w:i w:val="0"/>
          <w:szCs w:val="24"/>
        </w:rPr>
        <w:t xml:space="preserve"> (and its attachments)</w:t>
      </w:r>
    </w:p>
    <w:p w14:paraId="392D644C" w14:textId="77777777" w:rsidR="00ED0A4B" w:rsidRPr="001C4B19" w:rsidRDefault="00ED0A4B" w:rsidP="00ED0A4B">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D6D9067" w14:textId="2573371F" w:rsidR="00ED0A4B" w:rsidRDefault="00ED0A4B" w:rsidP="00ED0A4B">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50165CCE" w14:textId="5A510248" w:rsidR="00433B02" w:rsidRDefault="00433B02" w:rsidP="00ED0A4B">
      <w:pPr>
        <w:pStyle w:val="BodyText"/>
        <w:numPr>
          <w:ilvl w:val="0"/>
          <w:numId w:val="35"/>
        </w:numPr>
        <w:jc w:val="both"/>
        <w:rPr>
          <w:rFonts w:ascii="Arial" w:hAnsi="Arial" w:cs="Arial"/>
          <w:i w:val="0"/>
          <w:szCs w:val="24"/>
        </w:rPr>
      </w:pPr>
      <w:r>
        <w:rPr>
          <w:rFonts w:ascii="Arial" w:hAnsi="Arial" w:cs="Arial"/>
          <w:i w:val="0"/>
          <w:szCs w:val="24"/>
        </w:rPr>
        <w:t>Map 1</w:t>
      </w:r>
    </w:p>
    <w:p w14:paraId="70D16ACE" w14:textId="12243F49" w:rsidR="00433B02" w:rsidRPr="001C4B19" w:rsidRDefault="00433B02" w:rsidP="00ED0A4B">
      <w:pPr>
        <w:pStyle w:val="BodyText"/>
        <w:numPr>
          <w:ilvl w:val="0"/>
          <w:numId w:val="35"/>
        </w:numPr>
        <w:jc w:val="both"/>
        <w:rPr>
          <w:rFonts w:ascii="Arial" w:hAnsi="Arial" w:cs="Arial"/>
          <w:i w:val="0"/>
          <w:szCs w:val="24"/>
        </w:rPr>
      </w:pPr>
      <w:r>
        <w:rPr>
          <w:rFonts w:ascii="Arial" w:hAnsi="Arial" w:cs="Arial"/>
          <w:i w:val="0"/>
          <w:szCs w:val="24"/>
        </w:rPr>
        <w:t>Map 2</w:t>
      </w:r>
    </w:p>
    <w:p w14:paraId="0F497C43" w14:textId="77777777" w:rsidR="004A6FFC" w:rsidRPr="004A6FFC" w:rsidRDefault="004A6FFC" w:rsidP="0026669B">
      <w:pPr>
        <w:jc w:val="both"/>
        <w:rPr>
          <w:rFonts w:ascii="Arial" w:hAnsi="Arial" w:cs="Arial"/>
          <w:snapToGrid w:val="0"/>
        </w:rPr>
      </w:pPr>
    </w:p>
    <w:sectPr w:rsidR="004A6FFC" w:rsidRPr="004A6FFC"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B495" w14:textId="77777777" w:rsidR="00DB50C7" w:rsidRDefault="00DB50C7">
      <w:r>
        <w:separator/>
      </w:r>
    </w:p>
  </w:endnote>
  <w:endnote w:type="continuationSeparator" w:id="0">
    <w:p w14:paraId="5C1D3DE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8B6C" w14:textId="77777777" w:rsidR="00DB50C7" w:rsidRDefault="00DB50C7">
      <w:r>
        <w:separator/>
      </w:r>
    </w:p>
  </w:footnote>
  <w:footnote w:type="continuationSeparator" w:id="0">
    <w:p w14:paraId="0B502A51" w14:textId="77777777" w:rsidR="00DB50C7" w:rsidRDefault="00DB50C7">
      <w:r>
        <w:continuationSeparator/>
      </w:r>
    </w:p>
  </w:footnote>
  <w:footnote w:id="1">
    <w:p w14:paraId="5D7B86CC" w14:textId="77777777" w:rsidR="00593FA5" w:rsidRPr="000B09D4" w:rsidRDefault="00593FA5">
      <w:pPr>
        <w:pStyle w:val="FootnoteText"/>
        <w:rPr>
          <w:rFonts w:ascii="Arial" w:hAnsi="Arial" w:cs="Arial"/>
        </w:rPr>
      </w:pPr>
      <w:r w:rsidRPr="000B09D4">
        <w:rPr>
          <w:rStyle w:val="FootnoteReference"/>
          <w:rFonts w:ascii="Arial" w:hAnsi="Arial" w:cs="Arial"/>
        </w:rPr>
        <w:footnoteRef/>
      </w:r>
      <w:r w:rsidRPr="000B09D4">
        <w:rPr>
          <w:rFonts w:ascii="Arial" w:hAnsi="Arial" w:cs="Arial"/>
        </w:rPr>
        <w:t xml:space="preserve"> </w:t>
      </w:r>
      <w:r w:rsidR="00B85386" w:rsidRPr="000B09D4">
        <w:rPr>
          <w:rFonts w:ascii="Arial" w:hAnsi="Arial" w:cs="Arial"/>
        </w:rPr>
        <w:t>2019-RPT0088</w:t>
      </w:r>
    </w:p>
  </w:footnote>
  <w:footnote w:id="2">
    <w:p w14:paraId="66EF1C6B" w14:textId="77777777" w:rsidR="00B85386" w:rsidRDefault="00B85386">
      <w:pPr>
        <w:pStyle w:val="FootnoteText"/>
      </w:pPr>
      <w:r w:rsidRPr="000B09D4">
        <w:rPr>
          <w:rStyle w:val="FootnoteReference"/>
          <w:rFonts w:ascii="Arial" w:hAnsi="Arial" w:cs="Arial"/>
        </w:rPr>
        <w:footnoteRef/>
      </w:r>
      <w:r w:rsidRPr="000B09D4">
        <w:rPr>
          <w:rFonts w:ascii="Arial" w:hAnsi="Arial" w:cs="Arial"/>
        </w:rPr>
        <w:t xml:space="preserve"> </w:t>
      </w:r>
      <w:r w:rsidR="00CD0EA8" w:rsidRPr="000B09D4">
        <w:rPr>
          <w:rFonts w:ascii="Arial" w:hAnsi="Arial" w:cs="Arial"/>
        </w:rPr>
        <w:t>Ordinance 19021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121C" w14:textId="77777777" w:rsidR="00C75025" w:rsidRDefault="00C75025" w:rsidP="00C75025">
    <w:pPr>
      <w:jc w:val="center"/>
    </w:pPr>
    <w:r>
      <w:rPr>
        <w:noProof/>
      </w:rPr>
      <w:drawing>
        <wp:inline distT="0" distB="0" distL="0" distR="0" wp14:anchorId="4B659360" wp14:editId="12D3AC0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1527D83" w14:textId="77777777" w:rsidR="00C75025" w:rsidRPr="003B03EF" w:rsidRDefault="00C75025" w:rsidP="00C75025">
    <w:pPr>
      <w:jc w:val="center"/>
      <w:rPr>
        <w:rFonts w:ascii="Arial" w:hAnsi="Arial"/>
        <w:szCs w:val="22"/>
      </w:rPr>
    </w:pPr>
  </w:p>
  <w:p w14:paraId="24A5CD0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7B849FC"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4B94"/>
    <w:multiLevelType w:val="hybridMultilevel"/>
    <w:tmpl w:val="45D20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13"/>
  </w:num>
  <w:num w:numId="4">
    <w:abstractNumId w:val="49"/>
  </w:num>
  <w:num w:numId="5">
    <w:abstractNumId w:val="45"/>
  </w:num>
  <w:num w:numId="6">
    <w:abstractNumId w:val="16"/>
  </w:num>
  <w:num w:numId="7">
    <w:abstractNumId w:val="46"/>
  </w:num>
  <w:num w:numId="8">
    <w:abstractNumId w:val="19"/>
  </w:num>
  <w:num w:numId="9">
    <w:abstractNumId w:val="3"/>
  </w:num>
  <w:num w:numId="10">
    <w:abstractNumId w:val="47"/>
  </w:num>
  <w:num w:numId="11">
    <w:abstractNumId w:val="2"/>
  </w:num>
  <w:num w:numId="12">
    <w:abstractNumId w:val="23"/>
  </w:num>
  <w:num w:numId="13">
    <w:abstractNumId w:val="26"/>
  </w:num>
  <w:num w:numId="14">
    <w:abstractNumId w:val="21"/>
  </w:num>
  <w:num w:numId="15">
    <w:abstractNumId w:val="28"/>
  </w:num>
  <w:num w:numId="16">
    <w:abstractNumId w:val="20"/>
  </w:num>
  <w:num w:numId="17">
    <w:abstractNumId w:val="39"/>
  </w:num>
  <w:num w:numId="18">
    <w:abstractNumId w:val="27"/>
  </w:num>
  <w:num w:numId="19">
    <w:abstractNumId w:val="35"/>
  </w:num>
  <w:num w:numId="20">
    <w:abstractNumId w:val="29"/>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5"/>
  </w:num>
  <w:num w:numId="28">
    <w:abstractNumId w:val="10"/>
  </w:num>
  <w:num w:numId="29">
    <w:abstractNumId w:val="31"/>
  </w:num>
  <w:num w:numId="30">
    <w:abstractNumId w:val="1"/>
  </w:num>
  <w:num w:numId="31">
    <w:abstractNumId w:val="37"/>
  </w:num>
  <w:num w:numId="32">
    <w:abstractNumId w:val="41"/>
  </w:num>
  <w:num w:numId="33">
    <w:abstractNumId w:val="17"/>
  </w:num>
  <w:num w:numId="34">
    <w:abstractNumId w:val="11"/>
  </w:num>
  <w:num w:numId="35">
    <w:abstractNumId w:val="7"/>
  </w:num>
  <w:num w:numId="36">
    <w:abstractNumId w:val="30"/>
  </w:num>
  <w:num w:numId="37">
    <w:abstractNumId w:val="42"/>
  </w:num>
  <w:num w:numId="38">
    <w:abstractNumId w:val="24"/>
  </w:num>
  <w:num w:numId="39">
    <w:abstractNumId w:val="36"/>
  </w:num>
  <w:num w:numId="40">
    <w:abstractNumId w:val="32"/>
  </w:num>
  <w:num w:numId="41">
    <w:abstractNumId w:val="43"/>
  </w:num>
  <w:num w:numId="42">
    <w:abstractNumId w:val="38"/>
  </w:num>
  <w:num w:numId="43">
    <w:abstractNumId w:val="22"/>
  </w:num>
  <w:num w:numId="44">
    <w:abstractNumId w:val="48"/>
  </w:num>
  <w:num w:numId="45">
    <w:abstractNumId w:val="15"/>
  </w:num>
  <w:num w:numId="46">
    <w:abstractNumId w:val="40"/>
  </w:num>
  <w:num w:numId="47">
    <w:abstractNumId w:val="12"/>
  </w:num>
  <w:num w:numId="48">
    <w:abstractNumId w:val="14"/>
  </w:num>
  <w:num w:numId="49">
    <w:abstractNumId w:val="34"/>
  </w:num>
  <w:num w:numId="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09D4"/>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5E8F"/>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2A78"/>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B02"/>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37B6"/>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3FA5"/>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5A9"/>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3C17"/>
    <w:rsid w:val="006F4AD3"/>
    <w:rsid w:val="006F5E92"/>
    <w:rsid w:val="006F62F4"/>
    <w:rsid w:val="006F7148"/>
    <w:rsid w:val="006F715B"/>
    <w:rsid w:val="006F74E7"/>
    <w:rsid w:val="007014C3"/>
    <w:rsid w:val="0070235C"/>
    <w:rsid w:val="00703B2A"/>
    <w:rsid w:val="0070539F"/>
    <w:rsid w:val="00705D32"/>
    <w:rsid w:val="00706E67"/>
    <w:rsid w:val="007100C0"/>
    <w:rsid w:val="00711946"/>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386"/>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0EA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5177"/>
    <w:rsid w:val="00D475C8"/>
    <w:rsid w:val="00D54C4D"/>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0E17"/>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C8B"/>
    <w:rsid w:val="00EB5A13"/>
    <w:rsid w:val="00EB78D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6C5D"/>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DEC3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EB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733B-8DF5-48D3-98B7-1E672F4E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11</cp:revision>
  <cp:lastPrinted>2015-03-13T15:09:00Z</cp:lastPrinted>
  <dcterms:created xsi:type="dcterms:W3CDTF">2021-02-08T17:23:00Z</dcterms:created>
  <dcterms:modified xsi:type="dcterms:W3CDTF">2021-03-19T16:53:00Z</dcterms:modified>
</cp:coreProperties>
</file>