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4B4D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65969C2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5DF102BE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F75379" w:rsidRPr="009349D6" w14:paraId="4D51AD35" w14:textId="77777777" w:rsidTr="003744CD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DFE6" w14:textId="77777777" w:rsidR="00F75379" w:rsidRPr="009349D6" w:rsidRDefault="00F75379" w:rsidP="003744CD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FD4" w14:textId="668AD0B6" w:rsidR="00F75379" w:rsidRPr="009349D6" w:rsidRDefault="00222A46" w:rsidP="003744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2042" w14:textId="77777777" w:rsidR="00F75379" w:rsidRPr="009349D6" w:rsidRDefault="00F75379" w:rsidP="003744CD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5D8" w14:textId="671A0F9C" w:rsidR="00F75379" w:rsidRPr="009349D6" w:rsidRDefault="00094F44" w:rsidP="003744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Auzins</w:t>
            </w:r>
          </w:p>
        </w:tc>
      </w:tr>
      <w:tr w:rsidR="00F75379" w:rsidRPr="009349D6" w14:paraId="34A5948F" w14:textId="77777777" w:rsidTr="003744CD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9DA6" w14:textId="77777777" w:rsidR="00F75379" w:rsidRPr="009349D6" w:rsidRDefault="00F75379" w:rsidP="003744CD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984" w14:textId="1010A396" w:rsidR="00F75379" w:rsidRPr="009349D6" w:rsidRDefault="00094F44" w:rsidP="003744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2020-0395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891F" w14:textId="77777777" w:rsidR="00F75379" w:rsidRPr="009349D6" w:rsidRDefault="00F75379" w:rsidP="003744CD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EA2" w14:textId="3BB3899F" w:rsidR="00F75379" w:rsidRPr="009349D6" w:rsidRDefault="00094F44" w:rsidP="003744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3, 2020</w:t>
            </w:r>
          </w:p>
        </w:tc>
      </w:tr>
    </w:tbl>
    <w:p w14:paraId="79585C60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DDCC530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9859516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D3D3E6A" w14:textId="29045E67" w:rsidR="0053045B" w:rsidRPr="00C75025" w:rsidRDefault="00094F44" w:rsidP="00EF013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Ordinance 2020-0395 would </w:t>
      </w:r>
      <w:r w:rsidR="00F53989">
        <w:rPr>
          <w:rFonts w:ascii="Arial" w:hAnsi="Arial" w:cs="Arial"/>
        </w:rPr>
        <w:t xml:space="preserve">renew and </w:t>
      </w:r>
      <w:r>
        <w:rPr>
          <w:rFonts w:ascii="Arial" w:hAnsi="Arial" w:cs="Arial"/>
        </w:rPr>
        <w:t>extend an existing moratorium on wineries, breweries, distilleries, and remote tasting room</w:t>
      </w:r>
      <w:r w:rsidR="00F539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an additional six months.</w:t>
      </w:r>
    </w:p>
    <w:p w14:paraId="35ADF61E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6DC7AD85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058B23E" w14:textId="07B495F6" w:rsidR="00074A56" w:rsidRDefault="00074A56" w:rsidP="005B478C">
      <w:pPr>
        <w:jc w:val="both"/>
        <w:rPr>
          <w:rFonts w:ascii="Arial" w:hAnsi="Arial" w:cs="Arial"/>
        </w:rPr>
      </w:pPr>
    </w:p>
    <w:p w14:paraId="18A6F513" w14:textId="5F38101C" w:rsidR="00C75025" w:rsidRDefault="00A15755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The Council adopted Ordinance 19122 in June 2020, establishing a moratorium regarding wineries, breweries, distilleries and remote tasting rooms.</w:t>
      </w:r>
      <w:r w:rsidR="00F539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Proposed Ordinance 2020-0395 would renew and extend the moratorium for an additional six months, through June 2021.</w:t>
      </w:r>
    </w:p>
    <w:p w14:paraId="6D52A153" w14:textId="77777777" w:rsidR="00094F44" w:rsidRDefault="00094F44" w:rsidP="005B478C">
      <w:pPr>
        <w:jc w:val="both"/>
        <w:rPr>
          <w:rFonts w:ascii="Arial" w:hAnsi="Arial" w:cs="Arial"/>
          <w:szCs w:val="24"/>
        </w:rPr>
      </w:pPr>
    </w:p>
    <w:p w14:paraId="5814AB46" w14:textId="77777777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2BFB8050" w14:textId="5B6B1AA2" w:rsidR="00074A56" w:rsidRDefault="00074A56" w:rsidP="005B478C">
      <w:pPr>
        <w:jc w:val="both"/>
        <w:rPr>
          <w:rFonts w:ascii="Arial" w:hAnsi="Arial" w:cs="Arial"/>
        </w:rPr>
      </w:pPr>
    </w:p>
    <w:p w14:paraId="36E9AF94" w14:textId="34CE47E7" w:rsidR="00094F44" w:rsidRPr="00094F44" w:rsidRDefault="00094F44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December 2019, the Council adopted Ordinance 19030, which </w:t>
      </w:r>
      <w:r w:rsidRPr="00094F44">
        <w:rPr>
          <w:rFonts w:ascii="Arial" w:hAnsi="Arial" w:cs="Arial"/>
        </w:rPr>
        <w:t>established updated regulations for winery, brewery, distillery facilities and remote tasting rooms in unincorporated King County.</w:t>
      </w:r>
    </w:p>
    <w:p w14:paraId="68A93C63" w14:textId="3F7E8924" w:rsidR="00094F44" w:rsidRPr="00094F44" w:rsidRDefault="00094F44" w:rsidP="005B478C">
      <w:pPr>
        <w:jc w:val="both"/>
        <w:rPr>
          <w:rFonts w:ascii="Arial" w:hAnsi="Arial" w:cs="Arial"/>
        </w:rPr>
      </w:pPr>
    </w:p>
    <w:p w14:paraId="4354FDE6" w14:textId="6DDBA031" w:rsidR="00094F44" w:rsidRPr="00094F44" w:rsidRDefault="00094F44" w:rsidP="005B478C">
      <w:pPr>
        <w:jc w:val="both"/>
        <w:rPr>
          <w:rFonts w:ascii="Arial" w:hAnsi="Arial" w:cs="Arial"/>
        </w:rPr>
      </w:pPr>
      <w:r w:rsidRPr="00094F44">
        <w:rPr>
          <w:rFonts w:ascii="Arial" w:hAnsi="Arial" w:cs="Arial"/>
        </w:rPr>
        <w:t>Ordinance 19030 was challenged on State Environmental Policy Act (SEPA) and G</w:t>
      </w:r>
      <w:r w:rsidR="00F53989">
        <w:rPr>
          <w:rFonts w:ascii="Arial" w:hAnsi="Arial" w:cs="Arial"/>
        </w:rPr>
        <w:t xml:space="preserve">rowth </w:t>
      </w:r>
      <w:r w:rsidRPr="00094F44">
        <w:rPr>
          <w:rFonts w:ascii="Arial" w:hAnsi="Arial" w:cs="Arial"/>
        </w:rPr>
        <w:t>M</w:t>
      </w:r>
      <w:r w:rsidR="00F53989">
        <w:rPr>
          <w:rFonts w:ascii="Arial" w:hAnsi="Arial" w:cs="Arial"/>
        </w:rPr>
        <w:t xml:space="preserve">anagement </w:t>
      </w:r>
      <w:r w:rsidRPr="00094F44">
        <w:rPr>
          <w:rFonts w:ascii="Arial" w:hAnsi="Arial" w:cs="Arial"/>
        </w:rPr>
        <w:t>A</w:t>
      </w:r>
      <w:r w:rsidR="00F53989">
        <w:rPr>
          <w:rFonts w:ascii="Arial" w:hAnsi="Arial" w:cs="Arial"/>
        </w:rPr>
        <w:t>ct (GMA)</w:t>
      </w:r>
      <w:r w:rsidRPr="00094F44">
        <w:rPr>
          <w:rFonts w:ascii="Arial" w:hAnsi="Arial" w:cs="Arial"/>
        </w:rPr>
        <w:t xml:space="preserve"> grounds by Futurewise and a neighborhood group to the Central Puget Sound Growth Management Hearings Board (Board).  The petitioners filed a summary judgment motion with the Board, claiming the SEPA process undertaken by the County before adoption of the ordinance had been insufficient.  </w:t>
      </w:r>
    </w:p>
    <w:p w14:paraId="5E15C60C" w14:textId="77777777" w:rsidR="00094F44" w:rsidRPr="00094F44" w:rsidRDefault="00094F44" w:rsidP="005B478C">
      <w:pPr>
        <w:jc w:val="both"/>
        <w:rPr>
          <w:rFonts w:ascii="Arial" w:hAnsi="Arial" w:cs="Arial"/>
        </w:rPr>
      </w:pPr>
    </w:p>
    <w:p w14:paraId="7460087C" w14:textId="1F40FD8C" w:rsidR="00094F44" w:rsidRDefault="00094F44" w:rsidP="005B478C">
      <w:pPr>
        <w:jc w:val="both"/>
        <w:rPr>
          <w:rFonts w:ascii="Arial" w:hAnsi="Arial" w:cs="Arial"/>
        </w:rPr>
      </w:pPr>
      <w:r w:rsidRPr="00094F44">
        <w:rPr>
          <w:rFonts w:ascii="Arial" w:hAnsi="Arial" w:cs="Arial"/>
        </w:rPr>
        <w:t xml:space="preserve">On May 26, 2020, the </w:t>
      </w:r>
      <w:r w:rsidR="00F53989">
        <w:rPr>
          <w:rFonts w:ascii="Arial" w:hAnsi="Arial" w:cs="Arial"/>
        </w:rPr>
        <w:t>B</w:t>
      </w:r>
      <w:r w:rsidRPr="00094F44">
        <w:rPr>
          <w:rFonts w:ascii="Arial" w:hAnsi="Arial" w:cs="Arial"/>
        </w:rPr>
        <w:t>oard issued its Order on Dispositive Motions for Case No. 20-3-0004c (</w:t>
      </w:r>
      <w:r>
        <w:rPr>
          <w:rFonts w:ascii="Arial" w:hAnsi="Arial" w:cs="Arial"/>
        </w:rPr>
        <w:t>O</w:t>
      </w:r>
      <w:r w:rsidRPr="00094F44">
        <w:rPr>
          <w:rFonts w:ascii="Arial" w:hAnsi="Arial" w:cs="Arial"/>
        </w:rPr>
        <w:t xml:space="preserve">rder), which granted the petitioners' summary judgment </w:t>
      </w:r>
      <w:r w:rsidR="00335131">
        <w:rPr>
          <w:rFonts w:ascii="Arial" w:hAnsi="Arial" w:cs="Arial"/>
        </w:rPr>
        <w:t xml:space="preserve">motion </w:t>
      </w:r>
      <w:r w:rsidRPr="00094F44">
        <w:rPr>
          <w:rFonts w:ascii="Arial" w:hAnsi="Arial" w:cs="Arial"/>
        </w:rPr>
        <w:t xml:space="preserve">and invalidated most of the substantive sections of the Ordinance.  Ordinance 19030, Sections 12 through 30, and map amendments 1 and 2, which were Attachments A and B to Ordinance 19030, were invalidated by the </w:t>
      </w:r>
      <w:r w:rsidR="00F53989">
        <w:rPr>
          <w:rFonts w:ascii="Arial" w:hAnsi="Arial" w:cs="Arial"/>
        </w:rPr>
        <w:t>B</w:t>
      </w:r>
      <w:r w:rsidRPr="00094F44">
        <w:rPr>
          <w:rFonts w:ascii="Arial" w:hAnsi="Arial" w:cs="Arial"/>
        </w:rPr>
        <w:t>oard.  Ordinance 19030, Sections 12 through 30, include definitions, zoning conditions, parking restrictions, temporary use permit clarifications, home occupation and home industry limitations and a demonstration project</w:t>
      </w:r>
      <w:r w:rsidR="00F53989">
        <w:rPr>
          <w:rFonts w:ascii="Arial" w:hAnsi="Arial" w:cs="Arial"/>
        </w:rPr>
        <w:t xml:space="preserve"> for remote tasting rooms</w:t>
      </w:r>
      <w:r w:rsidRPr="00094F44">
        <w:rPr>
          <w:rFonts w:ascii="Arial" w:hAnsi="Arial" w:cs="Arial"/>
        </w:rPr>
        <w:t>.</w:t>
      </w:r>
    </w:p>
    <w:p w14:paraId="454C2DE7" w14:textId="1689D5EE" w:rsidR="00094F44" w:rsidRDefault="00094F44" w:rsidP="005B478C">
      <w:pPr>
        <w:jc w:val="both"/>
        <w:rPr>
          <w:rFonts w:ascii="Arial" w:hAnsi="Arial" w:cs="Arial"/>
        </w:rPr>
      </w:pPr>
    </w:p>
    <w:p w14:paraId="40E0CB3A" w14:textId="65EDC540" w:rsidR="00094F44" w:rsidRDefault="00094F44" w:rsidP="005B478C">
      <w:pPr>
        <w:jc w:val="both"/>
        <w:rPr>
          <w:rFonts w:ascii="Arial" w:hAnsi="Arial" w:cs="Arial"/>
        </w:rPr>
      </w:pPr>
      <w:r w:rsidRPr="00094F44">
        <w:rPr>
          <w:rFonts w:ascii="Arial" w:hAnsi="Arial" w:cs="Arial"/>
        </w:rPr>
        <w:t xml:space="preserve">On June 23, 2020, the Council adopted Ordinance 19122, declaring a six-month moratorium prohibiting the acceptance of applications for or establishment of new or expansion of existing wineries, breweries, distilleries and remote tasting rooms, as </w:t>
      </w:r>
      <w:r w:rsidRPr="00094F44">
        <w:rPr>
          <w:rFonts w:ascii="Arial" w:hAnsi="Arial" w:cs="Arial"/>
        </w:rPr>
        <w:lastRenderedPageBreak/>
        <w:t>primary uses or as home occupations or home industries; and prohibiting temporary use permits for wineries, breweries, distilleries and remote tasting room uses under the King County Code.</w:t>
      </w:r>
      <w:r>
        <w:rPr>
          <w:rFonts w:ascii="Arial" w:hAnsi="Arial" w:cs="Arial"/>
        </w:rPr>
        <w:t xml:space="preserve">  </w:t>
      </w:r>
      <w:r w:rsidR="00F53989">
        <w:rPr>
          <w:rFonts w:ascii="Arial" w:hAnsi="Arial" w:cs="Arial"/>
        </w:rPr>
        <w:t>The same day, Motion 15649 was adopted, r</w:t>
      </w:r>
      <w:r w:rsidR="00F53989" w:rsidRPr="00F53989">
        <w:rPr>
          <w:rFonts w:ascii="Arial" w:hAnsi="Arial" w:cs="Arial"/>
        </w:rPr>
        <w:t xml:space="preserve">equesting that the </w:t>
      </w:r>
      <w:r w:rsidR="00F53989">
        <w:rPr>
          <w:rFonts w:ascii="Arial" w:hAnsi="Arial" w:cs="Arial"/>
        </w:rPr>
        <w:t>E</w:t>
      </w:r>
      <w:r w:rsidR="00F53989" w:rsidRPr="00F53989">
        <w:rPr>
          <w:rFonts w:ascii="Arial" w:hAnsi="Arial" w:cs="Arial"/>
        </w:rPr>
        <w:t xml:space="preserve">xecutive complete a new environmental checklist addressing the zoning changes contemplated by Ordinance 19030 and any likely alternatives and in compliance with </w:t>
      </w:r>
      <w:r w:rsidR="00F53989">
        <w:rPr>
          <w:rFonts w:ascii="Arial" w:hAnsi="Arial" w:cs="Arial"/>
        </w:rPr>
        <w:t>state law and County Code, and to issue a new threshold determination based on that new checklist.</w:t>
      </w:r>
    </w:p>
    <w:p w14:paraId="1064D58A" w14:textId="0760C6CF" w:rsidR="00094F44" w:rsidRDefault="00094F44" w:rsidP="005B478C">
      <w:pPr>
        <w:jc w:val="both"/>
        <w:rPr>
          <w:rFonts w:ascii="Arial" w:hAnsi="Arial" w:cs="Arial"/>
        </w:rPr>
      </w:pPr>
    </w:p>
    <w:p w14:paraId="26B7A51A" w14:textId="77063A62" w:rsidR="00094F44" w:rsidRDefault="00094F44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19122 also r</w:t>
      </w:r>
      <w:r w:rsidRPr="00094F44">
        <w:rPr>
          <w:rFonts w:ascii="Arial" w:hAnsi="Arial" w:cs="Arial"/>
        </w:rPr>
        <w:t xml:space="preserve">equired the </w:t>
      </w:r>
      <w:r>
        <w:rPr>
          <w:rFonts w:ascii="Arial" w:hAnsi="Arial" w:cs="Arial"/>
        </w:rPr>
        <w:t>E</w:t>
      </w:r>
      <w:r w:rsidRPr="00094F44">
        <w:rPr>
          <w:rFonts w:ascii="Arial" w:hAnsi="Arial" w:cs="Arial"/>
        </w:rPr>
        <w:t xml:space="preserve">xecutive to evaluate the necessary steps to comply with the Board's Order regarding Ordinance 19030 and </w:t>
      </w:r>
      <w:r w:rsidR="00F53989">
        <w:rPr>
          <w:rFonts w:ascii="Arial" w:hAnsi="Arial" w:cs="Arial"/>
        </w:rPr>
        <w:t xml:space="preserve">provide a </w:t>
      </w:r>
      <w:r w:rsidRPr="00094F44">
        <w:rPr>
          <w:rFonts w:ascii="Arial" w:hAnsi="Arial" w:cs="Arial"/>
        </w:rPr>
        <w:t xml:space="preserve">report to the </w:t>
      </w:r>
      <w:r>
        <w:rPr>
          <w:rFonts w:ascii="Arial" w:hAnsi="Arial" w:cs="Arial"/>
        </w:rPr>
        <w:t>C</w:t>
      </w:r>
      <w:r w:rsidRPr="00094F44">
        <w:rPr>
          <w:rFonts w:ascii="Arial" w:hAnsi="Arial" w:cs="Arial"/>
        </w:rPr>
        <w:t xml:space="preserve">ouncil on the evaluation and status of compliance.  The </w:t>
      </w:r>
      <w:r>
        <w:rPr>
          <w:rFonts w:ascii="Arial" w:hAnsi="Arial" w:cs="Arial"/>
        </w:rPr>
        <w:t>E</w:t>
      </w:r>
      <w:r w:rsidRPr="00094F44">
        <w:rPr>
          <w:rFonts w:ascii="Arial" w:hAnsi="Arial" w:cs="Arial"/>
        </w:rPr>
        <w:t>xecutive transmitted a</w:t>
      </w:r>
      <w:r>
        <w:rPr>
          <w:rFonts w:ascii="Arial" w:hAnsi="Arial" w:cs="Arial"/>
        </w:rPr>
        <w:t xml:space="preserve"> responsive</w:t>
      </w:r>
      <w:r w:rsidRPr="00094F44">
        <w:rPr>
          <w:rFonts w:ascii="Arial" w:hAnsi="Arial" w:cs="Arial"/>
        </w:rPr>
        <w:t xml:space="preserve"> report in October 2020.</w:t>
      </w:r>
      <w:r>
        <w:rPr>
          <w:rStyle w:val="FootnoteReference"/>
          <w:rFonts w:ascii="Arial" w:hAnsi="Arial" w:cs="Arial"/>
        </w:rPr>
        <w:footnoteReference w:id="1"/>
      </w:r>
    </w:p>
    <w:p w14:paraId="53EBC766" w14:textId="1969F081" w:rsidR="00575B03" w:rsidRDefault="00575B03" w:rsidP="005B478C">
      <w:pPr>
        <w:jc w:val="both"/>
        <w:rPr>
          <w:rFonts w:ascii="Arial" w:hAnsi="Arial" w:cs="Arial"/>
        </w:rPr>
      </w:pPr>
    </w:p>
    <w:p w14:paraId="103C3E1D" w14:textId="3C60A0BC" w:rsidR="007A54CB" w:rsidRPr="007A54CB" w:rsidRDefault="007A54CB" w:rsidP="005B478C">
      <w:pPr>
        <w:jc w:val="both"/>
        <w:rPr>
          <w:rFonts w:ascii="Arial" w:hAnsi="Arial" w:cs="Arial"/>
          <w:u w:val="single"/>
        </w:rPr>
      </w:pPr>
      <w:r w:rsidRPr="007A54CB">
        <w:rPr>
          <w:rFonts w:ascii="Arial" w:hAnsi="Arial" w:cs="Arial"/>
          <w:u w:val="single"/>
        </w:rPr>
        <w:t>Next Steps</w:t>
      </w:r>
    </w:p>
    <w:p w14:paraId="2E4DD937" w14:textId="77777777" w:rsidR="007A54CB" w:rsidRDefault="007A54CB" w:rsidP="005B478C">
      <w:pPr>
        <w:jc w:val="both"/>
        <w:rPr>
          <w:rFonts w:ascii="Arial" w:hAnsi="Arial" w:cs="Arial"/>
        </w:rPr>
      </w:pPr>
    </w:p>
    <w:p w14:paraId="4CCDDA65" w14:textId="52A042C7" w:rsidR="007A54CB" w:rsidRDefault="00286A9D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County continues to be under an </w:t>
      </w:r>
      <w:r w:rsidR="00F539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 of </w:t>
      </w:r>
      <w:r w:rsidR="003351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nvalidity </w:t>
      </w:r>
      <w:r w:rsidR="00F53989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Board</w:t>
      </w:r>
      <w:r w:rsidR="00F53989">
        <w:rPr>
          <w:rFonts w:ascii="Arial" w:hAnsi="Arial" w:cs="Arial"/>
        </w:rPr>
        <w:t xml:space="preserve"> for Ordinance </w:t>
      </w:r>
      <w:proofErr w:type="gramStart"/>
      <w:r w:rsidR="00F53989">
        <w:rPr>
          <w:rFonts w:ascii="Arial" w:hAnsi="Arial" w:cs="Arial"/>
        </w:rPr>
        <w:t>19030</w:t>
      </w:r>
      <w:r>
        <w:rPr>
          <w:rFonts w:ascii="Arial" w:hAnsi="Arial" w:cs="Arial"/>
        </w:rPr>
        <w:t>, and</w:t>
      </w:r>
      <w:proofErr w:type="gramEnd"/>
      <w:r>
        <w:rPr>
          <w:rFonts w:ascii="Arial" w:hAnsi="Arial" w:cs="Arial"/>
        </w:rPr>
        <w:t xml:space="preserve"> continues with an appeal of th</w:t>
      </w:r>
      <w:r w:rsidR="007C5279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F539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 in </w:t>
      </w:r>
      <w:r w:rsidR="00F53989">
        <w:rPr>
          <w:rFonts w:ascii="Arial" w:hAnsi="Arial" w:cs="Arial"/>
        </w:rPr>
        <w:t xml:space="preserve">King County </w:t>
      </w:r>
      <w:r>
        <w:rPr>
          <w:rFonts w:ascii="Arial" w:hAnsi="Arial" w:cs="Arial"/>
        </w:rPr>
        <w:t>Superior Court.  Th</w:t>
      </w:r>
      <w:r w:rsidR="00335131">
        <w:rPr>
          <w:rFonts w:ascii="Arial" w:hAnsi="Arial" w:cs="Arial"/>
        </w:rPr>
        <w:t xml:space="preserve">e Superior </w:t>
      </w:r>
      <w:r w:rsidR="001B743D">
        <w:rPr>
          <w:rFonts w:ascii="Arial" w:hAnsi="Arial" w:cs="Arial"/>
        </w:rPr>
        <w:t>Court litigation</w:t>
      </w:r>
      <w:r w:rsidR="00335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likely continue into, and </w:t>
      </w:r>
      <w:bookmarkStart w:id="0" w:name="_GoBack"/>
      <w:r w:rsidR="00222A46">
        <w:rPr>
          <w:rFonts w:ascii="Arial" w:hAnsi="Arial" w:cs="Arial"/>
        </w:rPr>
        <w:t xml:space="preserve">potentially </w:t>
      </w:r>
      <w:bookmarkEnd w:id="0"/>
      <w:r>
        <w:rPr>
          <w:rFonts w:ascii="Arial" w:hAnsi="Arial" w:cs="Arial"/>
        </w:rPr>
        <w:t>be resolved in, 2021.</w:t>
      </w:r>
    </w:p>
    <w:p w14:paraId="10C5919B" w14:textId="066FA4FB" w:rsidR="00286A9D" w:rsidRDefault="00286A9D" w:rsidP="005B478C">
      <w:pPr>
        <w:jc w:val="both"/>
        <w:rPr>
          <w:rFonts w:ascii="Arial" w:hAnsi="Arial" w:cs="Arial"/>
        </w:rPr>
      </w:pPr>
    </w:p>
    <w:p w14:paraId="0418E81C" w14:textId="453624FD" w:rsidR="00286A9D" w:rsidRDefault="007C5279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Concurrently, t</w:t>
      </w:r>
      <w:r w:rsidR="00286A9D">
        <w:rPr>
          <w:rFonts w:ascii="Arial" w:hAnsi="Arial" w:cs="Arial"/>
        </w:rPr>
        <w:t xml:space="preserve">he work requested under Motion 15649, calling for </w:t>
      </w:r>
      <w:r w:rsidR="00F53989">
        <w:rPr>
          <w:rFonts w:ascii="Arial" w:hAnsi="Arial" w:cs="Arial"/>
        </w:rPr>
        <w:t xml:space="preserve">the Executive to complete </w:t>
      </w:r>
      <w:r w:rsidR="00286A9D">
        <w:rPr>
          <w:rFonts w:ascii="Arial" w:hAnsi="Arial" w:cs="Arial"/>
        </w:rPr>
        <w:t xml:space="preserve">a </w:t>
      </w:r>
      <w:r w:rsidR="00F53989">
        <w:rPr>
          <w:rFonts w:ascii="Arial" w:hAnsi="Arial" w:cs="Arial"/>
        </w:rPr>
        <w:t>new</w:t>
      </w:r>
      <w:r w:rsidR="00286A9D">
        <w:rPr>
          <w:rFonts w:ascii="Arial" w:hAnsi="Arial" w:cs="Arial"/>
        </w:rPr>
        <w:t xml:space="preserve"> SEPA checklist for Ordinance 19030, continues.  That</w:t>
      </w:r>
      <w:r w:rsidR="00F53989">
        <w:rPr>
          <w:rFonts w:ascii="Arial" w:hAnsi="Arial" w:cs="Arial"/>
        </w:rPr>
        <w:t xml:space="preserve"> new</w:t>
      </w:r>
      <w:r w:rsidR="00286A9D">
        <w:rPr>
          <w:rFonts w:ascii="Arial" w:hAnsi="Arial" w:cs="Arial"/>
        </w:rPr>
        <w:t xml:space="preserve"> SEPA checklist should be completed by a consultant hired jointly by the Executive and Council in early November 2020</w:t>
      </w:r>
      <w:r>
        <w:rPr>
          <w:rFonts w:ascii="Arial" w:hAnsi="Arial" w:cs="Arial"/>
        </w:rPr>
        <w:t>.  A</w:t>
      </w:r>
      <w:r w:rsidR="00286A9D">
        <w:rPr>
          <w:rFonts w:ascii="Arial" w:hAnsi="Arial" w:cs="Arial"/>
        </w:rPr>
        <w:t xml:space="preserve"> new SEPA threshold determination </w:t>
      </w:r>
      <w:r>
        <w:rPr>
          <w:rFonts w:ascii="Arial" w:hAnsi="Arial" w:cs="Arial"/>
        </w:rPr>
        <w:t>w</w:t>
      </w:r>
      <w:r w:rsidR="00335131">
        <w:rPr>
          <w:rFonts w:ascii="Arial" w:hAnsi="Arial" w:cs="Arial"/>
        </w:rPr>
        <w:t>ill</w:t>
      </w:r>
      <w:r w:rsidR="00286A9D">
        <w:rPr>
          <w:rFonts w:ascii="Arial" w:hAnsi="Arial" w:cs="Arial"/>
        </w:rPr>
        <w:t xml:space="preserve"> follow.  </w:t>
      </w:r>
      <w:r w:rsidR="005828F7">
        <w:rPr>
          <w:rFonts w:ascii="Arial" w:hAnsi="Arial" w:cs="Arial"/>
        </w:rPr>
        <w:t>T</w:t>
      </w:r>
      <w:r w:rsidR="00286A9D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SEPA Responsible Official</w:t>
      </w:r>
      <w:r w:rsidR="00286A9D">
        <w:rPr>
          <w:rFonts w:ascii="Arial" w:hAnsi="Arial" w:cs="Arial"/>
        </w:rPr>
        <w:t xml:space="preserve"> </w:t>
      </w:r>
      <w:r w:rsidR="005828F7">
        <w:rPr>
          <w:rFonts w:ascii="Arial" w:hAnsi="Arial" w:cs="Arial"/>
        </w:rPr>
        <w:t xml:space="preserve">could </w:t>
      </w:r>
      <w:r w:rsidR="00F53989">
        <w:rPr>
          <w:rFonts w:ascii="Arial" w:hAnsi="Arial" w:cs="Arial"/>
        </w:rPr>
        <w:t xml:space="preserve">find </w:t>
      </w:r>
      <w:r>
        <w:rPr>
          <w:rFonts w:ascii="Arial" w:hAnsi="Arial" w:cs="Arial"/>
        </w:rPr>
        <w:t xml:space="preserve">that the legislation has a </w:t>
      </w:r>
      <w:r w:rsidR="00F53989">
        <w:rPr>
          <w:rFonts w:ascii="Arial" w:hAnsi="Arial" w:cs="Arial"/>
        </w:rPr>
        <w:t xml:space="preserve">likely </w:t>
      </w:r>
      <w:r w:rsidR="005828F7">
        <w:rPr>
          <w:rFonts w:ascii="Arial" w:hAnsi="Arial" w:cs="Arial"/>
        </w:rPr>
        <w:t xml:space="preserve">significant </w:t>
      </w:r>
      <w:r w:rsidR="00F53989">
        <w:rPr>
          <w:rFonts w:ascii="Arial" w:hAnsi="Arial" w:cs="Arial"/>
        </w:rPr>
        <w:t>adverse environmental impact</w:t>
      </w:r>
      <w:r w:rsidR="005828F7">
        <w:rPr>
          <w:rFonts w:ascii="Arial" w:hAnsi="Arial" w:cs="Arial"/>
        </w:rPr>
        <w:t xml:space="preserve">(s) and require </w:t>
      </w:r>
      <w:r>
        <w:rPr>
          <w:rFonts w:ascii="Arial" w:hAnsi="Arial" w:cs="Arial"/>
        </w:rPr>
        <w:t>an Environmental Impact Statement through a Determination of Significance; or could find that there is not a likely significant adverse environmental impact(s) and issue a Determination of Nonsignificance.  In either case</w:t>
      </w:r>
      <w:r w:rsidR="00286A9D">
        <w:rPr>
          <w:rFonts w:ascii="Arial" w:hAnsi="Arial" w:cs="Arial"/>
        </w:rPr>
        <w:t>, there may be additional work for the Council to complete</w:t>
      </w:r>
      <w:r w:rsidR="00F53989">
        <w:rPr>
          <w:rFonts w:ascii="Arial" w:hAnsi="Arial" w:cs="Arial"/>
        </w:rPr>
        <w:t xml:space="preserve">, </w:t>
      </w:r>
      <w:r w:rsidR="00286A9D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considering</w:t>
      </w:r>
      <w:r w:rsidR="00286A9D">
        <w:rPr>
          <w:rFonts w:ascii="Arial" w:hAnsi="Arial" w:cs="Arial"/>
        </w:rPr>
        <w:t xml:space="preserve"> revised legislation or completing additional environmental review.</w:t>
      </w:r>
    </w:p>
    <w:p w14:paraId="2F018BDA" w14:textId="77777777" w:rsidR="007A54CB" w:rsidRDefault="007A54CB" w:rsidP="005B478C">
      <w:pPr>
        <w:jc w:val="both"/>
        <w:rPr>
          <w:rFonts w:ascii="Arial" w:hAnsi="Arial" w:cs="Arial"/>
        </w:rPr>
      </w:pPr>
    </w:p>
    <w:p w14:paraId="174D6E1F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10865B7A" w14:textId="0150AE6A" w:rsidR="00074A56" w:rsidRDefault="00074A56" w:rsidP="005B478C">
      <w:pPr>
        <w:jc w:val="both"/>
        <w:rPr>
          <w:rFonts w:ascii="Arial" w:hAnsi="Arial" w:cs="Arial"/>
        </w:rPr>
      </w:pPr>
    </w:p>
    <w:p w14:paraId="40E8593D" w14:textId="7F2699BD" w:rsidR="00076BF8" w:rsidRDefault="00076BF8" w:rsidP="00076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current moratorium expires on December 23, 2020. RCW 36.70A.390 authorize</w:t>
      </w:r>
      <w:r w:rsidR="00F539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local governments to renew a moratorium, subject to certain criteria including </w:t>
      </w:r>
      <w:r w:rsidR="007A54CB">
        <w:rPr>
          <w:rFonts w:ascii="Arial" w:hAnsi="Arial" w:cs="Arial"/>
        </w:rPr>
        <w:t xml:space="preserve">holding a </w:t>
      </w:r>
      <w:r>
        <w:rPr>
          <w:rFonts w:ascii="Arial" w:hAnsi="Arial" w:cs="Arial"/>
        </w:rPr>
        <w:t xml:space="preserve">public hearing and adopting findings of fact. </w:t>
      </w:r>
    </w:p>
    <w:p w14:paraId="1E9E84A1" w14:textId="77777777" w:rsidR="00076BF8" w:rsidRDefault="00076BF8" w:rsidP="00076BF8">
      <w:pPr>
        <w:jc w:val="both"/>
        <w:rPr>
          <w:rFonts w:ascii="Arial" w:hAnsi="Arial" w:cs="Arial"/>
        </w:rPr>
      </w:pPr>
    </w:p>
    <w:p w14:paraId="0F3FBAD4" w14:textId="68AC71FF" w:rsidR="00094F44" w:rsidRDefault="00094F44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Ordinance 2020-0395 would </w:t>
      </w:r>
      <w:r w:rsidR="00076BF8">
        <w:rPr>
          <w:rFonts w:ascii="Arial" w:hAnsi="Arial" w:cs="Arial"/>
        </w:rPr>
        <w:t xml:space="preserve">renew and extend </w:t>
      </w:r>
      <w:r>
        <w:rPr>
          <w:rFonts w:ascii="Arial" w:hAnsi="Arial" w:cs="Arial"/>
        </w:rPr>
        <w:t xml:space="preserve">the existing moratorium for an additional six months, </w:t>
      </w:r>
      <w:r w:rsidR="00076BF8">
        <w:rPr>
          <w:rFonts w:ascii="Arial" w:hAnsi="Arial" w:cs="Arial"/>
        </w:rPr>
        <w:t xml:space="preserve">from December 23, 2020 </w:t>
      </w:r>
      <w:r>
        <w:rPr>
          <w:rFonts w:ascii="Arial" w:hAnsi="Arial" w:cs="Arial"/>
        </w:rPr>
        <w:t>through June 23, 2020.</w:t>
      </w:r>
    </w:p>
    <w:p w14:paraId="222F39AF" w14:textId="77777777" w:rsidR="00264BE1" w:rsidRPr="001C4B19" w:rsidRDefault="00264BE1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2329CAD7" w14:textId="3560CD2D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15575AEC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347C7C8" w14:textId="50E0B3FB"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094F44">
        <w:rPr>
          <w:rFonts w:ascii="Arial" w:hAnsi="Arial" w:cs="Arial"/>
          <w:i w:val="0"/>
          <w:szCs w:val="24"/>
        </w:rPr>
        <w:t xml:space="preserve"> 2020-0395</w:t>
      </w:r>
    </w:p>
    <w:p w14:paraId="4F39474A" w14:textId="77777777"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sectPr w:rsidR="00C521D8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E115" w14:textId="77777777" w:rsidR="00871CCE" w:rsidRDefault="00871CCE">
      <w:r>
        <w:separator/>
      </w:r>
    </w:p>
  </w:endnote>
  <w:endnote w:type="continuationSeparator" w:id="0">
    <w:p w14:paraId="11DAFF7A" w14:textId="77777777" w:rsidR="00871CCE" w:rsidRDefault="008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054F" w14:textId="77777777" w:rsidR="00871CCE" w:rsidRDefault="00871CCE">
      <w:r>
        <w:separator/>
      </w:r>
    </w:p>
  </w:footnote>
  <w:footnote w:type="continuationSeparator" w:id="0">
    <w:p w14:paraId="6029D402" w14:textId="77777777" w:rsidR="00871CCE" w:rsidRDefault="00871CCE">
      <w:r>
        <w:continuationSeparator/>
      </w:r>
    </w:p>
  </w:footnote>
  <w:footnote w:id="1">
    <w:p w14:paraId="4E6650B3" w14:textId="6B971346" w:rsidR="00094F44" w:rsidRDefault="00094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4F44">
        <w:rPr>
          <w:rFonts w:ascii="Arial" w:hAnsi="Arial" w:cs="Arial"/>
        </w:rPr>
        <w:t>2020-RPT0150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3FB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151E3B58" wp14:editId="43D7499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BB890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0E141E85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E37C41" w14:textId="77777777" w:rsidR="00C75025" w:rsidRPr="004A1D48" w:rsidRDefault="00FF2080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A6E40"/>
    <w:multiLevelType w:val="hybridMultilevel"/>
    <w:tmpl w:val="A6A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482D"/>
    <w:multiLevelType w:val="hybridMultilevel"/>
    <w:tmpl w:val="50E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2"/>
  </w:num>
  <w:num w:numId="4">
    <w:abstractNumId w:val="41"/>
  </w:num>
  <w:num w:numId="5">
    <w:abstractNumId w:val="38"/>
  </w:num>
  <w:num w:numId="6">
    <w:abstractNumId w:val="13"/>
  </w:num>
  <w:num w:numId="7">
    <w:abstractNumId w:val="39"/>
  </w:num>
  <w:num w:numId="8">
    <w:abstractNumId w:val="15"/>
  </w:num>
  <w:num w:numId="9">
    <w:abstractNumId w:val="3"/>
  </w:num>
  <w:num w:numId="10">
    <w:abstractNumId w:val="40"/>
  </w:num>
  <w:num w:numId="11">
    <w:abstractNumId w:val="2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6"/>
  </w:num>
  <w:num w:numId="17">
    <w:abstractNumId w:val="33"/>
  </w:num>
  <w:num w:numId="18">
    <w:abstractNumId w:val="23"/>
  </w:num>
  <w:num w:numId="19">
    <w:abstractNumId w:val="30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7"/>
  </w:num>
  <w:num w:numId="30">
    <w:abstractNumId w:val="1"/>
  </w:num>
  <w:num w:numId="31">
    <w:abstractNumId w:val="32"/>
  </w:num>
  <w:num w:numId="32">
    <w:abstractNumId w:val="34"/>
  </w:num>
  <w:num w:numId="33">
    <w:abstractNumId w:val="14"/>
  </w:num>
  <w:num w:numId="34">
    <w:abstractNumId w:val="11"/>
  </w:num>
  <w:num w:numId="35">
    <w:abstractNumId w:val="7"/>
  </w:num>
  <w:num w:numId="36">
    <w:abstractNumId w:val="26"/>
  </w:num>
  <w:num w:numId="37">
    <w:abstractNumId w:val="35"/>
  </w:num>
  <w:num w:numId="38">
    <w:abstractNumId w:val="20"/>
  </w:num>
  <w:num w:numId="39">
    <w:abstractNumId w:val="31"/>
  </w:num>
  <w:num w:numId="40">
    <w:abstractNumId w:val="28"/>
  </w:num>
  <w:num w:numId="41">
    <w:abstractNumId w:val="36"/>
  </w:num>
  <w:num w:numId="42">
    <w:abstractNumId w:val="42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BF8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4F44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B743D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E7AC9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2A46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86A9D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5131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0BE3"/>
    <w:rsid w:val="003E1CC3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045B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8F7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3C8B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57C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337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5A99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54CB"/>
    <w:rsid w:val="007B1136"/>
    <w:rsid w:val="007B3A44"/>
    <w:rsid w:val="007B4108"/>
    <w:rsid w:val="007B5ED6"/>
    <w:rsid w:val="007B63B1"/>
    <w:rsid w:val="007B688B"/>
    <w:rsid w:val="007B76B3"/>
    <w:rsid w:val="007C20EE"/>
    <w:rsid w:val="007C5279"/>
    <w:rsid w:val="007C6843"/>
    <w:rsid w:val="007C7BDF"/>
    <w:rsid w:val="007D178B"/>
    <w:rsid w:val="007D17ED"/>
    <w:rsid w:val="007D2C57"/>
    <w:rsid w:val="007D72EC"/>
    <w:rsid w:val="007D78E8"/>
    <w:rsid w:val="007D7D5A"/>
    <w:rsid w:val="007E013C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CCE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398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5755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138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3989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5379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08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A348"/>
  <w15:docId w15:val="{2E44356D-81C7-4B64-9C9C-AEDBF3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9525-5689-4F7C-B14E-B32125F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Auzins, Erin</cp:lastModifiedBy>
  <cp:revision>5</cp:revision>
  <cp:lastPrinted>2015-03-13T15:09:00Z</cp:lastPrinted>
  <dcterms:created xsi:type="dcterms:W3CDTF">2020-10-28T21:16:00Z</dcterms:created>
  <dcterms:modified xsi:type="dcterms:W3CDTF">2020-10-29T18:38:00Z</dcterms:modified>
</cp:coreProperties>
</file>