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424D" w14:textId="77777777" w:rsidR="00EB5A13" w:rsidRPr="00A46A5D" w:rsidRDefault="00EB5A13" w:rsidP="00EB5A13">
      <w:pPr>
        <w:pStyle w:val="Heading2"/>
        <w:rPr>
          <w:b w:val="0"/>
          <w:sz w:val="24"/>
          <w:u w:val="none"/>
        </w:rPr>
      </w:pPr>
    </w:p>
    <w:p w14:paraId="00426F6D" w14:textId="76D817F2" w:rsidR="00EB5A13" w:rsidRPr="00F71F8C" w:rsidRDefault="00C12FF0"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0FB947D9"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67A91" w14:paraId="0B9E4336" w14:textId="77777777" w:rsidTr="00E67A91">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205F97E" w14:textId="77777777" w:rsidR="00E67A91" w:rsidRDefault="00E67A91" w:rsidP="00E67A91">
            <w:pPr>
              <w:spacing w:before="40" w:after="40"/>
              <w:rPr>
                <w:rFonts w:ascii="Arial" w:hAnsi="Arial" w:cs="Arial"/>
                <w:b/>
              </w:rPr>
            </w:pPr>
            <w:r>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A413EAE" w14:textId="77777777" w:rsidR="00E67A91" w:rsidRDefault="00E67A91">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440E7872" w14:textId="77777777" w:rsidR="00E67A91" w:rsidRDefault="00E67A91" w:rsidP="00E67A91">
            <w:pPr>
              <w:spacing w:before="40" w:after="40"/>
              <w:ind w:right="-108"/>
              <w:rPr>
                <w:rFonts w:ascii="Arial" w:hAnsi="Arial" w:cs="Arial"/>
                <w:b/>
              </w:rPr>
            </w:pPr>
            <w:r>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A2F8214" w14:textId="77777777" w:rsidR="00E67A91" w:rsidRDefault="00E67A91">
            <w:pPr>
              <w:spacing w:before="40" w:after="40"/>
              <w:rPr>
                <w:rFonts w:ascii="Arial" w:hAnsi="Arial" w:cs="Arial"/>
              </w:rPr>
            </w:pPr>
            <w:r>
              <w:rPr>
                <w:rFonts w:ascii="Arial" w:hAnsi="Arial" w:cs="Arial"/>
              </w:rPr>
              <w:t>Nick Bowman</w:t>
            </w:r>
          </w:p>
        </w:tc>
      </w:tr>
      <w:tr w:rsidR="00E67A91" w:rsidRPr="009349D6" w14:paraId="232CFA2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853187" w14:textId="77777777" w:rsidR="00E67A91" w:rsidRPr="009349D6" w:rsidRDefault="00E67A91" w:rsidP="00E67A91">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DC9E9BF" w14:textId="77777777" w:rsidR="00E67A91" w:rsidRPr="009349D6" w:rsidRDefault="00E67A91" w:rsidP="00E67A91">
            <w:pPr>
              <w:spacing w:before="40" w:after="40"/>
              <w:rPr>
                <w:rFonts w:ascii="Arial" w:hAnsi="Arial" w:cs="Arial"/>
              </w:rPr>
            </w:pPr>
            <w:r>
              <w:rPr>
                <w:rFonts w:ascii="Arial" w:hAnsi="Arial" w:cs="Arial"/>
              </w:rPr>
              <w:t>2020-0104</w:t>
            </w:r>
          </w:p>
        </w:tc>
        <w:tc>
          <w:tcPr>
            <w:tcW w:w="1170" w:type="dxa"/>
            <w:tcBorders>
              <w:top w:val="single" w:sz="4" w:space="0" w:color="auto"/>
              <w:left w:val="single" w:sz="4" w:space="0" w:color="auto"/>
              <w:bottom w:val="single" w:sz="4" w:space="0" w:color="auto"/>
              <w:right w:val="single" w:sz="4" w:space="0" w:color="auto"/>
            </w:tcBorders>
            <w:vAlign w:val="center"/>
          </w:tcPr>
          <w:p w14:paraId="46193F32" w14:textId="77777777" w:rsidR="00E67A91" w:rsidRPr="009349D6" w:rsidRDefault="00E67A91" w:rsidP="00E67A91">
            <w:pPr>
              <w:spacing w:before="40" w:after="40"/>
              <w:ind w:right="-108"/>
              <w:rPr>
                <w:rFonts w:ascii="Arial" w:hAnsi="Arial" w:cs="Arial"/>
              </w:rPr>
            </w:pPr>
            <w:r>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19A2FEA" w14:textId="77777777" w:rsidR="00E67A91" w:rsidRPr="009349D6" w:rsidRDefault="00E67A91" w:rsidP="00E67A91">
            <w:pPr>
              <w:spacing w:before="40" w:after="40"/>
              <w:rPr>
                <w:rFonts w:ascii="Arial" w:hAnsi="Arial" w:cs="Arial"/>
              </w:rPr>
            </w:pPr>
            <w:r>
              <w:rPr>
                <w:rFonts w:ascii="Arial" w:hAnsi="Arial" w:cs="Arial"/>
              </w:rPr>
              <w:t>August 26, 2020</w:t>
            </w:r>
          </w:p>
        </w:tc>
      </w:tr>
    </w:tbl>
    <w:p w14:paraId="0F8665D8" w14:textId="77777777" w:rsidR="00785660" w:rsidRDefault="00785660" w:rsidP="005B478C">
      <w:pPr>
        <w:jc w:val="both"/>
        <w:rPr>
          <w:rFonts w:ascii="Arial" w:hAnsi="Arial" w:cs="Arial"/>
          <w:b/>
          <w:szCs w:val="24"/>
          <w:u w:val="single"/>
        </w:rPr>
      </w:pPr>
    </w:p>
    <w:p w14:paraId="544F6326" w14:textId="77777777" w:rsidR="00C12FF0" w:rsidRDefault="00C12FF0" w:rsidP="00C12FF0">
      <w:pPr>
        <w:rPr>
          <w:rFonts w:ascii="Arial" w:hAnsi="Arial" w:cs="Arial"/>
          <w:b/>
          <w:smallCaps/>
          <w:szCs w:val="24"/>
          <w:u w:val="single"/>
        </w:rPr>
      </w:pPr>
    </w:p>
    <w:p w14:paraId="049B85B8" w14:textId="77777777" w:rsidR="00C12FF0" w:rsidRDefault="00C12FF0" w:rsidP="00C12FF0">
      <w:pPr>
        <w:rPr>
          <w:rFonts w:ascii="Arial" w:hAnsi="Arial" w:cs="Arial"/>
          <w:b/>
          <w:smallCaps/>
          <w:szCs w:val="24"/>
          <w:u w:val="single"/>
        </w:rPr>
      </w:pPr>
      <w:r>
        <w:rPr>
          <w:rFonts w:ascii="Arial" w:hAnsi="Arial" w:cs="Arial"/>
          <w:b/>
          <w:smallCaps/>
          <w:szCs w:val="24"/>
          <w:u w:val="single"/>
        </w:rPr>
        <w:t>COMMITTEE ACTION</w:t>
      </w:r>
    </w:p>
    <w:p w14:paraId="5D65A04F" w14:textId="77777777" w:rsidR="00C12FF0" w:rsidRDefault="00C12FF0" w:rsidP="00C12FF0">
      <w:pPr>
        <w:rPr>
          <w:rFonts w:ascii="Arial" w:hAnsi="Arial" w:cs="Arial"/>
          <w:b/>
          <w:smallCaps/>
          <w:szCs w:val="24"/>
          <w:u w:val="single"/>
        </w:rPr>
      </w:pPr>
    </w:p>
    <w:tbl>
      <w:tblPr>
        <w:tblStyle w:val="TableGrid"/>
        <w:tblW w:w="9427" w:type="dxa"/>
        <w:tblInd w:w="108" w:type="dxa"/>
        <w:tblLook w:val="04A0" w:firstRow="1" w:lastRow="0" w:firstColumn="1" w:lastColumn="0" w:noHBand="0" w:noVBand="1"/>
      </w:tblPr>
      <w:tblGrid>
        <w:gridCol w:w="9427"/>
      </w:tblGrid>
      <w:tr w:rsidR="00C12FF0" w14:paraId="1ECBCAED" w14:textId="77777777" w:rsidTr="00C12FF0">
        <w:tc>
          <w:tcPr>
            <w:tcW w:w="9427" w:type="dxa"/>
            <w:tcBorders>
              <w:top w:val="single" w:sz="4" w:space="0" w:color="auto"/>
              <w:left w:val="single" w:sz="4" w:space="0" w:color="auto"/>
              <w:bottom w:val="single" w:sz="4" w:space="0" w:color="auto"/>
              <w:right w:val="single" w:sz="4" w:space="0" w:color="auto"/>
            </w:tcBorders>
          </w:tcPr>
          <w:p w14:paraId="1EC3E6F2" w14:textId="77777777" w:rsidR="00C12FF0" w:rsidRDefault="00C12FF0">
            <w:pPr>
              <w:jc w:val="both"/>
              <w:rPr>
                <w:rFonts w:ascii="Arial" w:hAnsi="Arial" w:cs="Arial"/>
                <w:b/>
                <w:i/>
              </w:rPr>
            </w:pPr>
          </w:p>
          <w:p w14:paraId="38C23DB1" w14:textId="5C2420B9" w:rsidR="00A3335A" w:rsidRPr="00C375A8" w:rsidRDefault="00C12FF0">
            <w:pPr>
              <w:jc w:val="both"/>
              <w:rPr>
                <w:rFonts w:ascii="Arial" w:hAnsi="Arial" w:cs="Arial"/>
                <w:b/>
                <w:i/>
              </w:rPr>
            </w:pPr>
            <w:r w:rsidRPr="00C375A8">
              <w:rPr>
                <w:rFonts w:ascii="Arial" w:hAnsi="Arial" w:cs="Arial"/>
                <w:b/>
                <w:i/>
              </w:rPr>
              <w:t xml:space="preserve">Proposed Substitute Ordinance </w:t>
            </w:r>
            <w:r w:rsidR="00A3335A" w:rsidRPr="00C375A8">
              <w:rPr>
                <w:rFonts w:ascii="Arial" w:hAnsi="Arial" w:cs="Arial"/>
                <w:b/>
                <w:i/>
              </w:rPr>
              <w:t>2020-0104</w:t>
            </w:r>
            <w:r w:rsidR="00C375A8">
              <w:rPr>
                <w:rFonts w:ascii="Arial" w:hAnsi="Arial" w:cs="Arial"/>
                <w:b/>
                <w:i/>
              </w:rPr>
              <w:t xml:space="preserve">.2 </w:t>
            </w:r>
            <w:bookmarkStart w:id="0" w:name="_GoBack"/>
            <w:bookmarkEnd w:id="0"/>
            <w:r w:rsidRPr="00C375A8">
              <w:rPr>
                <w:rFonts w:ascii="Arial" w:hAnsi="Arial" w:cs="Arial"/>
                <w:b/>
                <w:i/>
              </w:rPr>
              <w:t xml:space="preserve">passed out of committee on </w:t>
            </w:r>
            <w:r w:rsidR="00A3335A" w:rsidRPr="00C375A8">
              <w:rPr>
                <w:rFonts w:ascii="Arial" w:hAnsi="Arial" w:cs="Arial"/>
                <w:b/>
                <w:i/>
              </w:rPr>
              <w:t>August 26, 2020</w:t>
            </w:r>
            <w:r w:rsidRPr="00C375A8">
              <w:rPr>
                <w:rFonts w:ascii="Arial" w:hAnsi="Arial" w:cs="Arial"/>
                <w:b/>
                <w:i/>
              </w:rPr>
              <w:t xml:space="preserve"> with a “Do Pass” recommendation. The Ordinance was amended in committee with </w:t>
            </w:r>
            <w:r w:rsidR="00A3335A" w:rsidRPr="00C375A8">
              <w:rPr>
                <w:rFonts w:ascii="Arial" w:hAnsi="Arial" w:cs="Arial"/>
                <w:b/>
                <w:i/>
              </w:rPr>
              <w:t xml:space="preserve">Striking </w:t>
            </w:r>
            <w:r w:rsidRPr="00C375A8">
              <w:rPr>
                <w:rFonts w:ascii="Arial" w:hAnsi="Arial" w:cs="Arial"/>
                <w:b/>
                <w:i/>
              </w:rPr>
              <w:t xml:space="preserve">Amendment </w:t>
            </w:r>
            <w:r w:rsidR="00A3335A" w:rsidRPr="00C375A8">
              <w:rPr>
                <w:rFonts w:ascii="Arial" w:hAnsi="Arial" w:cs="Arial"/>
                <w:b/>
                <w:i/>
              </w:rPr>
              <w:t>S1 and Title Amendment T1</w:t>
            </w:r>
            <w:r w:rsidRPr="00C375A8">
              <w:rPr>
                <w:rFonts w:ascii="Arial" w:hAnsi="Arial" w:cs="Arial"/>
                <w:b/>
                <w:i/>
              </w:rPr>
              <w:t xml:space="preserve"> to </w:t>
            </w:r>
            <w:r w:rsidR="00A3335A" w:rsidRPr="00C375A8">
              <w:rPr>
                <w:rFonts w:ascii="Arial" w:hAnsi="Arial" w:cs="Arial"/>
                <w:b/>
                <w:i/>
              </w:rPr>
              <w:t>do the following:</w:t>
            </w:r>
          </w:p>
          <w:p w14:paraId="0BE1CDD2" w14:textId="4A730708" w:rsidR="00A3335A" w:rsidRPr="00C375A8" w:rsidRDefault="00A3335A" w:rsidP="00A3335A">
            <w:pPr>
              <w:pStyle w:val="ListParagraph0"/>
              <w:numPr>
                <w:ilvl w:val="0"/>
                <w:numId w:val="47"/>
              </w:numPr>
              <w:jc w:val="both"/>
              <w:rPr>
                <w:rFonts w:ascii="Arial" w:hAnsi="Arial" w:cs="Arial"/>
                <w:b/>
                <w:i/>
              </w:rPr>
            </w:pPr>
            <w:r w:rsidRPr="00C375A8">
              <w:rPr>
                <w:rFonts w:ascii="Arial" w:hAnsi="Arial" w:cs="Arial"/>
                <w:b/>
                <w:i/>
              </w:rPr>
              <w:t>Reduce</w:t>
            </w:r>
            <w:r w:rsidRPr="00C375A8">
              <w:rPr>
                <w:rFonts w:ascii="Arial" w:hAnsi="Arial" w:cs="Arial"/>
                <w:b/>
                <w:i/>
              </w:rPr>
              <w:t xml:space="preserve"> the total bond authorization from $395 million to $150 million; </w:t>
            </w:r>
          </w:p>
          <w:p w14:paraId="7311142D" w14:textId="77777777" w:rsidR="00C375A8" w:rsidRPr="00C375A8" w:rsidRDefault="00A3335A" w:rsidP="00C375A8">
            <w:pPr>
              <w:pStyle w:val="ListParagraph0"/>
              <w:numPr>
                <w:ilvl w:val="0"/>
                <w:numId w:val="47"/>
              </w:numPr>
              <w:jc w:val="both"/>
              <w:rPr>
                <w:rFonts w:ascii="Arial" w:hAnsi="Arial" w:cs="Arial"/>
                <w:b/>
                <w:i/>
              </w:rPr>
            </w:pPr>
            <w:r w:rsidRPr="00C375A8">
              <w:rPr>
                <w:rFonts w:ascii="Arial" w:hAnsi="Arial" w:cs="Arial"/>
                <w:b/>
                <w:i/>
              </w:rPr>
              <w:t>Remove</w:t>
            </w:r>
            <w:r w:rsidRPr="00C375A8">
              <w:rPr>
                <w:rFonts w:ascii="Arial" w:hAnsi="Arial" w:cs="Arial"/>
                <w:b/>
                <w:i/>
              </w:rPr>
              <w:t xml:space="preserve"> the </w:t>
            </w:r>
            <w:proofErr w:type="spellStart"/>
            <w:r w:rsidRPr="00C375A8">
              <w:rPr>
                <w:rFonts w:ascii="Arial" w:hAnsi="Arial" w:cs="Arial"/>
                <w:b/>
                <w:i/>
              </w:rPr>
              <w:t>Yesler</w:t>
            </w:r>
            <w:proofErr w:type="spellEnd"/>
            <w:r w:rsidRPr="00C375A8">
              <w:rPr>
                <w:rFonts w:ascii="Arial" w:hAnsi="Arial" w:cs="Arial"/>
                <w:b/>
                <w:i/>
              </w:rPr>
              <w:t xml:space="preserve"> Building Tenant Improvement Project from the list of projects authoriz</w:t>
            </w:r>
            <w:r w:rsidR="00C375A8" w:rsidRPr="00C375A8">
              <w:rPr>
                <w:rFonts w:ascii="Arial" w:hAnsi="Arial" w:cs="Arial"/>
                <w:b/>
                <w:i/>
              </w:rPr>
              <w:t>ed to receive bond proceeds; and</w:t>
            </w:r>
          </w:p>
          <w:p w14:paraId="5C7F8923" w14:textId="713FF091" w:rsidR="00C12FF0" w:rsidRPr="00C375A8" w:rsidRDefault="00A3335A" w:rsidP="00C375A8">
            <w:pPr>
              <w:pStyle w:val="ListParagraph0"/>
              <w:numPr>
                <w:ilvl w:val="0"/>
                <w:numId w:val="47"/>
              </w:numPr>
              <w:jc w:val="both"/>
              <w:rPr>
                <w:rFonts w:ascii="Arial" w:hAnsi="Arial" w:cs="Arial"/>
                <w:b/>
                <w:i/>
              </w:rPr>
            </w:pPr>
            <w:r w:rsidRPr="00C375A8">
              <w:rPr>
                <w:rFonts w:ascii="Arial" w:hAnsi="Arial" w:cs="Arial"/>
                <w:b/>
                <w:i/>
              </w:rPr>
              <w:t>Add language which would allow the Executive to issue Tax-Exempt Bonds as tax-advantaged bonds eligible for federal tax credits, a federal interest subsidy, or other subsidies.</w:t>
            </w:r>
          </w:p>
          <w:p w14:paraId="23BCD889" w14:textId="77777777" w:rsidR="00C12FF0" w:rsidRDefault="00C12FF0">
            <w:pPr>
              <w:jc w:val="both"/>
              <w:rPr>
                <w:rFonts w:ascii="Arial" w:hAnsi="Arial" w:cs="Arial"/>
                <w:b/>
                <w:i/>
              </w:rPr>
            </w:pPr>
          </w:p>
        </w:tc>
      </w:tr>
    </w:tbl>
    <w:p w14:paraId="34D73CF6" w14:textId="77777777" w:rsidR="00C12FF0" w:rsidRDefault="00C12FF0" w:rsidP="00E13E5D">
      <w:pPr>
        <w:spacing w:line="252" w:lineRule="auto"/>
        <w:jc w:val="both"/>
        <w:rPr>
          <w:rFonts w:ascii="Arial" w:hAnsi="Arial" w:cs="Arial"/>
          <w:b/>
          <w:u w:val="single"/>
        </w:rPr>
      </w:pPr>
    </w:p>
    <w:p w14:paraId="31FDCC9D" w14:textId="7F568272" w:rsidR="00785660" w:rsidRPr="009349D6" w:rsidRDefault="00785660" w:rsidP="00E13E5D">
      <w:pPr>
        <w:spacing w:line="252" w:lineRule="auto"/>
        <w:jc w:val="both"/>
        <w:rPr>
          <w:rFonts w:ascii="Arial" w:hAnsi="Arial" w:cs="Arial"/>
          <w:b/>
          <w:u w:val="single"/>
        </w:rPr>
      </w:pPr>
      <w:r w:rsidRPr="009349D6">
        <w:rPr>
          <w:rFonts w:ascii="Arial" w:hAnsi="Arial" w:cs="Arial"/>
          <w:b/>
          <w:u w:val="single"/>
        </w:rPr>
        <w:t>SUBJECT</w:t>
      </w:r>
    </w:p>
    <w:p w14:paraId="709F5EE6" w14:textId="77777777" w:rsidR="00785660" w:rsidRDefault="00785660" w:rsidP="00E13E5D">
      <w:pPr>
        <w:spacing w:line="252" w:lineRule="auto"/>
        <w:jc w:val="both"/>
        <w:rPr>
          <w:rFonts w:ascii="Arial" w:hAnsi="Arial" w:cs="Arial"/>
        </w:rPr>
      </w:pPr>
    </w:p>
    <w:p w14:paraId="2D08A2C7" w14:textId="77777777" w:rsidR="00785660" w:rsidRPr="00C75025" w:rsidRDefault="00530E48" w:rsidP="00E13E5D">
      <w:pPr>
        <w:spacing w:line="252" w:lineRule="auto"/>
        <w:jc w:val="both"/>
        <w:rPr>
          <w:rFonts w:ascii="Arial" w:hAnsi="Arial" w:cs="Arial"/>
          <w:b/>
          <w:u w:val="single"/>
        </w:rPr>
      </w:pPr>
      <w:r>
        <w:rPr>
          <w:rFonts w:ascii="Arial" w:hAnsi="Arial" w:cs="Arial"/>
        </w:rPr>
        <w:t>Proposed Ordinance 20</w:t>
      </w:r>
      <w:r w:rsidR="00B54574">
        <w:rPr>
          <w:rFonts w:ascii="Arial" w:hAnsi="Arial" w:cs="Arial"/>
        </w:rPr>
        <w:t>20</w:t>
      </w:r>
      <w:r>
        <w:rPr>
          <w:rFonts w:ascii="Arial" w:hAnsi="Arial" w:cs="Arial"/>
        </w:rPr>
        <w:t>-0</w:t>
      </w:r>
      <w:r w:rsidR="00B54574">
        <w:rPr>
          <w:rFonts w:ascii="Arial" w:hAnsi="Arial" w:cs="Arial"/>
        </w:rPr>
        <w:t>104</w:t>
      </w:r>
      <w:r>
        <w:rPr>
          <w:rFonts w:ascii="Arial" w:hAnsi="Arial" w:cs="Arial"/>
        </w:rPr>
        <w:t xml:space="preserve"> would authorize t</w:t>
      </w:r>
      <w:r w:rsidR="00AD158D">
        <w:rPr>
          <w:rFonts w:ascii="Arial" w:hAnsi="Arial" w:cs="Arial"/>
        </w:rPr>
        <w:t>he Executive to issue up to $</w:t>
      </w:r>
      <w:r w:rsidR="00E52888">
        <w:rPr>
          <w:rFonts w:ascii="Arial" w:hAnsi="Arial" w:cs="Arial"/>
        </w:rPr>
        <w:t>395</w:t>
      </w:r>
      <w:r>
        <w:rPr>
          <w:rFonts w:ascii="Arial" w:hAnsi="Arial" w:cs="Arial"/>
        </w:rPr>
        <w:t xml:space="preserve"> million in limited tax general obligation (LTGO) bonds to provide financin</w:t>
      </w:r>
      <w:r w:rsidR="00AD158D">
        <w:rPr>
          <w:rFonts w:ascii="Arial" w:hAnsi="Arial" w:cs="Arial"/>
        </w:rPr>
        <w:t>g for approximately $3</w:t>
      </w:r>
      <w:r w:rsidR="00E52888">
        <w:rPr>
          <w:rFonts w:ascii="Arial" w:hAnsi="Arial" w:cs="Arial"/>
        </w:rPr>
        <w:t>8</w:t>
      </w:r>
      <w:r w:rsidR="00AD158D">
        <w:rPr>
          <w:rFonts w:ascii="Arial" w:hAnsi="Arial" w:cs="Arial"/>
        </w:rPr>
        <w:t>0 million of</w:t>
      </w:r>
      <w:r>
        <w:rPr>
          <w:rFonts w:ascii="Arial" w:hAnsi="Arial" w:cs="Arial"/>
        </w:rPr>
        <w:t xml:space="preserve"> County capital p</w:t>
      </w:r>
      <w:r w:rsidR="004250C6">
        <w:rPr>
          <w:rFonts w:ascii="Arial" w:hAnsi="Arial" w:cs="Arial"/>
        </w:rPr>
        <w:t>rojects with</w:t>
      </w:r>
      <w:r w:rsidR="00B54574">
        <w:rPr>
          <w:rFonts w:ascii="Arial" w:hAnsi="Arial" w:cs="Arial"/>
        </w:rPr>
        <w:t xml:space="preserve"> an allowance of </w:t>
      </w:r>
      <w:r w:rsidR="00AD158D">
        <w:rPr>
          <w:rFonts w:ascii="Arial" w:hAnsi="Arial" w:cs="Arial"/>
        </w:rPr>
        <w:t>approximately $15</w:t>
      </w:r>
      <w:r>
        <w:rPr>
          <w:rFonts w:ascii="Arial" w:hAnsi="Arial" w:cs="Arial"/>
        </w:rPr>
        <w:t xml:space="preserve"> million to cover potential financing considerations</w:t>
      </w:r>
      <w:r w:rsidR="00500497">
        <w:rPr>
          <w:rFonts w:ascii="Arial" w:hAnsi="Arial" w:cs="Arial"/>
        </w:rPr>
        <w:t xml:space="preserve"> for those projects</w:t>
      </w:r>
      <w:r>
        <w:rPr>
          <w:rFonts w:ascii="Arial" w:hAnsi="Arial" w:cs="Arial"/>
        </w:rPr>
        <w:t xml:space="preserve">. </w:t>
      </w:r>
    </w:p>
    <w:p w14:paraId="3F5984A2" w14:textId="77777777" w:rsidR="00785660" w:rsidRDefault="00785660" w:rsidP="00236D2E">
      <w:pPr>
        <w:spacing w:line="264" w:lineRule="auto"/>
        <w:jc w:val="both"/>
        <w:rPr>
          <w:rFonts w:ascii="Arial" w:hAnsi="Arial" w:cs="Arial"/>
          <w:b/>
          <w:smallCaps/>
          <w:szCs w:val="24"/>
          <w:u w:val="single"/>
        </w:rPr>
      </w:pPr>
    </w:p>
    <w:p w14:paraId="68421A9C" w14:textId="77777777" w:rsidR="00785660" w:rsidRDefault="00785660" w:rsidP="00E13E5D">
      <w:pPr>
        <w:spacing w:line="252" w:lineRule="auto"/>
        <w:jc w:val="both"/>
        <w:rPr>
          <w:rFonts w:ascii="Arial" w:hAnsi="Arial" w:cs="Arial"/>
          <w:b/>
          <w:smallCaps/>
          <w:szCs w:val="24"/>
          <w:u w:val="single"/>
        </w:rPr>
      </w:pPr>
      <w:r w:rsidRPr="009864F8">
        <w:rPr>
          <w:rFonts w:ascii="Arial" w:hAnsi="Arial" w:cs="Arial"/>
          <w:b/>
          <w:smallCaps/>
          <w:szCs w:val="24"/>
          <w:u w:val="single"/>
        </w:rPr>
        <w:t>SUMMARY</w:t>
      </w:r>
    </w:p>
    <w:p w14:paraId="4B03B1C1" w14:textId="77777777" w:rsidR="00C75025" w:rsidRDefault="00C75025" w:rsidP="00E13E5D">
      <w:pPr>
        <w:spacing w:line="252" w:lineRule="auto"/>
        <w:jc w:val="both"/>
        <w:rPr>
          <w:rFonts w:ascii="Arial" w:hAnsi="Arial" w:cs="Arial"/>
          <w:szCs w:val="24"/>
        </w:rPr>
      </w:pPr>
    </w:p>
    <w:p w14:paraId="132CF9BE" w14:textId="59ACDD0B" w:rsidR="001609AD" w:rsidRPr="00CF4E05" w:rsidRDefault="006168B9" w:rsidP="00E13E5D">
      <w:pPr>
        <w:spacing w:line="252" w:lineRule="auto"/>
        <w:jc w:val="both"/>
        <w:rPr>
          <w:rFonts w:ascii="Arial" w:hAnsi="Arial" w:cs="Arial"/>
          <w:szCs w:val="24"/>
        </w:rPr>
      </w:pPr>
      <w:r>
        <w:rPr>
          <w:rFonts w:ascii="Arial" w:hAnsi="Arial" w:cs="Arial"/>
          <w:szCs w:val="24"/>
        </w:rPr>
        <w:t>The proposed ordinance would authorize the Executive to issue up to $395 million in</w:t>
      </w:r>
      <w:r w:rsidR="00500497" w:rsidRPr="00500497">
        <w:rPr>
          <w:rFonts w:ascii="Arial" w:hAnsi="Arial" w:cs="Arial"/>
          <w:szCs w:val="24"/>
        </w:rPr>
        <w:t xml:space="preserve"> LTGO bonds to fund long-term capital projects.</w:t>
      </w:r>
      <w:r w:rsidR="00B54574">
        <w:rPr>
          <w:rFonts w:ascii="Arial" w:hAnsi="Arial" w:cs="Arial"/>
          <w:szCs w:val="24"/>
        </w:rPr>
        <w:t xml:space="preserve"> </w:t>
      </w:r>
      <w:r w:rsidR="000761A6">
        <w:rPr>
          <w:rFonts w:ascii="Arial" w:hAnsi="Arial" w:cs="Arial"/>
          <w:szCs w:val="24"/>
        </w:rPr>
        <w:t xml:space="preserve">The majority of the projects covered under the proposed authorization were previously approved by the Council through various </w:t>
      </w:r>
      <w:r w:rsidR="00DE7E21">
        <w:rPr>
          <w:rFonts w:ascii="Arial" w:hAnsi="Arial" w:cs="Arial"/>
          <w:szCs w:val="24"/>
        </w:rPr>
        <w:t xml:space="preserve">appropriations </w:t>
      </w:r>
      <w:r w:rsidR="000761A6">
        <w:rPr>
          <w:rFonts w:ascii="Arial" w:hAnsi="Arial" w:cs="Arial"/>
          <w:szCs w:val="24"/>
        </w:rPr>
        <w:t>ordinances</w:t>
      </w:r>
      <w:r>
        <w:rPr>
          <w:rFonts w:ascii="Arial" w:hAnsi="Arial" w:cs="Arial"/>
          <w:szCs w:val="24"/>
        </w:rPr>
        <w:t>.</w:t>
      </w:r>
      <w:r w:rsidR="000761A6">
        <w:rPr>
          <w:rFonts w:ascii="Arial" w:hAnsi="Arial" w:cs="Arial"/>
          <w:szCs w:val="24"/>
        </w:rPr>
        <w:t xml:space="preserve"> </w:t>
      </w:r>
      <w:r w:rsidR="00A176D5">
        <w:rPr>
          <w:rFonts w:ascii="Arial" w:hAnsi="Arial" w:cs="Arial"/>
          <w:szCs w:val="24"/>
        </w:rPr>
        <w:t>A p</w:t>
      </w:r>
      <w:r w:rsidR="00EA2100">
        <w:rPr>
          <w:rFonts w:ascii="Arial" w:hAnsi="Arial" w:cs="Arial"/>
          <w:szCs w:val="24"/>
        </w:rPr>
        <w:t xml:space="preserve">roject included in this authorization which </w:t>
      </w:r>
      <w:r w:rsidR="008147AD">
        <w:rPr>
          <w:rFonts w:ascii="Arial" w:hAnsi="Arial" w:cs="Arial"/>
          <w:szCs w:val="24"/>
        </w:rPr>
        <w:t>have not already been</w:t>
      </w:r>
      <w:r w:rsidR="00EA2100">
        <w:rPr>
          <w:rFonts w:ascii="Arial" w:hAnsi="Arial" w:cs="Arial"/>
          <w:szCs w:val="24"/>
        </w:rPr>
        <w:t xml:space="preserve"> approved by the Council </w:t>
      </w:r>
      <w:r w:rsidR="006D6D9E">
        <w:rPr>
          <w:rFonts w:ascii="Arial" w:hAnsi="Arial" w:cs="Arial"/>
          <w:szCs w:val="24"/>
        </w:rPr>
        <w:t>include</w:t>
      </w:r>
      <w:r w:rsidR="00EA2100">
        <w:rPr>
          <w:rFonts w:ascii="Arial" w:hAnsi="Arial" w:cs="Arial"/>
          <w:szCs w:val="24"/>
        </w:rPr>
        <w:t xml:space="preserve"> the Forge Site acquisition.</w:t>
      </w:r>
      <w:r w:rsidR="000761A6">
        <w:rPr>
          <w:rFonts w:ascii="Arial" w:hAnsi="Arial" w:cs="Arial"/>
          <w:szCs w:val="24"/>
        </w:rPr>
        <w:t xml:space="preserve"> </w:t>
      </w:r>
      <w:r w:rsidR="005E2D23">
        <w:rPr>
          <w:rFonts w:ascii="Arial" w:hAnsi="Arial" w:cs="Arial"/>
          <w:szCs w:val="24"/>
        </w:rPr>
        <w:t>The Forge Site a</w:t>
      </w:r>
      <w:r w:rsidR="00EA2100" w:rsidRPr="006C4BE6">
        <w:rPr>
          <w:rFonts w:ascii="Arial" w:hAnsi="Arial" w:cs="Arial"/>
          <w:szCs w:val="24"/>
        </w:rPr>
        <w:t>cquisition</w:t>
      </w:r>
      <w:r w:rsidR="00EA2100">
        <w:rPr>
          <w:rStyle w:val="FootnoteReference"/>
          <w:rFonts w:ascii="Arial" w:hAnsi="Arial" w:cs="Arial"/>
          <w:szCs w:val="24"/>
        </w:rPr>
        <w:footnoteReference w:id="1"/>
      </w:r>
      <w:r w:rsidR="00EA2100" w:rsidRPr="006C4BE6">
        <w:rPr>
          <w:rFonts w:ascii="Arial" w:hAnsi="Arial" w:cs="Arial"/>
          <w:szCs w:val="24"/>
        </w:rPr>
        <w:t xml:space="preserve"> was transmitted to Council in December </w:t>
      </w:r>
      <w:r w:rsidR="008147AD">
        <w:rPr>
          <w:rFonts w:ascii="Arial" w:hAnsi="Arial" w:cs="Arial"/>
          <w:szCs w:val="24"/>
        </w:rPr>
        <w:t xml:space="preserve">and heard in the Budget and Fiscal Management committee on </w:t>
      </w:r>
      <w:r w:rsidR="00CF4E05">
        <w:rPr>
          <w:rFonts w:ascii="Arial" w:hAnsi="Arial" w:cs="Arial"/>
          <w:szCs w:val="24"/>
        </w:rPr>
        <w:t>February 26</w:t>
      </w:r>
      <w:r w:rsidR="00A176D5">
        <w:rPr>
          <w:rFonts w:ascii="Arial" w:hAnsi="Arial" w:cs="Arial"/>
          <w:szCs w:val="24"/>
        </w:rPr>
        <w:t>,</w:t>
      </w:r>
      <w:r w:rsidR="00CF4E05">
        <w:rPr>
          <w:rFonts w:ascii="Arial" w:hAnsi="Arial" w:cs="Arial"/>
          <w:szCs w:val="24"/>
        </w:rPr>
        <w:t xml:space="preserve"> 2020</w:t>
      </w:r>
      <w:r w:rsidR="00EA2100">
        <w:rPr>
          <w:rFonts w:ascii="Arial" w:hAnsi="Arial" w:cs="Arial"/>
          <w:sz w:val="20"/>
        </w:rPr>
        <w:t xml:space="preserve">. </w:t>
      </w:r>
      <w:r>
        <w:rPr>
          <w:rFonts w:ascii="Arial" w:hAnsi="Arial" w:cs="Arial"/>
          <w:szCs w:val="24"/>
        </w:rPr>
        <w:t>According to the</w:t>
      </w:r>
      <w:r w:rsidR="00EA2100">
        <w:rPr>
          <w:rFonts w:ascii="Arial" w:hAnsi="Arial" w:cs="Arial"/>
          <w:szCs w:val="24"/>
        </w:rPr>
        <w:t xml:space="preserve"> Executive</w:t>
      </w:r>
      <w:r>
        <w:rPr>
          <w:rFonts w:ascii="Arial" w:hAnsi="Arial" w:cs="Arial"/>
          <w:szCs w:val="24"/>
        </w:rPr>
        <w:t>,</w:t>
      </w:r>
      <w:r w:rsidR="00EA2100" w:rsidRPr="0071552E">
        <w:rPr>
          <w:rFonts w:ascii="Arial" w:hAnsi="Arial" w:cs="Arial"/>
          <w:szCs w:val="24"/>
        </w:rPr>
        <w:t xml:space="preserve"> </w:t>
      </w:r>
      <w:r w:rsidR="00EA2100">
        <w:rPr>
          <w:rFonts w:ascii="Arial" w:hAnsi="Arial" w:cs="Arial"/>
          <w:szCs w:val="24"/>
        </w:rPr>
        <w:t>no</w:t>
      </w:r>
      <w:r w:rsidR="00EA2100" w:rsidRPr="0071552E">
        <w:rPr>
          <w:rFonts w:ascii="Arial" w:hAnsi="Arial" w:cs="Arial"/>
          <w:szCs w:val="24"/>
        </w:rPr>
        <w:t xml:space="preserve"> </w:t>
      </w:r>
      <w:r w:rsidR="00EA2100" w:rsidRPr="0071552E">
        <w:rPr>
          <w:rFonts w:ascii="Arial" w:hAnsi="Arial" w:cs="Arial"/>
          <w:szCs w:val="24"/>
        </w:rPr>
        <w:lastRenderedPageBreak/>
        <w:t>bonds</w:t>
      </w:r>
      <w:r>
        <w:rPr>
          <w:rFonts w:ascii="Arial" w:hAnsi="Arial" w:cs="Arial"/>
          <w:szCs w:val="24"/>
        </w:rPr>
        <w:t xml:space="preserve"> will</w:t>
      </w:r>
      <w:r w:rsidR="00EA2100">
        <w:rPr>
          <w:rFonts w:ascii="Arial" w:hAnsi="Arial" w:cs="Arial"/>
          <w:szCs w:val="24"/>
        </w:rPr>
        <w:t xml:space="preserve"> be issued</w:t>
      </w:r>
      <w:r w:rsidR="00EA2100" w:rsidRPr="0071552E">
        <w:rPr>
          <w:rFonts w:ascii="Arial" w:hAnsi="Arial" w:cs="Arial"/>
          <w:szCs w:val="24"/>
        </w:rPr>
        <w:t xml:space="preserve"> for </w:t>
      </w:r>
      <w:r w:rsidR="00A176D5">
        <w:rPr>
          <w:rFonts w:ascii="Arial" w:hAnsi="Arial" w:cs="Arial"/>
          <w:szCs w:val="24"/>
        </w:rPr>
        <w:t xml:space="preserve">this </w:t>
      </w:r>
      <w:r w:rsidR="00EA2100">
        <w:rPr>
          <w:rFonts w:ascii="Arial" w:hAnsi="Arial" w:cs="Arial"/>
          <w:szCs w:val="24"/>
        </w:rPr>
        <w:t>project</w:t>
      </w:r>
      <w:r w:rsidR="00EA2100" w:rsidRPr="0071552E">
        <w:rPr>
          <w:rFonts w:ascii="Arial" w:hAnsi="Arial" w:cs="Arial"/>
          <w:szCs w:val="24"/>
        </w:rPr>
        <w:t xml:space="preserve"> until the Council approves </w:t>
      </w:r>
      <w:r w:rsidR="00EA2100">
        <w:rPr>
          <w:rFonts w:ascii="Arial" w:hAnsi="Arial" w:cs="Arial"/>
          <w:szCs w:val="24"/>
        </w:rPr>
        <w:t>the corresponding legislation</w:t>
      </w:r>
      <w:r w:rsidR="005E2D23">
        <w:rPr>
          <w:rFonts w:ascii="Arial" w:hAnsi="Arial" w:cs="Arial"/>
          <w:szCs w:val="24"/>
        </w:rPr>
        <w:t>.</w:t>
      </w:r>
    </w:p>
    <w:p w14:paraId="49FB34F5" w14:textId="77777777" w:rsidR="00CF4E05" w:rsidRDefault="00CF4E05" w:rsidP="00E13E5D">
      <w:pPr>
        <w:spacing w:line="252" w:lineRule="auto"/>
        <w:jc w:val="both"/>
        <w:rPr>
          <w:rFonts w:ascii="Arial" w:hAnsi="Arial" w:cs="Arial"/>
          <w:szCs w:val="24"/>
        </w:rPr>
      </w:pPr>
    </w:p>
    <w:p w14:paraId="452B7FA2" w14:textId="2501DE3D" w:rsidR="008147AD" w:rsidRPr="008147AD" w:rsidRDefault="006F2B38" w:rsidP="00E13E5D">
      <w:pPr>
        <w:spacing w:line="252" w:lineRule="auto"/>
        <w:jc w:val="both"/>
        <w:rPr>
          <w:rFonts w:ascii="Arial" w:hAnsi="Arial" w:cs="Arial"/>
          <w:szCs w:val="24"/>
        </w:rPr>
      </w:pPr>
      <w:r>
        <w:rPr>
          <w:rFonts w:ascii="Arial" w:hAnsi="Arial" w:cs="Arial"/>
          <w:szCs w:val="24"/>
        </w:rPr>
        <w:t xml:space="preserve">Due to </w:t>
      </w:r>
      <w:r w:rsidR="005120D8">
        <w:rPr>
          <w:rFonts w:ascii="Arial" w:hAnsi="Arial" w:cs="Arial"/>
          <w:szCs w:val="24"/>
        </w:rPr>
        <w:t xml:space="preserve">budget shortfalls and </w:t>
      </w:r>
      <w:r w:rsidR="005120D8" w:rsidRPr="005120D8">
        <w:rPr>
          <w:rFonts w:ascii="Arial" w:hAnsi="Arial" w:cs="Arial"/>
          <w:szCs w:val="24"/>
        </w:rPr>
        <w:t xml:space="preserve">increased and likely long term reliance on telecommuting </w:t>
      </w:r>
      <w:r w:rsidR="005120D8">
        <w:rPr>
          <w:rFonts w:ascii="Arial" w:hAnsi="Arial" w:cs="Arial"/>
          <w:szCs w:val="24"/>
        </w:rPr>
        <w:t xml:space="preserve">due to </w:t>
      </w:r>
      <w:r>
        <w:rPr>
          <w:rFonts w:ascii="Arial" w:hAnsi="Arial" w:cs="Arial"/>
          <w:szCs w:val="24"/>
        </w:rPr>
        <w:t>the</w:t>
      </w:r>
      <w:r w:rsidR="00A176D5">
        <w:rPr>
          <w:rFonts w:ascii="Arial" w:hAnsi="Arial" w:cs="Arial"/>
          <w:szCs w:val="24"/>
        </w:rPr>
        <w:t xml:space="preserve"> COVID-19 pandemic,</w:t>
      </w:r>
      <w:r w:rsidR="005120D8">
        <w:rPr>
          <w:rFonts w:ascii="Arial" w:hAnsi="Arial" w:cs="Arial"/>
          <w:szCs w:val="24"/>
        </w:rPr>
        <w:t xml:space="preserve"> </w:t>
      </w:r>
      <w:r w:rsidR="00A176D5">
        <w:rPr>
          <w:rFonts w:ascii="Arial" w:hAnsi="Arial" w:cs="Arial"/>
          <w:szCs w:val="24"/>
        </w:rPr>
        <w:t xml:space="preserve">the Executive has </w:t>
      </w:r>
      <w:r w:rsidR="005120D8">
        <w:rPr>
          <w:rFonts w:ascii="Arial" w:hAnsi="Arial" w:cs="Arial"/>
          <w:szCs w:val="24"/>
        </w:rPr>
        <w:t>provided</w:t>
      </w:r>
      <w:r w:rsidR="00A176D5">
        <w:rPr>
          <w:rFonts w:ascii="Arial" w:hAnsi="Arial" w:cs="Arial"/>
          <w:szCs w:val="24"/>
        </w:rPr>
        <w:t xml:space="preserve"> a striking amendment to council staff</w:t>
      </w:r>
      <w:r w:rsidR="005120D8">
        <w:rPr>
          <w:rFonts w:ascii="Arial" w:hAnsi="Arial" w:cs="Arial"/>
          <w:szCs w:val="24"/>
        </w:rPr>
        <w:t xml:space="preserve"> modifying the project list</w:t>
      </w:r>
      <w:r w:rsidR="00A176D5">
        <w:rPr>
          <w:rFonts w:ascii="Arial" w:hAnsi="Arial" w:cs="Arial"/>
          <w:szCs w:val="24"/>
        </w:rPr>
        <w:t xml:space="preserve">. </w:t>
      </w:r>
      <w:r w:rsidR="00BB6F7D">
        <w:rPr>
          <w:rFonts w:ascii="Arial" w:hAnsi="Arial" w:cs="Arial"/>
          <w:szCs w:val="24"/>
        </w:rPr>
        <w:t xml:space="preserve">Striking </w:t>
      </w:r>
      <w:r w:rsidR="00363380" w:rsidRPr="00363380">
        <w:rPr>
          <w:rFonts w:ascii="Arial" w:hAnsi="Arial" w:cs="Arial"/>
          <w:szCs w:val="24"/>
        </w:rPr>
        <w:t xml:space="preserve">Amendment </w:t>
      </w:r>
      <w:r w:rsidR="008147AD">
        <w:rPr>
          <w:rFonts w:ascii="Arial" w:hAnsi="Arial" w:cs="Arial"/>
          <w:szCs w:val="24"/>
        </w:rPr>
        <w:t>S</w:t>
      </w:r>
      <w:r w:rsidR="00363380" w:rsidRPr="00363380">
        <w:rPr>
          <w:rFonts w:ascii="Arial" w:hAnsi="Arial" w:cs="Arial"/>
          <w:szCs w:val="24"/>
        </w:rPr>
        <w:t xml:space="preserve">1 </w:t>
      </w:r>
      <w:r w:rsidR="008147AD" w:rsidRPr="008147AD">
        <w:rPr>
          <w:rFonts w:ascii="Arial" w:hAnsi="Arial" w:cs="Arial"/>
          <w:szCs w:val="24"/>
        </w:rPr>
        <w:t xml:space="preserve">would make substantive changes to the proposed ordinance including: </w:t>
      </w:r>
    </w:p>
    <w:p w14:paraId="1FA28183" w14:textId="093B3C38" w:rsidR="00BB6F7D" w:rsidRDefault="00BB6F7D" w:rsidP="00E13E5D">
      <w:pPr>
        <w:numPr>
          <w:ilvl w:val="0"/>
          <w:numId w:val="45"/>
        </w:numPr>
        <w:spacing w:line="252" w:lineRule="auto"/>
        <w:jc w:val="both"/>
        <w:rPr>
          <w:rFonts w:ascii="Arial" w:hAnsi="Arial" w:cs="Arial"/>
          <w:szCs w:val="24"/>
        </w:rPr>
      </w:pPr>
      <w:r>
        <w:rPr>
          <w:rFonts w:ascii="Arial" w:hAnsi="Arial" w:cs="Arial"/>
          <w:szCs w:val="24"/>
        </w:rPr>
        <w:t>Reducing</w:t>
      </w:r>
      <w:r w:rsidRPr="008147AD">
        <w:rPr>
          <w:rFonts w:ascii="Arial" w:hAnsi="Arial" w:cs="Arial"/>
          <w:szCs w:val="24"/>
        </w:rPr>
        <w:t xml:space="preserve"> the total bond authorization from $395 million to $150 million</w:t>
      </w:r>
      <w:r>
        <w:rPr>
          <w:rFonts w:ascii="Arial" w:hAnsi="Arial" w:cs="Arial"/>
          <w:szCs w:val="24"/>
        </w:rPr>
        <w:t>;</w:t>
      </w:r>
      <w:r w:rsidRPr="008147AD">
        <w:rPr>
          <w:rFonts w:ascii="Arial" w:hAnsi="Arial" w:cs="Arial"/>
          <w:szCs w:val="24"/>
        </w:rPr>
        <w:t xml:space="preserve"> </w:t>
      </w:r>
    </w:p>
    <w:p w14:paraId="30CC4185" w14:textId="70136200" w:rsidR="008147AD" w:rsidRPr="008147AD" w:rsidRDefault="008147AD" w:rsidP="00E13E5D">
      <w:pPr>
        <w:numPr>
          <w:ilvl w:val="0"/>
          <w:numId w:val="45"/>
        </w:numPr>
        <w:spacing w:line="252" w:lineRule="auto"/>
        <w:jc w:val="both"/>
        <w:rPr>
          <w:rFonts w:ascii="Arial" w:hAnsi="Arial" w:cs="Arial"/>
          <w:szCs w:val="24"/>
        </w:rPr>
      </w:pPr>
      <w:r w:rsidRPr="008147AD">
        <w:rPr>
          <w:rFonts w:ascii="Arial" w:hAnsi="Arial" w:cs="Arial"/>
          <w:szCs w:val="24"/>
        </w:rPr>
        <w:t>Removing</w:t>
      </w:r>
      <w:r w:rsidR="00284A98" w:rsidRPr="008147AD">
        <w:rPr>
          <w:rFonts w:ascii="Arial" w:hAnsi="Arial" w:cs="Arial"/>
          <w:szCs w:val="24"/>
        </w:rPr>
        <w:t xml:space="preserve"> the Yesler Building Tenant Improvement</w:t>
      </w:r>
      <w:r w:rsidR="00BB6F7D">
        <w:rPr>
          <w:rFonts w:ascii="Arial" w:hAnsi="Arial" w:cs="Arial"/>
          <w:szCs w:val="24"/>
        </w:rPr>
        <w:t>s</w:t>
      </w:r>
      <w:r w:rsidR="00284A98" w:rsidRPr="008147AD">
        <w:rPr>
          <w:rFonts w:ascii="Arial" w:hAnsi="Arial" w:cs="Arial"/>
          <w:szCs w:val="24"/>
        </w:rPr>
        <w:t xml:space="preserve"> Project from the list of projects authorized to receive bond proceeds</w:t>
      </w:r>
      <w:r w:rsidRPr="008147AD">
        <w:rPr>
          <w:rFonts w:ascii="Arial" w:hAnsi="Arial" w:cs="Arial"/>
          <w:szCs w:val="24"/>
        </w:rPr>
        <w:t>;</w:t>
      </w:r>
      <w:r w:rsidR="00BB6F7D">
        <w:rPr>
          <w:rFonts w:ascii="Arial" w:hAnsi="Arial" w:cs="Arial"/>
          <w:szCs w:val="24"/>
        </w:rPr>
        <w:t xml:space="preserve"> and</w:t>
      </w:r>
    </w:p>
    <w:p w14:paraId="6C446104" w14:textId="78FE13E1" w:rsidR="00363380" w:rsidRPr="008147AD" w:rsidRDefault="00284A98" w:rsidP="00E13E5D">
      <w:pPr>
        <w:numPr>
          <w:ilvl w:val="0"/>
          <w:numId w:val="45"/>
        </w:numPr>
        <w:spacing w:line="252" w:lineRule="auto"/>
        <w:jc w:val="both"/>
        <w:rPr>
          <w:rFonts w:ascii="Arial" w:hAnsi="Arial" w:cs="Arial"/>
          <w:szCs w:val="24"/>
        </w:rPr>
      </w:pPr>
      <w:r w:rsidRPr="008147AD">
        <w:rPr>
          <w:rFonts w:ascii="Arial" w:hAnsi="Arial" w:cs="Arial"/>
          <w:szCs w:val="24"/>
        </w:rPr>
        <w:t>Add</w:t>
      </w:r>
      <w:r w:rsidR="00BB6F7D">
        <w:rPr>
          <w:rFonts w:ascii="Arial" w:hAnsi="Arial" w:cs="Arial"/>
          <w:szCs w:val="24"/>
        </w:rPr>
        <w:t>ing</w:t>
      </w:r>
      <w:r w:rsidRPr="008147AD">
        <w:rPr>
          <w:rFonts w:ascii="Arial" w:hAnsi="Arial" w:cs="Arial"/>
          <w:szCs w:val="24"/>
        </w:rPr>
        <w:t xml:space="preserve"> language which would allow the Executive to issue Tax-Exempt Bonds as tax-advantaged bonds eligible for federal tax credits, a federal interest subsidy, or other subsidies</w:t>
      </w:r>
      <w:r w:rsidR="00CF4E05">
        <w:rPr>
          <w:rFonts w:ascii="Arial" w:hAnsi="Arial" w:cs="Arial"/>
          <w:szCs w:val="24"/>
        </w:rPr>
        <w:t xml:space="preserve"> should they be made available and deemed advantageous to the County</w:t>
      </w:r>
      <w:r w:rsidRPr="008147AD">
        <w:rPr>
          <w:rFonts w:ascii="Arial" w:hAnsi="Arial" w:cs="Arial"/>
          <w:szCs w:val="24"/>
        </w:rPr>
        <w:t>.</w:t>
      </w:r>
    </w:p>
    <w:p w14:paraId="4C7DE17E" w14:textId="585A958B" w:rsidR="00A176D5" w:rsidRDefault="00A176D5" w:rsidP="00E13E5D">
      <w:pPr>
        <w:spacing w:line="252" w:lineRule="auto"/>
        <w:jc w:val="both"/>
        <w:rPr>
          <w:rFonts w:ascii="Arial" w:hAnsi="Arial" w:cs="Arial"/>
          <w:szCs w:val="24"/>
        </w:rPr>
      </w:pPr>
    </w:p>
    <w:p w14:paraId="4CBB6393" w14:textId="34EE45A9" w:rsidR="00500497" w:rsidRDefault="00BB6F7D" w:rsidP="00E13E5D">
      <w:pPr>
        <w:spacing w:line="252" w:lineRule="auto"/>
        <w:jc w:val="both"/>
        <w:rPr>
          <w:rFonts w:ascii="Arial" w:hAnsi="Arial" w:cs="Arial"/>
          <w:szCs w:val="24"/>
        </w:rPr>
      </w:pPr>
      <w:r>
        <w:rPr>
          <w:rFonts w:ascii="Arial" w:hAnsi="Arial" w:cs="Arial"/>
          <w:szCs w:val="24"/>
        </w:rPr>
        <w:t xml:space="preserve">Title </w:t>
      </w:r>
      <w:r w:rsidR="006168B9">
        <w:rPr>
          <w:rFonts w:ascii="Arial" w:hAnsi="Arial" w:cs="Arial"/>
          <w:szCs w:val="24"/>
        </w:rPr>
        <w:t xml:space="preserve">Amendment T1 would conform the title for Proposed Ordinance 2020-0104 to the changes made by </w:t>
      </w:r>
      <w:r>
        <w:rPr>
          <w:rFonts w:ascii="Arial" w:hAnsi="Arial" w:cs="Arial"/>
          <w:szCs w:val="24"/>
        </w:rPr>
        <w:t xml:space="preserve">Striking </w:t>
      </w:r>
      <w:r w:rsidR="006168B9">
        <w:rPr>
          <w:rFonts w:ascii="Arial" w:hAnsi="Arial" w:cs="Arial"/>
          <w:szCs w:val="24"/>
        </w:rPr>
        <w:t xml:space="preserve">Amendment </w:t>
      </w:r>
      <w:r w:rsidR="008147AD">
        <w:rPr>
          <w:rFonts w:ascii="Arial" w:hAnsi="Arial" w:cs="Arial"/>
          <w:szCs w:val="24"/>
        </w:rPr>
        <w:t>S</w:t>
      </w:r>
      <w:r w:rsidR="00CF4E05">
        <w:rPr>
          <w:rFonts w:ascii="Arial" w:hAnsi="Arial" w:cs="Arial"/>
          <w:szCs w:val="24"/>
        </w:rPr>
        <w:t>1.</w:t>
      </w:r>
    </w:p>
    <w:p w14:paraId="4BE7E774" w14:textId="77777777" w:rsidR="008147AD" w:rsidRDefault="008147AD" w:rsidP="00236D2E">
      <w:pPr>
        <w:spacing w:line="264" w:lineRule="auto"/>
        <w:rPr>
          <w:rFonts w:ascii="Arial" w:hAnsi="Arial" w:cs="Arial"/>
          <w:szCs w:val="24"/>
        </w:rPr>
      </w:pPr>
    </w:p>
    <w:p w14:paraId="1AA719F2" w14:textId="77777777" w:rsidR="00E15C29" w:rsidRDefault="00E15C29" w:rsidP="00236D2E">
      <w:pPr>
        <w:spacing w:line="264" w:lineRule="auto"/>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79B135C" w14:textId="77777777" w:rsidR="003C341F" w:rsidRDefault="003C341F" w:rsidP="00236D2E">
      <w:pPr>
        <w:spacing w:line="264" w:lineRule="auto"/>
        <w:jc w:val="both"/>
        <w:rPr>
          <w:rFonts w:ascii="Arial" w:hAnsi="Arial" w:cs="Arial"/>
        </w:rPr>
      </w:pPr>
    </w:p>
    <w:p w14:paraId="33427DF9" w14:textId="77777777" w:rsidR="003C341F" w:rsidRDefault="003C341F" w:rsidP="00236D2E">
      <w:pPr>
        <w:spacing w:line="264" w:lineRule="auto"/>
        <w:jc w:val="both"/>
        <w:rPr>
          <w:rFonts w:ascii="Arial" w:hAnsi="Arial" w:cs="Arial"/>
        </w:rPr>
      </w:pPr>
      <w:r>
        <w:rPr>
          <w:rFonts w:ascii="Arial" w:hAnsi="Arial" w:cs="Arial"/>
        </w:rPr>
        <w:t xml:space="preserve">King County typically uses three types of long-term debt instruments: </w:t>
      </w:r>
    </w:p>
    <w:p w14:paraId="18E79339" w14:textId="77777777" w:rsidR="003C341F" w:rsidRDefault="003C341F" w:rsidP="00236D2E">
      <w:pPr>
        <w:spacing w:line="264" w:lineRule="auto"/>
        <w:jc w:val="both"/>
        <w:rPr>
          <w:rFonts w:ascii="Arial" w:hAnsi="Arial" w:cs="Arial"/>
        </w:rPr>
      </w:pPr>
    </w:p>
    <w:p w14:paraId="0707BC6A" w14:textId="77777777" w:rsidR="003C341F" w:rsidRDefault="003C341F" w:rsidP="00236D2E">
      <w:pPr>
        <w:pStyle w:val="ListParagraph0"/>
        <w:numPr>
          <w:ilvl w:val="0"/>
          <w:numId w:val="44"/>
        </w:numPr>
        <w:spacing w:line="264" w:lineRule="auto"/>
        <w:jc w:val="both"/>
        <w:rPr>
          <w:rFonts w:ascii="Arial" w:hAnsi="Arial" w:cs="Arial"/>
        </w:rPr>
      </w:pPr>
      <w:r>
        <w:rPr>
          <w:rFonts w:ascii="Arial" w:hAnsi="Arial" w:cs="Arial"/>
          <w:b/>
        </w:rPr>
        <w:t>Unlimited Tax General Obligation Bonds</w:t>
      </w:r>
      <w:r>
        <w:rPr>
          <w:rFonts w:ascii="Arial" w:hAnsi="Arial" w:cs="Arial"/>
        </w:rPr>
        <w:t xml:space="preserve"> (UTGO).  This debt is payable from voter-approved tax levies.  The outstanding Harborview Medical Center bonds are an example of current UTGO bonds issued by the County. </w:t>
      </w:r>
    </w:p>
    <w:p w14:paraId="4ED3E5A8" w14:textId="77777777" w:rsidR="003C341F" w:rsidRDefault="003C341F" w:rsidP="00236D2E">
      <w:pPr>
        <w:pStyle w:val="ListParagraph0"/>
        <w:spacing w:line="264" w:lineRule="auto"/>
        <w:jc w:val="both"/>
        <w:rPr>
          <w:rFonts w:ascii="Arial" w:hAnsi="Arial" w:cs="Arial"/>
        </w:rPr>
      </w:pPr>
    </w:p>
    <w:p w14:paraId="321E2BE2" w14:textId="77777777" w:rsidR="003C341F" w:rsidRDefault="003C341F" w:rsidP="00236D2E">
      <w:pPr>
        <w:pStyle w:val="ListParagraph0"/>
        <w:numPr>
          <w:ilvl w:val="0"/>
          <w:numId w:val="44"/>
        </w:numPr>
        <w:spacing w:line="264" w:lineRule="auto"/>
        <w:jc w:val="both"/>
        <w:rPr>
          <w:rFonts w:ascii="Arial" w:hAnsi="Arial" w:cs="Arial"/>
        </w:rPr>
      </w:pPr>
      <w:r>
        <w:rPr>
          <w:rFonts w:ascii="Arial" w:hAnsi="Arial" w:cs="Arial"/>
          <w:b/>
        </w:rPr>
        <w:t>Limited Tax General Obligation Bonds</w:t>
      </w:r>
      <w:r>
        <w:rPr>
          <w:rFonts w:ascii="Arial" w:hAnsi="Arial" w:cs="Arial"/>
        </w:rPr>
        <w:t xml:space="preserve"> (LTGO).  These bonds are backed by the full faith and credit of the County that is not subject to voter approval.  These bonds can be issued by the County without voter approval and are the bonds typically being referred to when discussing the County’s credit rating.  Although ultimately pledging general fund revenues, LTGO debt is often also issued for the benefit of other funds that can document sufficient future revenues to pay the debt service.  This is the most common county debt issuance and King County typically has several LTGO bond sales each year. </w:t>
      </w:r>
    </w:p>
    <w:p w14:paraId="4A864C60" w14:textId="77777777" w:rsidR="003C341F" w:rsidRDefault="003C341F" w:rsidP="00236D2E">
      <w:pPr>
        <w:pStyle w:val="ListParagraph0"/>
        <w:spacing w:line="264" w:lineRule="auto"/>
        <w:jc w:val="both"/>
        <w:rPr>
          <w:rFonts w:ascii="Arial" w:hAnsi="Arial" w:cs="Arial"/>
        </w:rPr>
      </w:pPr>
    </w:p>
    <w:p w14:paraId="1D2CDF76" w14:textId="77777777" w:rsidR="003C341F" w:rsidRDefault="003C341F" w:rsidP="00236D2E">
      <w:pPr>
        <w:pStyle w:val="ListParagraph0"/>
        <w:numPr>
          <w:ilvl w:val="0"/>
          <w:numId w:val="44"/>
        </w:numPr>
        <w:spacing w:line="264" w:lineRule="auto"/>
        <w:jc w:val="both"/>
        <w:rPr>
          <w:rFonts w:ascii="Arial" w:hAnsi="Arial" w:cs="Arial"/>
        </w:rPr>
      </w:pPr>
      <w:r>
        <w:rPr>
          <w:rFonts w:ascii="Arial" w:hAnsi="Arial" w:cs="Arial"/>
          <w:b/>
        </w:rPr>
        <w:t xml:space="preserve">Revenue Bonds.  </w:t>
      </w:r>
      <w:r>
        <w:rPr>
          <w:rFonts w:ascii="Arial" w:hAnsi="Arial" w:cs="Arial"/>
        </w:rPr>
        <w:t xml:space="preserve">Revenue bonds are those backed by revenues by a particular source and are not backed by the full faith and credit of the County.  Typically these bonds are only used by major county funds with a long-history of successfully borrowing and repayment, and dedicated revenue streams.  The Wastewater Treatment Division is the only county agency that regularly uses revenue bonds. </w:t>
      </w:r>
    </w:p>
    <w:p w14:paraId="5D856A83" w14:textId="77777777" w:rsidR="00575B03" w:rsidRDefault="00575B03" w:rsidP="00236D2E">
      <w:pPr>
        <w:spacing w:line="264" w:lineRule="auto"/>
        <w:jc w:val="both"/>
        <w:rPr>
          <w:rFonts w:ascii="Arial" w:hAnsi="Arial" w:cs="Arial"/>
        </w:rPr>
      </w:pPr>
    </w:p>
    <w:p w14:paraId="625409B7" w14:textId="77777777" w:rsidR="00264BE1" w:rsidRDefault="00264BE1" w:rsidP="00236D2E">
      <w:pPr>
        <w:spacing w:line="264" w:lineRule="auto"/>
        <w:jc w:val="both"/>
        <w:rPr>
          <w:rFonts w:ascii="Arial" w:hAnsi="Arial" w:cs="Arial"/>
          <w:b/>
          <w:smallCaps/>
          <w:szCs w:val="24"/>
          <w:u w:val="single"/>
        </w:rPr>
      </w:pPr>
      <w:r>
        <w:rPr>
          <w:rFonts w:ascii="Arial" w:hAnsi="Arial" w:cs="Arial"/>
          <w:b/>
          <w:smallCaps/>
          <w:szCs w:val="24"/>
          <w:u w:val="single"/>
        </w:rPr>
        <w:t>ANALYSIS</w:t>
      </w:r>
    </w:p>
    <w:p w14:paraId="4D05A16C" w14:textId="77777777" w:rsidR="00074A56" w:rsidRDefault="00074A56" w:rsidP="00236D2E">
      <w:pPr>
        <w:spacing w:line="264" w:lineRule="auto"/>
        <w:jc w:val="both"/>
        <w:rPr>
          <w:rFonts w:ascii="Arial" w:hAnsi="Arial" w:cs="Arial"/>
        </w:rPr>
      </w:pPr>
    </w:p>
    <w:p w14:paraId="116F5CF5" w14:textId="28B9F192" w:rsidR="00E13E5D" w:rsidRDefault="00F85CAB" w:rsidP="00236D2E">
      <w:pPr>
        <w:spacing w:line="264" w:lineRule="auto"/>
        <w:jc w:val="both"/>
        <w:rPr>
          <w:rFonts w:ascii="Arial" w:hAnsi="Arial" w:cs="Arial"/>
        </w:rPr>
      </w:pPr>
      <w:r>
        <w:rPr>
          <w:rFonts w:ascii="Arial" w:hAnsi="Arial" w:cs="Arial"/>
        </w:rPr>
        <w:t xml:space="preserve">Proposed Ordinance </w:t>
      </w:r>
      <w:r w:rsidR="009D78E9">
        <w:rPr>
          <w:rFonts w:ascii="Arial" w:hAnsi="Arial" w:cs="Arial"/>
        </w:rPr>
        <w:t>2020-0104</w:t>
      </w:r>
      <w:r>
        <w:rPr>
          <w:rFonts w:ascii="Arial" w:hAnsi="Arial" w:cs="Arial"/>
        </w:rPr>
        <w:t xml:space="preserve"> would authorize the Executive to sell LTGO bonds to provide permanent financing for </w:t>
      </w:r>
      <w:r w:rsidR="00E52888">
        <w:rPr>
          <w:rFonts w:ascii="Arial" w:hAnsi="Arial" w:cs="Arial"/>
        </w:rPr>
        <w:t>various capital</w:t>
      </w:r>
      <w:r>
        <w:rPr>
          <w:rFonts w:ascii="Arial" w:hAnsi="Arial" w:cs="Arial"/>
        </w:rPr>
        <w:t xml:space="preserve"> projects. In previous appropriation </w:t>
      </w:r>
      <w:r>
        <w:rPr>
          <w:rFonts w:ascii="Arial" w:hAnsi="Arial" w:cs="Arial"/>
        </w:rPr>
        <w:lastRenderedPageBreak/>
        <w:t>ordinances including the</w:t>
      </w:r>
      <w:r w:rsidR="00E52888">
        <w:rPr>
          <w:rFonts w:ascii="Arial" w:hAnsi="Arial" w:cs="Arial"/>
        </w:rPr>
        <w:t xml:space="preserve"> </w:t>
      </w:r>
      <w:r w:rsidR="005E2D23">
        <w:rPr>
          <w:rFonts w:ascii="Arial" w:hAnsi="Arial" w:cs="Arial"/>
        </w:rPr>
        <w:t xml:space="preserve">2018 </w:t>
      </w:r>
      <w:r w:rsidR="00E52888">
        <w:rPr>
          <w:rFonts w:ascii="Arial" w:hAnsi="Arial" w:cs="Arial"/>
        </w:rPr>
        <w:t>1</w:t>
      </w:r>
      <w:r w:rsidR="00E52888" w:rsidRPr="00E52888">
        <w:rPr>
          <w:rFonts w:ascii="Arial" w:hAnsi="Arial" w:cs="Arial"/>
          <w:vertAlign w:val="superscript"/>
        </w:rPr>
        <w:t>st</w:t>
      </w:r>
      <w:r w:rsidR="00E52888">
        <w:rPr>
          <w:rFonts w:ascii="Arial" w:hAnsi="Arial" w:cs="Arial"/>
        </w:rPr>
        <w:t xml:space="preserve"> Omnibus</w:t>
      </w:r>
      <w:r w:rsidR="00E52888">
        <w:rPr>
          <w:rStyle w:val="FootnoteReference"/>
          <w:rFonts w:ascii="Arial" w:hAnsi="Arial" w:cs="Arial"/>
        </w:rPr>
        <w:footnoteReference w:id="2"/>
      </w:r>
      <w:r w:rsidR="00E52888">
        <w:rPr>
          <w:rFonts w:ascii="Arial" w:hAnsi="Arial" w:cs="Arial"/>
        </w:rPr>
        <w:t>, the</w:t>
      </w:r>
      <w:r>
        <w:rPr>
          <w:rFonts w:ascii="Arial" w:hAnsi="Arial" w:cs="Arial"/>
        </w:rPr>
        <w:t xml:space="preserve"> 2019-2020 biennial budget</w:t>
      </w:r>
      <w:r>
        <w:rPr>
          <w:rStyle w:val="FootnoteReference"/>
          <w:rFonts w:ascii="Arial" w:hAnsi="Arial" w:cs="Arial"/>
        </w:rPr>
        <w:footnoteReference w:id="3"/>
      </w:r>
      <w:r w:rsidR="00BA45B8">
        <w:rPr>
          <w:rFonts w:ascii="Arial" w:hAnsi="Arial" w:cs="Arial"/>
        </w:rPr>
        <w:t xml:space="preserve"> and the </w:t>
      </w:r>
      <w:r w:rsidR="00E52888">
        <w:rPr>
          <w:rFonts w:ascii="Arial" w:hAnsi="Arial" w:cs="Arial"/>
        </w:rPr>
        <w:t>2019 2</w:t>
      </w:r>
      <w:r w:rsidR="00E52888" w:rsidRPr="00E52888">
        <w:rPr>
          <w:rFonts w:ascii="Arial" w:hAnsi="Arial" w:cs="Arial"/>
          <w:vertAlign w:val="superscript"/>
        </w:rPr>
        <w:t>nd</w:t>
      </w:r>
      <w:r w:rsidR="00E52888">
        <w:rPr>
          <w:rFonts w:ascii="Arial" w:hAnsi="Arial" w:cs="Arial"/>
        </w:rPr>
        <w:t xml:space="preserve"> O</w:t>
      </w:r>
      <w:r w:rsidR="00BA45B8">
        <w:rPr>
          <w:rFonts w:ascii="Arial" w:hAnsi="Arial" w:cs="Arial"/>
        </w:rPr>
        <w:t>mnibus</w:t>
      </w:r>
      <w:r w:rsidR="00BA45B8">
        <w:rPr>
          <w:rStyle w:val="FootnoteReference"/>
          <w:rFonts w:ascii="Arial" w:hAnsi="Arial" w:cs="Arial"/>
        </w:rPr>
        <w:footnoteReference w:id="4"/>
      </w:r>
      <w:r w:rsidR="00FF29C1">
        <w:rPr>
          <w:rFonts w:ascii="Arial" w:hAnsi="Arial" w:cs="Arial"/>
        </w:rPr>
        <w:t>,</w:t>
      </w:r>
      <w:r>
        <w:rPr>
          <w:rFonts w:ascii="Arial" w:hAnsi="Arial" w:cs="Arial"/>
        </w:rPr>
        <w:t xml:space="preserve"> a number of </w:t>
      </w:r>
      <w:r w:rsidR="005E2D23">
        <w:rPr>
          <w:rFonts w:ascii="Arial" w:hAnsi="Arial" w:cs="Arial"/>
        </w:rPr>
        <w:t xml:space="preserve">capital </w:t>
      </w:r>
      <w:r>
        <w:rPr>
          <w:rFonts w:ascii="Arial" w:hAnsi="Arial" w:cs="Arial"/>
        </w:rPr>
        <w:t>projects were targeted for long-term financing</w:t>
      </w:r>
      <w:r w:rsidR="006D6D9E">
        <w:rPr>
          <w:rFonts w:ascii="Arial" w:hAnsi="Arial" w:cs="Arial"/>
        </w:rPr>
        <w:t xml:space="preserve">. </w:t>
      </w:r>
      <w:r>
        <w:rPr>
          <w:rFonts w:ascii="Arial" w:hAnsi="Arial" w:cs="Arial"/>
        </w:rPr>
        <w:t xml:space="preserve">The proposed ordinance </w:t>
      </w:r>
      <w:r w:rsidR="006D6D9E">
        <w:rPr>
          <w:rFonts w:ascii="Arial" w:hAnsi="Arial" w:cs="Arial"/>
        </w:rPr>
        <w:t>would authorize</w:t>
      </w:r>
      <w:r>
        <w:rPr>
          <w:rFonts w:ascii="Arial" w:hAnsi="Arial" w:cs="Arial"/>
        </w:rPr>
        <w:t xml:space="preserve"> financing to support</w:t>
      </w:r>
      <w:r w:rsidR="00FB77FD">
        <w:rPr>
          <w:rFonts w:ascii="Arial" w:hAnsi="Arial" w:cs="Arial"/>
        </w:rPr>
        <w:t xml:space="preserve"> seven</w:t>
      </w:r>
      <w:r>
        <w:rPr>
          <w:rFonts w:ascii="Arial" w:hAnsi="Arial" w:cs="Arial"/>
        </w:rPr>
        <w:t xml:space="preserve"> projects which have previously been approved by Council</w:t>
      </w:r>
      <w:r w:rsidR="00FB77FD">
        <w:rPr>
          <w:rFonts w:ascii="Arial" w:hAnsi="Arial" w:cs="Arial"/>
        </w:rPr>
        <w:t>, and one which has</w:t>
      </w:r>
      <w:r w:rsidR="006D6D9E">
        <w:rPr>
          <w:rFonts w:ascii="Arial" w:hAnsi="Arial" w:cs="Arial"/>
        </w:rPr>
        <w:t xml:space="preserve"> not yet received Council approval. </w:t>
      </w:r>
      <w:r>
        <w:rPr>
          <w:rFonts w:ascii="Arial" w:hAnsi="Arial" w:cs="Arial"/>
        </w:rPr>
        <w:t xml:space="preserve"> </w:t>
      </w:r>
    </w:p>
    <w:p w14:paraId="5DD396B9" w14:textId="77777777" w:rsidR="00E13E5D" w:rsidRDefault="00E13E5D" w:rsidP="00E13E5D">
      <w:pPr>
        <w:keepNext/>
        <w:spacing w:line="264" w:lineRule="auto"/>
        <w:jc w:val="both"/>
        <w:rPr>
          <w:rFonts w:ascii="Arial" w:hAnsi="Arial" w:cs="Arial"/>
        </w:rPr>
      </w:pPr>
    </w:p>
    <w:p w14:paraId="25A77005" w14:textId="2C27A618" w:rsidR="00F85CAB" w:rsidRDefault="00F85CAB" w:rsidP="00E13E5D">
      <w:pPr>
        <w:keepNext/>
        <w:spacing w:line="264" w:lineRule="auto"/>
        <w:jc w:val="both"/>
        <w:rPr>
          <w:rFonts w:ascii="Arial" w:hAnsi="Arial" w:cs="Arial"/>
        </w:rPr>
      </w:pPr>
      <w:r>
        <w:rPr>
          <w:rFonts w:ascii="Arial" w:hAnsi="Arial" w:cs="Arial"/>
        </w:rPr>
        <w:t>Tabl</w:t>
      </w:r>
      <w:r w:rsidR="009D78E9">
        <w:rPr>
          <w:rFonts w:ascii="Arial" w:hAnsi="Arial" w:cs="Arial"/>
        </w:rPr>
        <w:t xml:space="preserve">e </w:t>
      </w:r>
      <w:r w:rsidR="005120D8">
        <w:rPr>
          <w:rFonts w:ascii="Arial" w:hAnsi="Arial" w:cs="Arial"/>
        </w:rPr>
        <w:t xml:space="preserve">1 </w:t>
      </w:r>
      <w:r>
        <w:rPr>
          <w:rFonts w:ascii="Arial" w:hAnsi="Arial" w:cs="Arial"/>
        </w:rPr>
        <w:t>below identifies the projects to be funded</w:t>
      </w:r>
      <w:r w:rsidR="003C188C">
        <w:rPr>
          <w:rFonts w:ascii="Arial" w:hAnsi="Arial" w:cs="Arial"/>
        </w:rPr>
        <w:t xml:space="preserve"> and</w:t>
      </w:r>
      <w:r>
        <w:rPr>
          <w:rFonts w:ascii="Arial" w:hAnsi="Arial" w:cs="Arial"/>
        </w:rPr>
        <w:t xml:space="preserve"> the amount </w:t>
      </w:r>
      <w:r w:rsidR="006D6D9E">
        <w:rPr>
          <w:rFonts w:ascii="Arial" w:hAnsi="Arial" w:cs="Arial"/>
        </w:rPr>
        <w:t>of funding each project is to</w:t>
      </w:r>
      <w:r>
        <w:rPr>
          <w:rFonts w:ascii="Arial" w:hAnsi="Arial" w:cs="Arial"/>
        </w:rPr>
        <w:t xml:space="preserve"> receive under the proposed ordinance</w:t>
      </w:r>
      <w:r w:rsidR="003C188C">
        <w:rPr>
          <w:rFonts w:ascii="Arial" w:hAnsi="Arial" w:cs="Arial"/>
        </w:rPr>
        <w:t>, as well as,</w:t>
      </w:r>
      <w:r w:rsidR="006073C1" w:rsidRPr="006073C1">
        <w:rPr>
          <w:rFonts w:ascii="Arial" w:hAnsi="Arial" w:cs="Arial"/>
        </w:rPr>
        <w:t xml:space="preserve"> the approving</w:t>
      </w:r>
      <w:r w:rsidR="005120D8">
        <w:rPr>
          <w:rFonts w:ascii="Arial" w:hAnsi="Arial" w:cs="Arial"/>
        </w:rPr>
        <w:t xml:space="preserve"> appropriations</w:t>
      </w:r>
      <w:r w:rsidR="006073C1" w:rsidRPr="006073C1">
        <w:rPr>
          <w:rFonts w:ascii="Arial" w:hAnsi="Arial" w:cs="Arial"/>
        </w:rPr>
        <w:t xml:space="preserve"> ordinance number</w:t>
      </w:r>
      <w:r>
        <w:rPr>
          <w:rFonts w:ascii="Arial" w:hAnsi="Arial" w:cs="Arial"/>
        </w:rPr>
        <w:t xml:space="preserve">.  </w:t>
      </w:r>
    </w:p>
    <w:p w14:paraId="1F57FB51" w14:textId="77777777" w:rsidR="00FA31B4" w:rsidRDefault="00FA31B4" w:rsidP="00E13E5D">
      <w:pPr>
        <w:keepNext/>
        <w:spacing w:line="264" w:lineRule="auto"/>
        <w:jc w:val="both"/>
        <w:rPr>
          <w:rFonts w:ascii="Arial" w:hAnsi="Arial" w:cs="Arial"/>
        </w:rPr>
      </w:pPr>
    </w:p>
    <w:p w14:paraId="5B5E57F6" w14:textId="772DEA0B" w:rsidR="00FA31B4" w:rsidRDefault="005120D8" w:rsidP="00E13E5D">
      <w:pPr>
        <w:keepNext/>
        <w:jc w:val="center"/>
        <w:rPr>
          <w:rFonts w:ascii="Arial" w:hAnsi="Arial" w:cs="Arial"/>
          <w:b/>
          <w:szCs w:val="24"/>
        </w:rPr>
      </w:pPr>
      <w:r>
        <w:rPr>
          <w:rFonts w:ascii="Arial" w:hAnsi="Arial" w:cs="Arial"/>
          <w:b/>
        </w:rPr>
        <w:t>Table 1</w:t>
      </w:r>
      <w:r w:rsidR="00FA31B4">
        <w:rPr>
          <w:rFonts w:ascii="Arial" w:hAnsi="Arial" w:cs="Arial"/>
          <w:b/>
        </w:rPr>
        <w:t xml:space="preserve">.  </w:t>
      </w:r>
      <w:r w:rsidR="00FA31B4">
        <w:rPr>
          <w:rFonts w:ascii="Arial" w:hAnsi="Arial" w:cs="Arial"/>
          <w:b/>
          <w:szCs w:val="24"/>
        </w:rPr>
        <w:t>Projects Financed by PO 2020-0104</w:t>
      </w:r>
    </w:p>
    <w:p w14:paraId="64277A13" w14:textId="77777777" w:rsidR="00FA31B4" w:rsidRPr="00BB6F7D" w:rsidRDefault="00FA31B4" w:rsidP="00E13E5D">
      <w:pPr>
        <w:keepNext/>
        <w:jc w:val="center"/>
        <w:rPr>
          <w:rFonts w:ascii="Arial" w:hAnsi="Arial" w:cs="Arial"/>
          <w:b/>
          <w:szCs w:val="24"/>
        </w:rPr>
      </w:pPr>
    </w:p>
    <w:tbl>
      <w:tblPr>
        <w:tblW w:w="8460" w:type="dxa"/>
        <w:jc w:val="center"/>
        <w:tblLook w:val="04A0" w:firstRow="1" w:lastRow="0" w:firstColumn="1" w:lastColumn="0" w:noHBand="0" w:noVBand="1"/>
      </w:tblPr>
      <w:tblGrid>
        <w:gridCol w:w="4770"/>
        <w:gridCol w:w="450"/>
        <w:gridCol w:w="1260"/>
        <w:gridCol w:w="270"/>
        <w:gridCol w:w="1710"/>
      </w:tblGrid>
      <w:tr w:rsidR="00FA31B4" w:rsidRPr="001609AD" w14:paraId="66F695D2" w14:textId="77777777" w:rsidTr="000B112D">
        <w:trPr>
          <w:trHeight w:val="600"/>
          <w:jc w:val="center"/>
        </w:trPr>
        <w:tc>
          <w:tcPr>
            <w:tcW w:w="4770" w:type="dxa"/>
            <w:tcBorders>
              <w:top w:val="single" w:sz="12" w:space="0" w:color="auto"/>
              <w:left w:val="nil"/>
              <w:bottom w:val="single" w:sz="4" w:space="0" w:color="auto"/>
              <w:right w:val="nil"/>
            </w:tcBorders>
            <w:vAlign w:val="bottom"/>
            <w:hideMark/>
          </w:tcPr>
          <w:p w14:paraId="4D615E6B" w14:textId="77777777" w:rsidR="00FA31B4" w:rsidRPr="001609AD" w:rsidRDefault="00FA31B4" w:rsidP="00E13E5D">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b/>
                <w:bCs/>
                <w:sz w:val="22"/>
                <w:szCs w:val="22"/>
              </w:rPr>
              <w:t>Project Name</w:t>
            </w:r>
          </w:p>
        </w:tc>
        <w:tc>
          <w:tcPr>
            <w:tcW w:w="450" w:type="dxa"/>
            <w:tcBorders>
              <w:top w:val="single" w:sz="12" w:space="0" w:color="auto"/>
              <w:left w:val="nil"/>
              <w:bottom w:val="nil"/>
              <w:right w:val="nil"/>
            </w:tcBorders>
            <w:vAlign w:val="bottom"/>
          </w:tcPr>
          <w:p w14:paraId="2B7017D9" w14:textId="77777777" w:rsidR="00FA31B4" w:rsidRPr="001609AD" w:rsidRDefault="00FA31B4" w:rsidP="00E13E5D">
            <w:pPr>
              <w:keepNext/>
              <w:widowControl w:val="0"/>
              <w:autoSpaceDE w:val="0"/>
              <w:autoSpaceDN w:val="0"/>
              <w:adjustRightInd w:val="0"/>
              <w:spacing w:line="264" w:lineRule="auto"/>
              <w:jc w:val="center"/>
              <w:rPr>
                <w:rFonts w:ascii="Arial" w:hAnsi="Arial" w:cs="Arial"/>
                <w:b/>
                <w:bCs/>
                <w:sz w:val="22"/>
                <w:szCs w:val="22"/>
              </w:rPr>
            </w:pPr>
          </w:p>
        </w:tc>
        <w:tc>
          <w:tcPr>
            <w:tcW w:w="1260" w:type="dxa"/>
            <w:tcBorders>
              <w:top w:val="single" w:sz="12" w:space="0" w:color="auto"/>
              <w:left w:val="nil"/>
              <w:bottom w:val="single" w:sz="4" w:space="0" w:color="auto"/>
              <w:right w:val="nil"/>
            </w:tcBorders>
            <w:vAlign w:val="bottom"/>
            <w:hideMark/>
          </w:tcPr>
          <w:p w14:paraId="064FA5AB" w14:textId="77777777" w:rsidR="00FA31B4" w:rsidRPr="001609AD" w:rsidRDefault="00FA31B4" w:rsidP="00E13E5D">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b/>
                <w:bCs/>
                <w:sz w:val="22"/>
                <w:szCs w:val="22"/>
              </w:rPr>
              <w:t>Total (millions)</w:t>
            </w:r>
          </w:p>
        </w:tc>
        <w:tc>
          <w:tcPr>
            <w:tcW w:w="270" w:type="dxa"/>
            <w:tcBorders>
              <w:top w:val="single" w:sz="12" w:space="0" w:color="auto"/>
              <w:left w:val="nil"/>
              <w:bottom w:val="nil"/>
              <w:right w:val="nil"/>
            </w:tcBorders>
            <w:vAlign w:val="bottom"/>
          </w:tcPr>
          <w:p w14:paraId="38934FB0" w14:textId="77777777" w:rsidR="00FA31B4" w:rsidRPr="001609AD" w:rsidRDefault="00FA31B4" w:rsidP="00E13E5D">
            <w:pPr>
              <w:keepNext/>
              <w:widowControl w:val="0"/>
              <w:autoSpaceDE w:val="0"/>
              <w:autoSpaceDN w:val="0"/>
              <w:adjustRightInd w:val="0"/>
              <w:spacing w:line="264" w:lineRule="auto"/>
              <w:jc w:val="center"/>
              <w:rPr>
                <w:rFonts w:ascii="Arial" w:hAnsi="Arial" w:cs="Arial"/>
                <w:b/>
                <w:bCs/>
                <w:sz w:val="22"/>
                <w:szCs w:val="22"/>
              </w:rPr>
            </w:pPr>
          </w:p>
        </w:tc>
        <w:tc>
          <w:tcPr>
            <w:tcW w:w="1710" w:type="dxa"/>
            <w:tcBorders>
              <w:top w:val="single" w:sz="12" w:space="0" w:color="auto"/>
              <w:left w:val="nil"/>
              <w:bottom w:val="single" w:sz="4" w:space="0" w:color="auto"/>
              <w:right w:val="nil"/>
            </w:tcBorders>
            <w:vAlign w:val="bottom"/>
            <w:hideMark/>
          </w:tcPr>
          <w:p w14:paraId="0664E01E" w14:textId="77777777" w:rsidR="00FA31B4" w:rsidRPr="001609AD" w:rsidRDefault="00FA31B4" w:rsidP="00E13E5D">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b/>
                <w:bCs/>
                <w:sz w:val="22"/>
                <w:szCs w:val="22"/>
              </w:rPr>
              <w:t>Approved via Ordinance</w:t>
            </w:r>
          </w:p>
        </w:tc>
      </w:tr>
      <w:tr w:rsidR="00FA31B4" w:rsidRPr="001609AD" w14:paraId="3A6FDABA" w14:textId="77777777" w:rsidTr="000B112D">
        <w:trPr>
          <w:trHeight w:val="431"/>
          <w:jc w:val="center"/>
        </w:trPr>
        <w:tc>
          <w:tcPr>
            <w:tcW w:w="4770" w:type="dxa"/>
            <w:tcBorders>
              <w:top w:val="single" w:sz="4" w:space="0" w:color="auto"/>
              <w:left w:val="nil"/>
              <w:bottom w:val="nil"/>
              <w:right w:val="nil"/>
            </w:tcBorders>
            <w:vAlign w:val="bottom"/>
          </w:tcPr>
          <w:p w14:paraId="1CDE789A" w14:textId="77777777" w:rsidR="00FA31B4" w:rsidRPr="001609AD" w:rsidRDefault="00FA31B4" w:rsidP="00E13E5D">
            <w:pPr>
              <w:keepNext/>
              <w:widowControl w:val="0"/>
              <w:autoSpaceDE w:val="0"/>
              <w:autoSpaceDN w:val="0"/>
              <w:adjustRightInd w:val="0"/>
              <w:spacing w:line="264" w:lineRule="auto"/>
              <w:rPr>
                <w:rFonts w:ascii="Arial" w:hAnsi="Arial" w:cs="Arial"/>
                <w:b/>
                <w:bCs/>
                <w:sz w:val="22"/>
                <w:szCs w:val="22"/>
              </w:rPr>
            </w:pPr>
            <w:r w:rsidRPr="001609AD">
              <w:rPr>
                <w:rFonts w:ascii="Arial" w:hAnsi="Arial" w:cs="Arial"/>
                <w:sz w:val="22"/>
                <w:szCs w:val="22"/>
              </w:rPr>
              <w:t>Transit Operational Capacity Growth Projects</w:t>
            </w:r>
          </w:p>
        </w:tc>
        <w:tc>
          <w:tcPr>
            <w:tcW w:w="450" w:type="dxa"/>
            <w:vAlign w:val="bottom"/>
          </w:tcPr>
          <w:p w14:paraId="1DC56139"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single" w:sz="4" w:space="0" w:color="auto"/>
              <w:left w:val="nil"/>
              <w:bottom w:val="nil"/>
              <w:right w:val="nil"/>
            </w:tcBorders>
            <w:vAlign w:val="bottom"/>
          </w:tcPr>
          <w:p w14:paraId="382F80CE"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$250.0</w:t>
            </w:r>
          </w:p>
        </w:tc>
        <w:tc>
          <w:tcPr>
            <w:tcW w:w="270" w:type="dxa"/>
            <w:vAlign w:val="bottom"/>
          </w:tcPr>
          <w:p w14:paraId="116D220D"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top w:val="single" w:sz="4" w:space="0" w:color="auto"/>
              <w:left w:val="nil"/>
              <w:bottom w:val="nil"/>
              <w:right w:val="nil"/>
            </w:tcBorders>
            <w:vAlign w:val="bottom"/>
          </w:tcPr>
          <w:p w14:paraId="22BFFD94" w14:textId="77777777" w:rsidR="00FA31B4" w:rsidRPr="001609AD" w:rsidRDefault="00FA31B4" w:rsidP="00E13E5D">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sz w:val="22"/>
                <w:szCs w:val="22"/>
              </w:rPr>
              <w:t>18835</w:t>
            </w:r>
          </w:p>
        </w:tc>
      </w:tr>
      <w:tr w:rsidR="00FA31B4" w:rsidRPr="001609AD" w14:paraId="78679A7B" w14:textId="77777777" w:rsidTr="000B112D">
        <w:trPr>
          <w:trHeight w:val="450"/>
          <w:jc w:val="center"/>
        </w:trPr>
        <w:tc>
          <w:tcPr>
            <w:tcW w:w="4770" w:type="dxa"/>
            <w:vAlign w:val="bottom"/>
            <w:hideMark/>
          </w:tcPr>
          <w:p w14:paraId="7026E1BE"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Forge Site Acquisition</w:t>
            </w:r>
          </w:p>
        </w:tc>
        <w:tc>
          <w:tcPr>
            <w:tcW w:w="450" w:type="dxa"/>
            <w:vAlign w:val="bottom"/>
          </w:tcPr>
          <w:p w14:paraId="1EAF1D80"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hideMark/>
          </w:tcPr>
          <w:p w14:paraId="3F0B8B7F"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$54.2</w:t>
            </w:r>
          </w:p>
        </w:tc>
        <w:tc>
          <w:tcPr>
            <w:tcW w:w="270" w:type="dxa"/>
            <w:vAlign w:val="bottom"/>
          </w:tcPr>
          <w:p w14:paraId="38F3525E"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vAlign w:val="bottom"/>
            <w:hideMark/>
          </w:tcPr>
          <w:p w14:paraId="69ABA1B5"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Pr>
                <w:rFonts w:ascii="Arial" w:hAnsi="Arial" w:cs="Arial"/>
                <w:sz w:val="22"/>
                <w:szCs w:val="22"/>
              </w:rPr>
              <w:t>PO 2020-0006</w:t>
            </w:r>
          </w:p>
        </w:tc>
      </w:tr>
      <w:tr w:rsidR="00FA31B4" w:rsidRPr="001609AD" w14:paraId="0DB57E72" w14:textId="77777777" w:rsidTr="000B112D">
        <w:trPr>
          <w:trHeight w:val="450"/>
          <w:jc w:val="center"/>
        </w:trPr>
        <w:tc>
          <w:tcPr>
            <w:tcW w:w="4770" w:type="dxa"/>
            <w:tcBorders>
              <w:top w:val="nil"/>
              <w:left w:val="nil"/>
              <w:right w:val="nil"/>
            </w:tcBorders>
            <w:vAlign w:val="bottom"/>
            <w:hideMark/>
          </w:tcPr>
          <w:p w14:paraId="399E58F2"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Conservation Futures Land</w:t>
            </w:r>
          </w:p>
        </w:tc>
        <w:tc>
          <w:tcPr>
            <w:tcW w:w="450" w:type="dxa"/>
            <w:tcBorders>
              <w:top w:val="nil"/>
              <w:left w:val="nil"/>
              <w:right w:val="nil"/>
            </w:tcBorders>
            <w:vAlign w:val="bottom"/>
          </w:tcPr>
          <w:p w14:paraId="0AC703EC"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nil"/>
              <w:left w:val="nil"/>
              <w:right w:val="nil"/>
            </w:tcBorders>
            <w:vAlign w:val="bottom"/>
            <w:hideMark/>
          </w:tcPr>
          <w:p w14:paraId="0FEE3D91"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$35.0</w:t>
            </w:r>
          </w:p>
        </w:tc>
        <w:tc>
          <w:tcPr>
            <w:tcW w:w="270" w:type="dxa"/>
            <w:tcBorders>
              <w:top w:val="nil"/>
              <w:left w:val="nil"/>
              <w:right w:val="nil"/>
            </w:tcBorders>
            <w:vAlign w:val="bottom"/>
          </w:tcPr>
          <w:p w14:paraId="41BCAC6E"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top w:val="nil"/>
              <w:left w:val="nil"/>
              <w:right w:val="nil"/>
            </w:tcBorders>
            <w:vAlign w:val="bottom"/>
            <w:hideMark/>
          </w:tcPr>
          <w:p w14:paraId="7E2FE01C"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sidRPr="001609AD">
              <w:rPr>
                <w:rFonts w:ascii="Arial" w:hAnsi="Arial" w:cs="Arial"/>
                <w:sz w:val="22"/>
                <w:szCs w:val="22"/>
              </w:rPr>
              <w:t>18987 &amp; 19021</w:t>
            </w:r>
          </w:p>
        </w:tc>
      </w:tr>
      <w:tr w:rsidR="00FA31B4" w:rsidRPr="001609AD" w14:paraId="7A32ED83" w14:textId="77777777" w:rsidTr="000B112D">
        <w:trPr>
          <w:trHeight w:val="450"/>
          <w:jc w:val="center"/>
        </w:trPr>
        <w:tc>
          <w:tcPr>
            <w:tcW w:w="4770" w:type="dxa"/>
            <w:tcBorders>
              <w:left w:val="nil"/>
              <w:bottom w:val="nil"/>
              <w:right w:val="nil"/>
            </w:tcBorders>
            <w:vAlign w:val="bottom"/>
          </w:tcPr>
          <w:p w14:paraId="06C0A107"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Downtown Public Health Clinic</w:t>
            </w:r>
          </w:p>
        </w:tc>
        <w:tc>
          <w:tcPr>
            <w:tcW w:w="450" w:type="dxa"/>
            <w:tcBorders>
              <w:left w:val="nil"/>
              <w:bottom w:val="nil"/>
              <w:right w:val="nil"/>
            </w:tcBorders>
            <w:vAlign w:val="bottom"/>
          </w:tcPr>
          <w:p w14:paraId="26EE3334"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tcBorders>
              <w:left w:val="nil"/>
              <w:bottom w:val="nil"/>
              <w:right w:val="nil"/>
            </w:tcBorders>
            <w:vAlign w:val="bottom"/>
          </w:tcPr>
          <w:p w14:paraId="1B2F2B6F"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$18.3</w:t>
            </w:r>
          </w:p>
        </w:tc>
        <w:tc>
          <w:tcPr>
            <w:tcW w:w="270" w:type="dxa"/>
            <w:tcBorders>
              <w:left w:val="nil"/>
              <w:bottom w:val="nil"/>
              <w:right w:val="nil"/>
            </w:tcBorders>
            <w:vAlign w:val="bottom"/>
          </w:tcPr>
          <w:p w14:paraId="7BA1F71F"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bottom w:val="nil"/>
              <w:right w:val="nil"/>
            </w:tcBorders>
            <w:vAlign w:val="bottom"/>
          </w:tcPr>
          <w:p w14:paraId="0F924A24"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Pr>
                <w:rFonts w:ascii="Arial" w:hAnsi="Arial" w:cs="Arial"/>
                <w:sz w:val="22"/>
                <w:szCs w:val="22"/>
              </w:rPr>
              <w:t>19136</w:t>
            </w:r>
          </w:p>
        </w:tc>
      </w:tr>
      <w:tr w:rsidR="00FA31B4" w:rsidRPr="001609AD" w14:paraId="320F251C" w14:textId="77777777" w:rsidTr="000B112D">
        <w:trPr>
          <w:trHeight w:val="450"/>
          <w:jc w:val="center"/>
        </w:trPr>
        <w:tc>
          <w:tcPr>
            <w:tcW w:w="4770" w:type="dxa"/>
            <w:vAlign w:val="bottom"/>
            <w:hideMark/>
          </w:tcPr>
          <w:p w14:paraId="0ECEC1C4"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Yesler Building Tenant Improvements</w:t>
            </w:r>
          </w:p>
        </w:tc>
        <w:tc>
          <w:tcPr>
            <w:tcW w:w="450" w:type="dxa"/>
            <w:vAlign w:val="bottom"/>
          </w:tcPr>
          <w:p w14:paraId="2CEC2364"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hideMark/>
          </w:tcPr>
          <w:p w14:paraId="7A168D17"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$11.1</w:t>
            </w:r>
          </w:p>
        </w:tc>
        <w:tc>
          <w:tcPr>
            <w:tcW w:w="270" w:type="dxa"/>
            <w:vAlign w:val="bottom"/>
          </w:tcPr>
          <w:p w14:paraId="4E2F9C6C"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vAlign w:val="bottom"/>
            <w:hideMark/>
          </w:tcPr>
          <w:p w14:paraId="1390B8D3"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sidRPr="001609AD">
              <w:rPr>
                <w:rFonts w:ascii="Arial" w:hAnsi="Arial" w:cs="Arial"/>
                <w:sz w:val="22"/>
                <w:szCs w:val="22"/>
              </w:rPr>
              <w:t>18835</w:t>
            </w:r>
          </w:p>
        </w:tc>
      </w:tr>
      <w:tr w:rsidR="00FA31B4" w:rsidRPr="001609AD" w14:paraId="5A3FAB1E" w14:textId="77777777" w:rsidTr="000B112D">
        <w:trPr>
          <w:trHeight w:val="450"/>
          <w:jc w:val="center"/>
        </w:trPr>
        <w:tc>
          <w:tcPr>
            <w:tcW w:w="4770" w:type="dxa"/>
            <w:vAlign w:val="bottom"/>
            <w:hideMark/>
          </w:tcPr>
          <w:p w14:paraId="0A0F6E54"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Kent Office Building Acquisition</w:t>
            </w:r>
          </w:p>
        </w:tc>
        <w:tc>
          <w:tcPr>
            <w:tcW w:w="450" w:type="dxa"/>
            <w:vAlign w:val="bottom"/>
          </w:tcPr>
          <w:p w14:paraId="0D08471D"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vAlign w:val="bottom"/>
            <w:hideMark/>
          </w:tcPr>
          <w:p w14:paraId="119CD8AA"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$6.2</w:t>
            </w:r>
          </w:p>
        </w:tc>
        <w:tc>
          <w:tcPr>
            <w:tcW w:w="270" w:type="dxa"/>
            <w:vAlign w:val="bottom"/>
          </w:tcPr>
          <w:p w14:paraId="49309CEB"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vAlign w:val="bottom"/>
            <w:hideMark/>
          </w:tcPr>
          <w:p w14:paraId="6900AED2"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sidRPr="001609AD">
              <w:rPr>
                <w:rFonts w:ascii="Arial" w:hAnsi="Arial" w:cs="Arial"/>
                <w:sz w:val="22"/>
                <w:szCs w:val="22"/>
              </w:rPr>
              <w:t>19021</w:t>
            </w:r>
          </w:p>
        </w:tc>
      </w:tr>
      <w:tr w:rsidR="00FA31B4" w:rsidRPr="001609AD" w14:paraId="14EAF55D" w14:textId="77777777" w:rsidTr="000B112D">
        <w:trPr>
          <w:trHeight w:val="435"/>
          <w:jc w:val="center"/>
        </w:trPr>
        <w:tc>
          <w:tcPr>
            <w:tcW w:w="4770" w:type="dxa"/>
            <w:tcBorders>
              <w:top w:val="nil"/>
              <w:left w:val="nil"/>
              <w:right w:val="nil"/>
            </w:tcBorders>
            <w:vAlign w:val="bottom"/>
            <w:hideMark/>
          </w:tcPr>
          <w:p w14:paraId="57948F44"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Jail Management System Project</w:t>
            </w:r>
          </w:p>
        </w:tc>
        <w:tc>
          <w:tcPr>
            <w:tcW w:w="450" w:type="dxa"/>
            <w:tcBorders>
              <w:top w:val="nil"/>
              <w:left w:val="nil"/>
              <w:right w:val="nil"/>
            </w:tcBorders>
            <w:vAlign w:val="bottom"/>
          </w:tcPr>
          <w:p w14:paraId="7948F6B8"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nil"/>
              <w:left w:val="nil"/>
              <w:right w:val="nil"/>
            </w:tcBorders>
            <w:vAlign w:val="bottom"/>
            <w:hideMark/>
          </w:tcPr>
          <w:p w14:paraId="7F2DFAEF"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$4.0</w:t>
            </w:r>
          </w:p>
        </w:tc>
        <w:tc>
          <w:tcPr>
            <w:tcW w:w="270" w:type="dxa"/>
            <w:tcBorders>
              <w:top w:val="nil"/>
              <w:left w:val="nil"/>
              <w:right w:val="nil"/>
            </w:tcBorders>
            <w:vAlign w:val="bottom"/>
          </w:tcPr>
          <w:p w14:paraId="22009A0A"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top w:val="nil"/>
              <w:left w:val="nil"/>
              <w:right w:val="nil"/>
            </w:tcBorders>
            <w:vAlign w:val="bottom"/>
            <w:hideMark/>
          </w:tcPr>
          <w:p w14:paraId="0C2224D0"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sidRPr="001609AD">
              <w:rPr>
                <w:rFonts w:ascii="Arial" w:hAnsi="Arial" w:cs="Arial"/>
                <w:sz w:val="22"/>
                <w:szCs w:val="22"/>
              </w:rPr>
              <w:t>18835 &amp; 18766</w:t>
            </w:r>
          </w:p>
        </w:tc>
      </w:tr>
      <w:tr w:rsidR="00FA31B4" w:rsidRPr="001609AD" w14:paraId="3FF7E8C1" w14:textId="77777777" w:rsidTr="006B49B9">
        <w:trPr>
          <w:trHeight w:val="468"/>
          <w:jc w:val="center"/>
        </w:trPr>
        <w:tc>
          <w:tcPr>
            <w:tcW w:w="4770" w:type="dxa"/>
            <w:tcBorders>
              <w:left w:val="nil"/>
              <w:bottom w:val="single" w:sz="4" w:space="0" w:color="auto"/>
              <w:right w:val="nil"/>
            </w:tcBorders>
            <w:vAlign w:val="bottom"/>
          </w:tcPr>
          <w:p w14:paraId="14D3B44C" w14:textId="77777777" w:rsidR="00FA31B4" w:rsidRPr="001609AD" w:rsidRDefault="00FA31B4" w:rsidP="00E13E5D">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FMD Asset Management System Upgrade</w:t>
            </w:r>
          </w:p>
        </w:tc>
        <w:tc>
          <w:tcPr>
            <w:tcW w:w="450" w:type="dxa"/>
            <w:tcBorders>
              <w:left w:val="nil"/>
              <w:right w:val="nil"/>
            </w:tcBorders>
            <w:vAlign w:val="bottom"/>
          </w:tcPr>
          <w:p w14:paraId="18B89457"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tcBorders>
              <w:left w:val="nil"/>
              <w:bottom w:val="single" w:sz="4" w:space="0" w:color="auto"/>
              <w:right w:val="nil"/>
            </w:tcBorders>
            <w:vAlign w:val="bottom"/>
          </w:tcPr>
          <w:p w14:paraId="7C1F8114"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$0.8</w:t>
            </w:r>
          </w:p>
        </w:tc>
        <w:tc>
          <w:tcPr>
            <w:tcW w:w="270" w:type="dxa"/>
            <w:tcBorders>
              <w:left w:val="nil"/>
              <w:right w:val="nil"/>
            </w:tcBorders>
            <w:vAlign w:val="bottom"/>
          </w:tcPr>
          <w:p w14:paraId="5FA7D44D"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right w:val="nil"/>
            </w:tcBorders>
            <w:vAlign w:val="bottom"/>
          </w:tcPr>
          <w:p w14:paraId="44886783"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r w:rsidRPr="001609AD">
              <w:rPr>
                <w:rFonts w:ascii="Arial" w:hAnsi="Arial" w:cs="Arial"/>
                <w:sz w:val="22"/>
                <w:szCs w:val="22"/>
              </w:rPr>
              <w:t>18835</w:t>
            </w:r>
          </w:p>
        </w:tc>
      </w:tr>
      <w:tr w:rsidR="00FA31B4" w:rsidRPr="001609AD" w14:paraId="09CE7EE6" w14:textId="77777777" w:rsidTr="006B49B9">
        <w:trPr>
          <w:trHeight w:val="441"/>
          <w:jc w:val="center"/>
        </w:trPr>
        <w:tc>
          <w:tcPr>
            <w:tcW w:w="4770" w:type="dxa"/>
            <w:tcBorders>
              <w:top w:val="single" w:sz="4" w:space="0" w:color="auto"/>
              <w:left w:val="nil"/>
              <w:bottom w:val="double" w:sz="4" w:space="0" w:color="auto"/>
              <w:right w:val="nil"/>
            </w:tcBorders>
            <w:vAlign w:val="bottom"/>
          </w:tcPr>
          <w:p w14:paraId="67BB5EE3" w14:textId="42B9E180" w:rsidR="00FA31B4" w:rsidRPr="0083412E" w:rsidRDefault="00FA31B4" w:rsidP="00E13E5D">
            <w:pPr>
              <w:keepNext/>
              <w:widowControl w:val="0"/>
              <w:autoSpaceDE w:val="0"/>
              <w:autoSpaceDN w:val="0"/>
              <w:adjustRightInd w:val="0"/>
              <w:spacing w:line="264" w:lineRule="auto"/>
              <w:jc w:val="right"/>
              <w:rPr>
                <w:rFonts w:ascii="Arial" w:hAnsi="Arial" w:cs="Arial"/>
                <w:b/>
                <w:sz w:val="22"/>
                <w:szCs w:val="22"/>
              </w:rPr>
            </w:pPr>
            <w:r w:rsidRPr="0083412E">
              <w:rPr>
                <w:rFonts w:ascii="Arial" w:hAnsi="Arial" w:cs="Arial"/>
                <w:b/>
                <w:sz w:val="22"/>
                <w:szCs w:val="22"/>
              </w:rPr>
              <w:t>Projects Total</w:t>
            </w:r>
          </w:p>
        </w:tc>
        <w:tc>
          <w:tcPr>
            <w:tcW w:w="450" w:type="dxa"/>
            <w:tcBorders>
              <w:left w:val="nil"/>
              <w:right w:val="nil"/>
            </w:tcBorders>
          </w:tcPr>
          <w:p w14:paraId="1A341E9B" w14:textId="77777777" w:rsidR="00FA31B4" w:rsidRPr="0083412E" w:rsidRDefault="00FA31B4" w:rsidP="00E13E5D">
            <w:pPr>
              <w:keepNext/>
              <w:widowControl w:val="0"/>
              <w:autoSpaceDE w:val="0"/>
              <w:autoSpaceDN w:val="0"/>
              <w:adjustRightInd w:val="0"/>
              <w:spacing w:line="264" w:lineRule="auto"/>
              <w:jc w:val="center"/>
              <w:rPr>
                <w:rFonts w:ascii="Arial" w:hAnsi="Arial" w:cs="Arial"/>
                <w:b/>
                <w:sz w:val="22"/>
                <w:szCs w:val="22"/>
              </w:rPr>
            </w:pPr>
          </w:p>
        </w:tc>
        <w:tc>
          <w:tcPr>
            <w:tcW w:w="1260" w:type="dxa"/>
            <w:tcBorders>
              <w:top w:val="single" w:sz="4" w:space="0" w:color="auto"/>
              <w:left w:val="nil"/>
              <w:bottom w:val="double" w:sz="4" w:space="0" w:color="auto"/>
              <w:right w:val="nil"/>
            </w:tcBorders>
            <w:vAlign w:val="bottom"/>
          </w:tcPr>
          <w:p w14:paraId="5C86E89D" w14:textId="21B19281" w:rsidR="00FA31B4" w:rsidRPr="0083412E" w:rsidRDefault="00A176D5" w:rsidP="00E13E5D">
            <w:pPr>
              <w:keepNext/>
              <w:widowControl w:val="0"/>
              <w:autoSpaceDE w:val="0"/>
              <w:autoSpaceDN w:val="0"/>
              <w:adjustRightInd w:val="0"/>
              <w:spacing w:line="264" w:lineRule="auto"/>
              <w:jc w:val="right"/>
              <w:rPr>
                <w:rFonts w:ascii="Arial" w:hAnsi="Arial" w:cs="Arial"/>
                <w:b/>
                <w:sz w:val="22"/>
                <w:szCs w:val="22"/>
              </w:rPr>
            </w:pPr>
            <w:r w:rsidRPr="0083412E">
              <w:rPr>
                <w:rFonts w:ascii="Arial" w:hAnsi="Arial" w:cs="Arial"/>
                <w:b/>
                <w:sz w:val="22"/>
                <w:szCs w:val="22"/>
              </w:rPr>
              <w:t>$379.6</w:t>
            </w:r>
          </w:p>
        </w:tc>
        <w:tc>
          <w:tcPr>
            <w:tcW w:w="270" w:type="dxa"/>
            <w:tcBorders>
              <w:left w:val="nil"/>
              <w:right w:val="nil"/>
            </w:tcBorders>
            <w:vAlign w:val="bottom"/>
          </w:tcPr>
          <w:p w14:paraId="3E96B3BD"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right w:val="nil"/>
            </w:tcBorders>
            <w:vAlign w:val="bottom"/>
          </w:tcPr>
          <w:p w14:paraId="367A384C"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r>
      <w:tr w:rsidR="00FA31B4" w:rsidRPr="001609AD" w14:paraId="1EA2F9FE" w14:textId="77777777" w:rsidTr="006F2B38">
        <w:trPr>
          <w:trHeight w:val="441"/>
          <w:jc w:val="center"/>
        </w:trPr>
        <w:tc>
          <w:tcPr>
            <w:tcW w:w="4770" w:type="dxa"/>
            <w:tcBorders>
              <w:top w:val="double" w:sz="4" w:space="0" w:color="auto"/>
              <w:left w:val="nil"/>
              <w:right w:val="nil"/>
            </w:tcBorders>
            <w:vAlign w:val="bottom"/>
          </w:tcPr>
          <w:p w14:paraId="24A8F7A0"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 xml:space="preserve">Allowance for Financing Considerations </w:t>
            </w:r>
          </w:p>
        </w:tc>
        <w:tc>
          <w:tcPr>
            <w:tcW w:w="450" w:type="dxa"/>
            <w:tcBorders>
              <w:left w:val="nil"/>
              <w:right w:val="nil"/>
            </w:tcBorders>
          </w:tcPr>
          <w:p w14:paraId="013081DB"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260" w:type="dxa"/>
            <w:tcBorders>
              <w:top w:val="double" w:sz="4" w:space="0" w:color="auto"/>
              <w:left w:val="nil"/>
              <w:right w:val="nil"/>
            </w:tcBorders>
            <w:vAlign w:val="bottom"/>
          </w:tcPr>
          <w:p w14:paraId="3CF26209" w14:textId="77777777" w:rsidR="00FA31B4" w:rsidRPr="001609AD" w:rsidRDefault="00FA31B4" w:rsidP="00E13E5D">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$15.5</w:t>
            </w:r>
          </w:p>
        </w:tc>
        <w:tc>
          <w:tcPr>
            <w:tcW w:w="270" w:type="dxa"/>
            <w:tcBorders>
              <w:left w:val="nil"/>
              <w:right w:val="nil"/>
            </w:tcBorders>
            <w:vAlign w:val="bottom"/>
          </w:tcPr>
          <w:p w14:paraId="39A7C4F1"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right w:val="nil"/>
            </w:tcBorders>
            <w:vAlign w:val="bottom"/>
          </w:tcPr>
          <w:p w14:paraId="743B3667" w14:textId="69BAA4D0"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r>
      <w:tr w:rsidR="00FA31B4" w:rsidRPr="001609AD" w14:paraId="3D952736" w14:textId="77777777" w:rsidTr="0083412E">
        <w:trPr>
          <w:trHeight w:val="648"/>
          <w:jc w:val="center"/>
        </w:trPr>
        <w:tc>
          <w:tcPr>
            <w:tcW w:w="4770" w:type="dxa"/>
            <w:tcBorders>
              <w:left w:val="nil"/>
              <w:bottom w:val="single" w:sz="12" w:space="0" w:color="auto"/>
              <w:right w:val="nil"/>
            </w:tcBorders>
            <w:vAlign w:val="bottom"/>
          </w:tcPr>
          <w:p w14:paraId="21CACA61" w14:textId="77777777" w:rsidR="00FA31B4" w:rsidRDefault="00FA31B4" w:rsidP="00E13E5D">
            <w:pPr>
              <w:keepNext/>
              <w:widowControl w:val="0"/>
              <w:autoSpaceDE w:val="0"/>
              <w:autoSpaceDN w:val="0"/>
              <w:adjustRightInd w:val="0"/>
              <w:spacing w:line="264" w:lineRule="auto"/>
              <w:jc w:val="right"/>
              <w:rPr>
                <w:rFonts w:ascii="Arial" w:hAnsi="Arial" w:cs="Arial"/>
                <w:b/>
                <w:sz w:val="22"/>
                <w:szCs w:val="22"/>
              </w:rPr>
            </w:pPr>
            <w:r w:rsidRPr="00713EEB">
              <w:rPr>
                <w:rFonts w:ascii="Arial" w:hAnsi="Arial" w:cs="Arial"/>
                <w:b/>
                <w:sz w:val="22"/>
                <w:szCs w:val="22"/>
              </w:rPr>
              <w:t>Total Authorization Request</w:t>
            </w:r>
          </w:p>
          <w:p w14:paraId="6D5D4064" w14:textId="2AC6A593" w:rsidR="006F2B38" w:rsidRPr="0083412E" w:rsidRDefault="006F2B38" w:rsidP="00E13E5D">
            <w:pPr>
              <w:keepNext/>
              <w:widowControl w:val="0"/>
              <w:autoSpaceDE w:val="0"/>
              <w:autoSpaceDN w:val="0"/>
              <w:adjustRightInd w:val="0"/>
              <w:spacing w:line="264" w:lineRule="auto"/>
              <w:jc w:val="right"/>
              <w:rPr>
                <w:rFonts w:ascii="Arial" w:hAnsi="Arial" w:cs="Arial"/>
                <w:b/>
                <w:sz w:val="16"/>
                <w:szCs w:val="16"/>
              </w:rPr>
            </w:pPr>
          </w:p>
        </w:tc>
        <w:tc>
          <w:tcPr>
            <w:tcW w:w="450" w:type="dxa"/>
            <w:tcBorders>
              <w:left w:val="nil"/>
              <w:bottom w:val="single" w:sz="12" w:space="0" w:color="auto"/>
              <w:right w:val="nil"/>
            </w:tcBorders>
          </w:tcPr>
          <w:p w14:paraId="2D7C223B" w14:textId="77777777" w:rsidR="00FA31B4" w:rsidRPr="00713EEB" w:rsidRDefault="00FA31B4" w:rsidP="00E13E5D">
            <w:pPr>
              <w:keepNext/>
              <w:widowControl w:val="0"/>
              <w:autoSpaceDE w:val="0"/>
              <w:autoSpaceDN w:val="0"/>
              <w:adjustRightInd w:val="0"/>
              <w:spacing w:line="264" w:lineRule="auto"/>
              <w:jc w:val="center"/>
              <w:rPr>
                <w:rFonts w:ascii="Arial" w:hAnsi="Arial" w:cs="Arial"/>
                <w:b/>
                <w:sz w:val="22"/>
                <w:szCs w:val="22"/>
              </w:rPr>
            </w:pPr>
          </w:p>
        </w:tc>
        <w:tc>
          <w:tcPr>
            <w:tcW w:w="1260" w:type="dxa"/>
            <w:tcBorders>
              <w:left w:val="nil"/>
              <w:bottom w:val="single" w:sz="12" w:space="0" w:color="auto"/>
              <w:right w:val="nil"/>
            </w:tcBorders>
            <w:vAlign w:val="bottom"/>
          </w:tcPr>
          <w:p w14:paraId="761E6F54" w14:textId="77777777" w:rsidR="00FA31B4" w:rsidRDefault="00FA31B4" w:rsidP="00E13E5D">
            <w:pPr>
              <w:keepNext/>
              <w:widowControl w:val="0"/>
              <w:autoSpaceDE w:val="0"/>
              <w:autoSpaceDN w:val="0"/>
              <w:adjustRightInd w:val="0"/>
              <w:spacing w:line="264" w:lineRule="auto"/>
              <w:jc w:val="right"/>
              <w:rPr>
                <w:rFonts w:ascii="Arial" w:hAnsi="Arial" w:cs="Arial"/>
                <w:b/>
                <w:sz w:val="22"/>
                <w:szCs w:val="22"/>
              </w:rPr>
            </w:pPr>
            <w:r w:rsidRPr="00713EEB">
              <w:rPr>
                <w:rFonts w:ascii="Arial" w:hAnsi="Arial" w:cs="Arial"/>
                <w:b/>
                <w:sz w:val="22"/>
                <w:szCs w:val="22"/>
              </w:rPr>
              <w:t>$395.1</w:t>
            </w:r>
          </w:p>
          <w:p w14:paraId="0E3A0C7A" w14:textId="7BC2AAC6" w:rsidR="006F2B38" w:rsidRPr="0083412E" w:rsidRDefault="006F2B38" w:rsidP="00E13E5D">
            <w:pPr>
              <w:keepNext/>
              <w:widowControl w:val="0"/>
              <w:autoSpaceDE w:val="0"/>
              <w:autoSpaceDN w:val="0"/>
              <w:adjustRightInd w:val="0"/>
              <w:spacing w:line="264" w:lineRule="auto"/>
              <w:ind w:right="214"/>
              <w:jc w:val="right"/>
              <w:rPr>
                <w:rFonts w:ascii="Arial" w:hAnsi="Arial" w:cs="Arial"/>
                <w:b/>
                <w:sz w:val="16"/>
                <w:szCs w:val="16"/>
              </w:rPr>
            </w:pPr>
          </w:p>
        </w:tc>
        <w:tc>
          <w:tcPr>
            <w:tcW w:w="270" w:type="dxa"/>
            <w:tcBorders>
              <w:left w:val="nil"/>
              <w:bottom w:val="single" w:sz="12" w:space="0" w:color="auto"/>
              <w:right w:val="nil"/>
            </w:tcBorders>
            <w:vAlign w:val="bottom"/>
          </w:tcPr>
          <w:p w14:paraId="63FD4C08"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bottom w:val="single" w:sz="12" w:space="0" w:color="auto"/>
              <w:right w:val="nil"/>
            </w:tcBorders>
            <w:vAlign w:val="bottom"/>
          </w:tcPr>
          <w:p w14:paraId="075AB317" w14:textId="77777777" w:rsidR="00FA31B4" w:rsidRPr="001609AD" w:rsidRDefault="00FA31B4" w:rsidP="00E13E5D">
            <w:pPr>
              <w:keepNext/>
              <w:widowControl w:val="0"/>
              <w:autoSpaceDE w:val="0"/>
              <w:autoSpaceDN w:val="0"/>
              <w:adjustRightInd w:val="0"/>
              <w:spacing w:line="264" w:lineRule="auto"/>
              <w:jc w:val="center"/>
              <w:rPr>
                <w:rFonts w:ascii="Arial" w:hAnsi="Arial" w:cs="Arial"/>
                <w:sz w:val="22"/>
                <w:szCs w:val="22"/>
              </w:rPr>
            </w:pPr>
          </w:p>
        </w:tc>
      </w:tr>
    </w:tbl>
    <w:p w14:paraId="12E34797" w14:textId="36D6CF17" w:rsidR="00F85CAB" w:rsidRDefault="00F85CAB" w:rsidP="00E13E5D">
      <w:pPr>
        <w:pStyle w:val="BodyText"/>
        <w:keepNext/>
        <w:jc w:val="both"/>
        <w:rPr>
          <w:rFonts w:ascii="Arial" w:hAnsi="Arial" w:cs="Arial"/>
          <w:i w:val="0"/>
        </w:rPr>
      </w:pPr>
    </w:p>
    <w:p w14:paraId="69D37E5E" w14:textId="77777777" w:rsidR="00A176D5" w:rsidRDefault="00A176D5" w:rsidP="005B478C">
      <w:pPr>
        <w:pStyle w:val="BodyText"/>
        <w:jc w:val="both"/>
        <w:rPr>
          <w:rFonts w:ascii="Arial" w:hAnsi="Arial" w:cs="Arial"/>
          <w:i w:val="0"/>
        </w:rPr>
      </w:pPr>
    </w:p>
    <w:p w14:paraId="343E2242" w14:textId="28614608" w:rsidR="005E2D23" w:rsidRPr="006D6D9E" w:rsidRDefault="005E2D23" w:rsidP="00236D2E">
      <w:pPr>
        <w:spacing w:line="264" w:lineRule="auto"/>
        <w:jc w:val="both"/>
        <w:rPr>
          <w:rFonts w:ascii="Arial" w:hAnsi="Arial" w:cs="Arial"/>
        </w:rPr>
      </w:pPr>
      <w:r>
        <w:rPr>
          <w:rFonts w:ascii="Arial" w:hAnsi="Arial" w:cs="Arial"/>
        </w:rPr>
        <w:t xml:space="preserve">The </w:t>
      </w:r>
      <w:r w:rsidR="00A92904">
        <w:rPr>
          <w:rFonts w:ascii="Arial" w:hAnsi="Arial" w:cs="Arial"/>
        </w:rPr>
        <w:t>only project</w:t>
      </w:r>
      <w:r w:rsidRPr="006D6D9E">
        <w:rPr>
          <w:rFonts w:ascii="Arial" w:hAnsi="Arial" w:cs="Arial"/>
        </w:rPr>
        <w:t xml:space="preserve"> which </w:t>
      </w:r>
      <w:r w:rsidR="00A92904">
        <w:rPr>
          <w:rFonts w:ascii="Arial" w:hAnsi="Arial" w:cs="Arial"/>
        </w:rPr>
        <w:t>has</w:t>
      </w:r>
      <w:r>
        <w:rPr>
          <w:rFonts w:ascii="Arial" w:hAnsi="Arial" w:cs="Arial"/>
        </w:rPr>
        <w:t xml:space="preserve"> not yet received Council approval </w:t>
      </w:r>
      <w:r w:rsidR="00A92904">
        <w:rPr>
          <w:rFonts w:ascii="Arial" w:hAnsi="Arial" w:cs="Arial"/>
        </w:rPr>
        <w:t>is</w:t>
      </w:r>
      <w:r w:rsidRPr="006D6D9E">
        <w:rPr>
          <w:rFonts w:ascii="Arial" w:hAnsi="Arial" w:cs="Arial"/>
        </w:rPr>
        <w:t xml:space="preserve"> the </w:t>
      </w:r>
      <w:r w:rsidR="00ED2F5F">
        <w:rPr>
          <w:rFonts w:ascii="Arial" w:hAnsi="Arial" w:cs="Arial"/>
        </w:rPr>
        <w:t xml:space="preserve">King County International Airport </w:t>
      </w:r>
      <w:r w:rsidRPr="006D6D9E">
        <w:rPr>
          <w:rFonts w:ascii="Arial" w:hAnsi="Arial" w:cs="Arial"/>
        </w:rPr>
        <w:t>Forge Site acquisition. The Forge Site Acquisition</w:t>
      </w:r>
      <w:r w:rsidRPr="006D6D9E">
        <w:rPr>
          <w:rFonts w:ascii="Arial" w:hAnsi="Arial" w:cs="Arial"/>
          <w:vertAlign w:val="superscript"/>
        </w:rPr>
        <w:footnoteReference w:id="5"/>
      </w:r>
      <w:r w:rsidRPr="006D6D9E">
        <w:rPr>
          <w:rFonts w:ascii="Arial" w:hAnsi="Arial" w:cs="Arial"/>
        </w:rPr>
        <w:t xml:space="preserve"> was transmitted to Council in December 2020 and was heard in the Budget and Fiscal Management committee on February 26, 2020. </w:t>
      </w:r>
      <w:r w:rsidR="00F9115E">
        <w:rPr>
          <w:rFonts w:ascii="Arial" w:hAnsi="Arial" w:cs="Arial"/>
        </w:rPr>
        <w:t>Section 10 of th</w:t>
      </w:r>
      <w:r w:rsidR="00ED2F5F">
        <w:rPr>
          <w:rFonts w:ascii="Arial" w:hAnsi="Arial" w:cs="Arial"/>
        </w:rPr>
        <w:t>is</w:t>
      </w:r>
      <w:r w:rsidR="00F9115E">
        <w:rPr>
          <w:rFonts w:ascii="Arial" w:hAnsi="Arial" w:cs="Arial"/>
        </w:rPr>
        <w:t xml:space="preserve"> Proposed Ordinance restricts</w:t>
      </w:r>
      <w:r w:rsidR="00F9115E" w:rsidRPr="00F9115E">
        <w:t xml:space="preserve"> </w:t>
      </w:r>
      <w:r w:rsidR="00F9115E" w:rsidRPr="00F9115E">
        <w:rPr>
          <w:rFonts w:ascii="Arial" w:hAnsi="Arial" w:cs="Arial"/>
        </w:rPr>
        <w:t>the delegated authority of the Finance Director</w:t>
      </w:r>
      <w:r w:rsidR="00F9115E">
        <w:rPr>
          <w:rFonts w:ascii="Arial" w:hAnsi="Arial" w:cs="Arial"/>
        </w:rPr>
        <w:t xml:space="preserve"> so as to prohibit the sale of bonds for projects which</w:t>
      </w:r>
      <w:r w:rsidR="00F9115E" w:rsidRPr="00F9115E">
        <w:rPr>
          <w:rFonts w:ascii="Arial" w:hAnsi="Arial" w:cs="Arial"/>
        </w:rPr>
        <w:t xml:space="preserve"> have not been approved by Council</w:t>
      </w:r>
      <w:r w:rsidR="00F9115E">
        <w:rPr>
          <w:rFonts w:ascii="Arial" w:hAnsi="Arial" w:cs="Arial"/>
        </w:rPr>
        <w:t>.</w:t>
      </w:r>
      <w:r w:rsidR="00FB77FD">
        <w:rPr>
          <w:rFonts w:ascii="Arial" w:hAnsi="Arial" w:cs="Arial"/>
        </w:rPr>
        <w:t xml:space="preserve"> </w:t>
      </w:r>
      <w:r w:rsidR="00ED2F5F">
        <w:rPr>
          <w:rFonts w:ascii="Arial" w:hAnsi="Arial" w:cs="Arial"/>
        </w:rPr>
        <w:t>Since the bonds are sold in multiple series</w:t>
      </w:r>
      <w:r w:rsidR="00FB77FD">
        <w:rPr>
          <w:rFonts w:ascii="Arial" w:hAnsi="Arial" w:cs="Arial"/>
        </w:rPr>
        <w:t xml:space="preserve">, if the Council has not approved the Forge Site Acquisition by the first bond sale under this authorization, the project will be excluded from </w:t>
      </w:r>
      <w:r w:rsidR="00E67A91">
        <w:rPr>
          <w:rFonts w:ascii="Arial" w:hAnsi="Arial" w:cs="Arial"/>
        </w:rPr>
        <w:t>the</w:t>
      </w:r>
      <w:r w:rsidR="00FB77FD">
        <w:rPr>
          <w:rFonts w:ascii="Arial" w:hAnsi="Arial" w:cs="Arial"/>
        </w:rPr>
        <w:t xml:space="preserve"> initial sale and covered </w:t>
      </w:r>
      <w:r w:rsidR="00FB77FD">
        <w:rPr>
          <w:rFonts w:ascii="Arial" w:hAnsi="Arial" w:cs="Arial"/>
        </w:rPr>
        <w:lastRenderedPageBreak/>
        <w:t xml:space="preserve">under a subsequent sale </w:t>
      </w:r>
      <w:r w:rsidR="00281D23">
        <w:rPr>
          <w:rFonts w:ascii="Arial" w:hAnsi="Arial" w:cs="Arial"/>
        </w:rPr>
        <w:t>once the Council has approved the project’s authorizing legislation</w:t>
      </w:r>
      <w:r w:rsidR="00FB77FD">
        <w:rPr>
          <w:rFonts w:ascii="Arial" w:hAnsi="Arial" w:cs="Arial"/>
        </w:rPr>
        <w:t xml:space="preserve">. </w:t>
      </w:r>
    </w:p>
    <w:p w14:paraId="4EB50382" w14:textId="77777777" w:rsidR="005E2D23" w:rsidRDefault="005E2D23" w:rsidP="00236D2E">
      <w:pPr>
        <w:spacing w:line="264" w:lineRule="auto"/>
        <w:jc w:val="both"/>
        <w:rPr>
          <w:rFonts w:ascii="Arial" w:hAnsi="Arial" w:cs="Arial"/>
        </w:rPr>
      </w:pPr>
    </w:p>
    <w:p w14:paraId="115481A6" w14:textId="77777777" w:rsidR="00F85CAB" w:rsidRPr="00D73AEB" w:rsidRDefault="00B12A34" w:rsidP="00236D2E">
      <w:pPr>
        <w:spacing w:line="264" w:lineRule="auto"/>
        <w:jc w:val="both"/>
        <w:rPr>
          <w:rFonts w:ascii="Arial" w:hAnsi="Arial" w:cs="Arial"/>
        </w:rPr>
      </w:pPr>
      <w:r>
        <w:rPr>
          <w:rFonts w:ascii="Arial" w:hAnsi="Arial" w:cs="Arial"/>
        </w:rPr>
        <w:t>The financial considerations for this proposed ordinance includes an additional $4.1 million above the</w:t>
      </w:r>
      <w:r w:rsidR="00363380">
        <w:rPr>
          <w:rFonts w:ascii="Arial" w:hAnsi="Arial" w:cs="Arial"/>
        </w:rPr>
        <w:t xml:space="preserve"> typical 1 percent for the cost</w:t>
      </w:r>
      <w:r>
        <w:rPr>
          <w:rFonts w:ascii="Arial" w:hAnsi="Arial" w:cs="Arial"/>
        </w:rPr>
        <w:t xml:space="preserve"> of issuance and 2 percent contingency for the possibility </w:t>
      </w:r>
      <w:r w:rsidR="00363380">
        <w:rPr>
          <w:rFonts w:ascii="Arial" w:hAnsi="Arial" w:cs="Arial"/>
        </w:rPr>
        <w:t>of</w:t>
      </w:r>
      <w:r>
        <w:rPr>
          <w:rFonts w:ascii="Arial" w:hAnsi="Arial" w:cs="Arial"/>
        </w:rPr>
        <w:t xml:space="preserve"> bonds being issued at a discount.</w:t>
      </w:r>
      <w:r>
        <w:rPr>
          <w:rStyle w:val="FootnoteReference"/>
          <w:rFonts w:ascii="Arial" w:hAnsi="Arial" w:cs="Arial"/>
        </w:rPr>
        <w:footnoteReference w:id="6"/>
      </w:r>
      <w:r>
        <w:rPr>
          <w:rFonts w:ascii="Arial" w:hAnsi="Arial" w:cs="Arial"/>
        </w:rPr>
        <w:t xml:space="preserve"> According to the Executive, the additional $4.1 million is intended to cover interest payments on the portion of the bon</w:t>
      </w:r>
      <w:r w:rsidR="005E2D23">
        <w:rPr>
          <w:rFonts w:ascii="Arial" w:hAnsi="Arial" w:cs="Arial"/>
        </w:rPr>
        <w:t>ds dedicated to the Forge Site a</w:t>
      </w:r>
      <w:r w:rsidR="00363380">
        <w:rPr>
          <w:rFonts w:ascii="Arial" w:hAnsi="Arial" w:cs="Arial"/>
        </w:rPr>
        <w:t>cquisition project through 2021 so as</w:t>
      </w:r>
      <w:r>
        <w:rPr>
          <w:rFonts w:ascii="Arial" w:hAnsi="Arial" w:cs="Arial"/>
        </w:rPr>
        <w:t xml:space="preserve"> to avoid </w:t>
      </w:r>
      <w:r w:rsidR="00F25956">
        <w:rPr>
          <w:rFonts w:ascii="Arial" w:hAnsi="Arial" w:cs="Arial"/>
        </w:rPr>
        <w:t xml:space="preserve">making interim payments out of the General Fund before the Airport Fund can assume the liability. </w:t>
      </w:r>
      <w:r>
        <w:rPr>
          <w:rFonts w:ascii="Arial" w:hAnsi="Arial" w:cs="Arial"/>
        </w:rPr>
        <w:t xml:space="preserve"> </w:t>
      </w:r>
    </w:p>
    <w:p w14:paraId="71FE7499" w14:textId="77777777" w:rsidR="00D73AEB" w:rsidRPr="002E3FEB" w:rsidRDefault="00D73AEB" w:rsidP="00236D2E">
      <w:pPr>
        <w:spacing w:line="264" w:lineRule="auto"/>
        <w:jc w:val="both"/>
        <w:rPr>
          <w:rFonts w:ascii="Arial" w:hAnsi="Arial" w:cs="Arial"/>
          <w:highlight w:val="yellow"/>
        </w:rPr>
      </w:pPr>
    </w:p>
    <w:p w14:paraId="49CC13BB" w14:textId="0DD3DAD1" w:rsidR="00575B03" w:rsidRDefault="00F25956" w:rsidP="00236D2E">
      <w:pPr>
        <w:pStyle w:val="BodyText"/>
        <w:spacing w:line="264" w:lineRule="auto"/>
        <w:jc w:val="both"/>
        <w:rPr>
          <w:rFonts w:ascii="Arial" w:hAnsi="Arial" w:cs="Arial"/>
          <w:i w:val="0"/>
        </w:rPr>
      </w:pPr>
      <w:r w:rsidRPr="00F25956">
        <w:rPr>
          <w:rFonts w:ascii="Arial" w:hAnsi="Arial" w:cs="Arial"/>
          <w:i w:val="0"/>
        </w:rPr>
        <w:t>The exact terms of the bonds, which will be sold in multiple series, will be established by the King County Finance Director in consultation with the County’s Financial Advisor</w:t>
      </w:r>
      <w:r w:rsidR="006073C1">
        <w:rPr>
          <w:rFonts w:ascii="Arial" w:hAnsi="Arial" w:cs="Arial"/>
          <w:i w:val="0"/>
        </w:rPr>
        <w:t>. According to the Executive, t</w:t>
      </w:r>
      <w:r w:rsidR="006073C1" w:rsidRPr="006073C1">
        <w:rPr>
          <w:rFonts w:ascii="Arial" w:hAnsi="Arial" w:cs="Arial"/>
          <w:i w:val="0"/>
        </w:rPr>
        <w:t xml:space="preserve">he </w:t>
      </w:r>
      <w:r w:rsidR="006073C1">
        <w:rPr>
          <w:rFonts w:ascii="Arial" w:hAnsi="Arial" w:cs="Arial"/>
          <w:i w:val="0"/>
        </w:rPr>
        <w:t xml:space="preserve">first </w:t>
      </w:r>
      <w:r w:rsidR="006073C1" w:rsidRPr="006073C1">
        <w:rPr>
          <w:rFonts w:ascii="Arial" w:hAnsi="Arial" w:cs="Arial"/>
          <w:i w:val="0"/>
        </w:rPr>
        <w:t>bond sale</w:t>
      </w:r>
      <w:r w:rsidR="006073C1">
        <w:rPr>
          <w:rFonts w:ascii="Arial" w:hAnsi="Arial" w:cs="Arial"/>
          <w:i w:val="0"/>
        </w:rPr>
        <w:t xml:space="preserve"> issuance pursuant to this proposed ordinance is</w:t>
      </w:r>
      <w:r w:rsidR="006073C1" w:rsidRPr="006073C1">
        <w:rPr>
          <w:rFonts w:ascii="Arial" w:hAnsi="Arial" w:cs="Arial"/>
          <w:i w:val="0"/>
        </w:rPr>
        <w:t xml:space="preserve"> currently expected to occur i</w:t>
      </w:r>
      <w:r w:rsidR="006073C1">
        <w:rPr>
          <w:rFonts w:ascii="Arial" w:hAnsi="Arial" w:cs="Arial"/>
          <w:i w:val="0"/>
        </w:rPr>
        <w:t xml:space="preserve">n </w:t>
      </w:r>
      <w:r w:rsidR="00FB77FD">
        <w:rPr>
          <w:rFonts w:ascii="Arial" w:hAnsi="Arial" w:cs="Arial"/>
          <w:i w:val="0"/>
        </w:rPr>
        <w:t>October</w:t>
      </w:r>
      <w:r w:rsidR="006073C1">
        <w:rPr>
          <w:rFonts w:ascii="Arial" w:hAnsi="Arial" w:cs="Arial"/>
          <w:i w:val="0"/>
        </w:rPr>
        <w:t xml:space="preserve"> 2020</w:t>
      </w:r>
      <w:r w:rsidR="006073C1" w:rsidRPr="006073C1">
        <w:rPr>
          <w:rFonts w:ascii="Arial" w:hAnsi="Arial" w:cs="Arial"/>
          <w:i w:val="0"/>
        </w:rPr>
        <w:t xml:space="preserve">. The bond sale would need to be approved by the </w:t>
      </w:r>
      <w:r w:rsidR="006073C1">
        <w:rPr>
          <w:rFonts w:ascii="Arial" w:hAnsi="Arial" w:cs="Arial"/>
          <w:i w:val="0"/>
        </w:rPr>
        <w:t>Council on the day of the sale</w:t>
      </w:r>
      <w:r w:rsidR="00005A80">
        <w:rPr>
          <w:rFonts w:ascii="Arial" w:hAnsi="Arial" w:cs="Arial"/>
          <w:i w:val="0"/>
        </w:rPr>
        <w:t xml:space="preserve"> via Motion as per the provisions include in the Proposed Ordinance</w:t>
      </w:r>
      <w:r w:rsidR="006073C1">
        <w:rPr>
          <w:rFonts w:ascii="Arial" w:hAnsi="Arial" w:cs="Arial"/>
          <w:i w:val="0"/>
        </w:rPr>
        <w:t>.</w:t>
      </w:r>
      <w:r w:rsidR="006073C1" w:rsidRPr="006073C1">
        <w:rPr>
          <w:rFonts w:ascii="Arial" w:hAnsi="Arial" w:cs="Arial"/>
          <w:i w:val="0"/>
        </w:rPr>
        <w:t xml:space="preserve"> Council staff will review the bond sale results to assure the sale complies with the Debt Management Policy.</w:t>
      </w:r>
      <w:r w:rsidR="006073C1" w:rsidRPr="006073C1">
        <w:rPr>
          <w:rFonts w:ascii="Arial" w:hAnsi="Arial" w:cs="Arial"/>
          <w:i w:val="0"/>
          <w:vertAlign w:val="superscript"/>
        </w:rPr>
        <w:footnoteReference w:id="7"/>
      </w:r>
    </w:p>
    <w:p w14:paraId="351DDA68" w14:textId="77777777" w:rsidR="00F21D0D" w:rsidRPr="00F25956" w:rsidRDefault="00F21D0D" w:rsidP="00236D2E">
      <w:pPr>
        <w:pStyle w:val="BodyText"/>
        <w:spacing w:line="264" w:lineRule="auto"/>
        <w:jc w:val="both"/>
        <w:rPr>
          <w:rFonts w:ascii="Arial" w:hAnsi="Arial" w:cs="Arial"/>
          <w:i w:val="0"/>
          <w:szCs w:val="24"/>
        </w:rPr>
      </w:pPr>
    </w:p>
    <w:p w14:paraId="555089B8" w14:textId="77777777" w:rsidR="00363380" w:rsidRPr="00363380" w:rsidRDefault="00363380" w:rsidP="00236D2E">
      <w:pPr>
        <w:spacing w:line="264" w:lineRule="auto"/>
        <w:jc w:val="both"/>
        <w:rPr>
          <w:rFonts w:ascii="Arial" w:hAnsi="Arial" w:cs="Arial"/>
          <w:b/>
          <w:szCs w:val="24"/>
          <w:u w:val="single"/>
        </w:rPr>
      </w:pPr>
      <w:r w:rsidRPr="00363380">
        <w:rPr>
          <w:rFonts w:ascii="Arial" w:hAnsi="Arial" w:cs="Arial"/>
          <w:b/>
          <w:szCs w:val="24"/>
          <w:u w:val="single"/>
        </w:rPr>
        <w:t xml:space="preserve">AMENDMENTS </w:t>
      </w:r>
    </w:p>
    <w:p w14:paraId="0DC02BB1" w14:textId="77777777" w:rsidR="00363380" w:rsidRDefault="00363380" w:rsidP="00236D2E">
      <w:pPr>
        <w:spacing w:line="264" w:lineRule="auto"/>
        <w:jc w:val="both"/>
        <w:rPr>
          <w:rFonts w:ascii="Arial" w:hAnsi="Arial" w:cs="Arial"/>
          <w:szCs w:val="24"/>
        </w:rPr>
      </w:pPr>
    </w:p>
    <w:p w14:paraId="2058E298" w14:textId="10B0F9A3" w:rsidR="007A1B54" w:rsidRDefault="00A176D5" w:rsidP="00236D2E">
      <w:pPr>
        <w:spacing w:line="264" w:lineRule="auto"/>
        <w:jc w:val="both"/>
        <w:rPr>
          <w:rFonts w:ascii="Arial" w:hAnsi="Arial" w:cs="Arial"/>
          <w:szCs w:val="24"/>
        </w:rPr>
      </w:pPr>
      <w:r>
        <w:rPr>
          <w:rFonts w:ascii="Arial" w:hAnsi="Arial" w:cs="Arial"/>
          <w:szCs w:val="24"/>
        </w:rPr>
        <w:t xml:space="preserve">Striking </w:t>
      </w:r>
      <w:r w:rsidR="00363380" w:rsidRPr="00EA2100">
        <w:rPr>
          <w:rFonts w:ascii="Arial" w:hAnsi="Arial" w:cs="Arial"/>
          <w:szCs w:val="24"/>
        </w:rPr>
        <w:t>A</w:t>
      </w:r>
      <w:r w:rsidR="00363380">
        <w:rPr>
          <w:rFonts w:ascii="Arial" w:hAnsi="Arial" w:cs="Arial"/>
          <w:szCs w:val="24"/>
        </w:rPr>
        <w:t xml:space="preserve">mendment </w:t>
      </w:r>
      <w:r w:rsidR="008F4D9C">
        <w:rPr>
          <w:rFonts w:ascii="Arial" w:hAnsi="Arial" w:cs="Arial"/>
          <w:szCs w:val="24"/>
        </w:rPr>
        <w:t>S</w:t>
      </w:r>
      <w:r w:rsidR="00284A98">
        <w:rPr>
          <w:rFonts w:ascii="Arial" w:hAnsi="Arial" w:cs="Arial"/>
          <w:szCs w:val="24"/>
        </w:rPr>
        <w:t>1</w:t>
      </w:r>
      <w:r w:rsidR="00363380">
        <w:rPr>
          <w:rFonts w:ascii="Arial" w:hAnsi="Arial" w:cs="Arial"/>
          <w:szCs w:val="24"/>
        </w:rPr>
        <w:t xml:space="preserve"> </w:t>
      </w:r>
      <w:r w:rsidR="00284A98">
        <w:rPr>
          <w:rFonts w:ascii="Arial" w:hAnsi="Arial" w:cs="Arial"/>
          <w:szCs w:val="24"/>
        </w:rPr>
        <w:t>would make a number of substantive changes to the proposed ordinance</w:t>
      </w:r>
      <w:r w:rsidR="007A1B54">
        <w:rPr>
          <w:rFonts w:ascii="Arial" w:hAnsi="Arial" w:cs="Arial"/>
          <w:szCs w:val="24"/>
        </w:rPr>
        <w:t xml:space="preserve"> including:</w:t>
      </w:r>
      <w:r w:rsidR="00284A98">
        <w:rPr>
          <w:rFonts w:ascii="Arial" w:hAnsi="Arial" w:cs="Arial"/>
          <w:szCs w:val="24"/>
        </w:rPr>
        <w:t xml:space="preserve"> </w:t>
      </w:r>
    </w:p>
    <w:p w14:paraId="4CAAF628" w14:textId="77777777" w:rsidR="00A3335A" w:rsidRDefault="00005A80" w:rsidP="00ED2644">
      <w:pPr>
        <w:pStyle w:val="ListParagraph0"/>
        <w:numPr>
          <w:ilvl w:val="0"/>
          <w:numId w:val="46"/>
        </w:numPr>
        <w:spacing w:line="264" w:lineRule="auto"/>
        <w:jc w:val="both"/>
        <w:rPr>
          <w:rFonts w:ascii="Arial" w:hAnsi="Arial" w:cs="Arial"/>
        </w:rPr>
      </w:pPr>
      <w:r w:rsidRPr="00A3335A">
        <w:rPr>
          <w:rFonts w:ascii="Arial" w:hAnsi="Arial" w:cs="Arial"/>
        </w:rPr>
        <w:t>Reducing the total bond authorization from $</w:t>
      </w:r>
      <w:r w:rsidR="00A3335A">
        <w:rPr>
          <w:rFonts w:ascii="Arial" w:hAnsi="Arial" w:cs="Arial"/>
        </w:rPr>
        <w:t xml:space="preserve">395 million to $150 million; </w:t>
      </w:r>
    </w:p>
    <w:p w14:paraId="0CF9AB07" w14:textId="7AFCBB50" w:rsidR="007A1B54" w:rsidRPr="00A3335A" w:rsidRDefault="007A1B54" w:rsidP="00ED2644">
      <w:pPr>
        <w:pStyle w:val="ListParagraph0"/>
        <w:numPr>
          <w:ilvl w:val="0"/>
          <w:numId w:val="46"/>
        </w:numPr>
        <w:spacing w:line="264" w:lineRule="auto"/>
        <w:jc w:val="both"/>
        <w:rPr>
          <w:rFonts w:ascii="Arial" w:hAnsi="Arial" w:cs="Arial"/>
        </w:rPr>
      </w:pPr>
      <w:r w:rsidRPr="00A3335A">
        <w:rPr>
          <w:rFonts w:ascii="Arial" w:hAnsi="Arial" w:cs="Arial"/>
        </w:rPr>
        <w:t>Removing</w:t>
      </w:r>
      <w:r w:rsidR="00284A98" w:rsidRPr="00A3335A">
        <w:rPr>
          <w:rFonts w:ascii="Arial" w:hAnsi="Arial" w:cs="Arial"/>
        </w:rPr>
        <w:t xml:space="preserve"> the </w:t>
      </w:r>
      <w:proofErr w:type="spellStart"/>
      <w:r w:rsidR="00284A98" w:rsidRPr="00A3335A">
        <w:rPr>
          <w:rFonts w:ascii="Arial" w:hAnsi="Arial" w:cs="Arial"/>
        </w:rPr>
        <w:t>Yesler</w:t>
      </w:r>
      <w:proofErr w:type="spellEnd"/>
      <w:r w:rsidR="00284A98" w:rsidRPr="00A3335A">
        <w:rPr>
          <w:rFonts w:ascii="Arial" w:hAnsi="Arial" w:cs="Arial"/>
        </w:rPr>
        <w:t xml:space="preserve"> Building Tenant Improvement Project from the list of projects authorized to receive bond proceeds</w:t>
      </w:r>
      <w:r w:rsidRPr="00A3335A">
        <w:rPr>
          <w:rFonts w:ascii="Arial" w:hAnsi="Arial" w:cs="Arial"/>
        </w:rPr>
        <w:t>;</w:t>
      </w:r>
      <w:r w:rsidR="00005A80" w:rsidRPr="00A3335A">
        <w:rPr>
          <w:rFonts w:ascii="Arial" w:hAnsi="Arial" w:cs="Arial"/>
        </w:rPr>
        <w:t xml:space="preserve"> and</w:t>
      </w:r>
    </w:p>
    <w:p w14:paraId="1156FA0D" w14:textId="717E910E" w:rsidR="00363380" w:rsidRDefault="00005A80" w:rsidP="00C63732">
      <w:pPr>
        <w:pStyle w:val="ListParagraph0"/>
        <w:numPr>
          <w:ilvl w:val="0"/>
          <w:numId w:val="46"/>
        </w:numPr>
        <w:spacing w:line="264" w:lineRule="auto"/>
        <w:jc w:val="both"/>
        <w:rPr>
          <w:rFonts w:ascii="Arial" w:hAnsi="Arial" w:cs="Arial"/>
        </w:rPr>
      </w:pPr>
      <w:r w:rsidRPr="007A1B54">
        <w:rPr>
          <w:rFonts w:ascii="Arial" w:hAnsi="Arial" w:cs="Arial"/>
        </w:rPr>
        <w:t>Add</w:t>
      </w:r>
      <w:r>
        <w:rPr>
          <w:rFonts w:ascii="Arial" w:hAnsi="Arial" w:cs="Arial"/>
        </w:rPr>
        <w:t>ing</w:t>
      </w:r>
      <w:r w:rsidRPr="007A1B54">
        <w:rPr>
          <w:rFonts w:ascii="Arial" w:hAnsi="Arial" w:cs="Arial"/>
        </w:rPr>
        <w:t xml:space="preserve"> </w:t>
      </w:r>
      <w:r w:rsidR="00284A98" w:rsidRPr="007A1B54">
        <w:rPr>
          <w:rFonts w:ascii="Arial" w:hAnsi="Arial" w:cs="Arial"/>
        </w:rPr>
        <w:t>language which would allow the Executive to issue Tax-Exempt Bonds as tax-advantaged bonds eligible for federal tax credits, a federal interest subsidy, or other subsidies.</w:t>
      </w:r>
    </w:p>
    <w:p w14:paraId="50C38F80" w14:textId="77777777" w:rsidR="00281D23" w:rsidRDefault="00281D23" w:rsidP="00236D2E">
      <w:pPr>
        <w:spacing w:line="264" w:lineRule="auto"/>
        <w:jc w:val="both"/>
      </w:pPr>
    </w:p>
    <w:p w14:paraId="796505FA" w14:textId="4CFA30F0" w:rsidR="00281D23" w:rsidRPr="00281D23" w:rsidRDefault="00281D23" w:rsidP="00236D2E">
      <w:pPr>
        <w:spacing w:line="264" w:lineRule="auto"/>
        <w:jc w:val="both"/>
        <w:rPr>
          <w:rFonts w:ascii="Arial" w:hAnsi="Arial" w:cs="Arial"/>
          <w:szCs w:val="24"/>
        </w:rPr>
      </w:pPr>
      <w:r w:rsidRPr="00281D23">
        <w:rPr>
          <w:rFonts w:ascii="Arial" w:hAnsi="Arial" w:cs="Arial"/>
          <w:szCs w:val="24"/>
        </w:rPr>
        <w:t xml:space="preserve">According to the Executive, </w:t>
      </w:r>
      <w:r>
        <w:rPr>
          <w:rFonts w:ascii="Arial" w:hAnsi="Arial" w:cs="Arial"/>
          <w:szCs w:val="24"/>
        </w:rPr>
        <w:t>due to</w:t>
      </w:r>
      <w:r w:rsidRPr="00281D23">
        <w:rPr>
          <w:rFonts w:ascii="Arial" w:hAnsi="Arial" w:cs="Arial"/>
          <w:szCs w:val="24"/>
        </w:rPr>
        <w:t xml:space="preserve"> budget shortfalls and the increased and likely long term reliance on telecommuting option</w:t>
      </w:r>
      <w:r>
        <w:rPr>
          <w:rFonts w:ascii="Arial" w:hAnsi="Arial" w:cs="Arial"/>
          <w:szCs w:val="24"/>
        </w:rPr>
        <w:t xml:space="preserve"> </w:t>
      </w:r>
      <w:r w:rsidRPr="00281D23">
        <w:rPr>
          <w:rFonts w:ascii="Arial" w:hAnsi="Arial" w:cs="Arial"/>
          <w:szCs w:val="24"/>
        </w:rPr>
        <w:t xml:space="preserve">there is less need for existing office space and less need for additional Yesler </w:t>
      </w:r>
      <w:r w:rsidR="00005A80">
        <w:rPr>
          <w:rFonts w:ascii="Arial" w:hAnsi="Arial" w:cs="Arial"/>
          <w:szCs w:val="24"/>
        </w:rPr>
        <w:t xml:space="preserve">Building </w:t>
      </w:r>
      <w:r w:rsidRPr="00281D23">
        <w:rPr>
          <w:rFonts w:ascii="Arial" w:hAnsi="Arial" w:cs="Arial"/>
          <w:szCs w:val="24"/>
        </w:rPr>
        <w:t>office space.</w:t>
      </w:r>
      <w:r>
        <w:rPr>
          <w:rFonts w:ascii="Arial" w:hAnsi="Arial" w:cs="Arial"/>
          <w:szCs w:val="24"/>
        </w:rPr>
        <w:t xml:space="preserve"> Therefore, the Executive has made the</w:t>
      </w:r>
      <w:r w:rsidRPr="00281D23">
        <w:rPr>
          <w:rFonts w:ascii="Arial" w:hAnsi="Arial" w:cs="Arial"/>
          <w:szCs w:val="24"/>
        </w:rPr>
        <w:t xml:space="preserve"> decision to postpone tenant improvement work on the Yesler Building</w:t>
      </w:r>
      <w:r>
        <w:rPr>
          <w:rFonts w:ascii="Arial" w:hAnsi="Arial" w:cs="Arial"/>
          <w:szCs w:val="24"/>
        </w:rPr>
        <w:t xml:space="preserve">. </w:t>
      </w:r>
    </w:p>
    <w:p w14:paraId="33A337EA" w14:textId="77777777" w:rsidR="007A1B54" w:rsidRDefault="007A1B54" w:rsidP="00236D2E">
      <w:pPr>
        <w:spacing w:line="264" w:lineRule="auto"/>
        <w:jc w:val="both"/>
        <w:rPr>
          <w:rFonts w:ascii="Arial" w:hAnsi="Arial" w:cs="Arial"/>
          <w:szCs w:val="24"/>
        </w:rPr>
      </w:pPr>
    </w:p>
    <w:p w14:paraId="17A4DBA9" w14:textId="43E95008" w:rsidR="007A1B54" w:rsidRDefault="007A1B54" w:rsidP="00005A80">
      <w:pPr>
        <w:keepNext/>
        <w:spacing w:line="264" w:lineRule="auto"/>
        <w:jc w:val="both"/>
        <w:rPr>
          <w:rFonts w:ascii="Arial" w:hAnsi="Arial" w:cs="Arial"/>
          <w:szCs w:val="24"/>
        </w:rPr>
      </w:pPr>
      <w:r>
        <w:rPr>
          <w:rFonts w:ascii="Arial" w:hAnsi="Arial" w:cs="Arial"/>
          <w:szCs w:val="24"/>
        </w:rPr>
        <w:lastRenderedPageBreak/>
        <w:t xml:space="preserve">Table </w:t>
      </w:r>
      <w:r w:rsidR="00005A80">
        <w:rPr>
          <w:rFonts w:ascii="Arial" w:hAnsi="Arial" w:cs="Arial"/>
          <w:szCs w:val="24"/>
        </w:rPr>
        <w:t>2</w:t>
      </w:r>
      <w:r>
        <w:rPr>
          <w:rFonts w:ascii="Arial" w:hAnsi="Arial" w:cs="Arial"/>
          <w:szCs w:val="24"/>
        </w:rPr>
        <w:t xml:space="preserve"> below compares the projects </w:t>
      </w:r>
      <w:r w:rsidR="00005A80">
        <w:rPr>
          <w:rFonts w:ascii="Arial" w:hAnsi="Arial" w:cs="Arial"/>
          <w:szCs w:val="24"/>
        </w:rPr>
        <w:t>included in the underlying proposed ordinance versus Striking Amendment</w:t>
      </w:r>
      <w:r>
        <w:rPr>
          <w:rFonts w:ascii="Arial" w:hAnsi="Arial" w:cs="Arial"/>
          <w:szCs w:val="24"/>
        </w:rPr>
        <w:t xml:space="preserve"> S1. </w:t>
      </w:r>
    </w:p>
    <w:p w14:paraId="2A8B9918" w14:textId="2423B12F" w:rsidR="007A1B54" w:rsidRDefault="007A1B54" w:rsidP="00005A80">
      <w:pPr>
        <w:keepNext/>
        <w:spacing w:line="264" w:lineRule="auto"/>
        <w:rPr>
          <w:rFonts w:ascii="Arial" w:hAnsi="Arial" w:cs="Arial"/>
          <w:szCs w:val="24"/>
        </w:rPr>
      </w:pPr>
    </w:p>
    <w:p w14:paraId="255B54E2" w14:textId="68B02A28" w:rsidR="00A176D5" w:rsidRDefault="00A176D5" w:rsidP="00005A80">
      <w:pPr>
        <w:keepNext/>
        <w:jc w:val="center"/>
        <w:rPr>
          <w:rFonts w:ascii="Arial" w:hAnsi="Arial" w:cs="Arial"/>
          <w:b/>
          <w:szCs w:val="24"/>
        </w:rPr>
      </w:pPr>
      <w:r>
        <w:rPr>
          <w:rFonts w:ascii="Arial" w:hAnsi="Arial" w:cs="Arial"/>
          <w:b/>
        </w:rPr>
        <w:t xml:space="preserve">Table </w:t>
      </w:r>
      <w:r w:rsidR="00005A80">
        <w:rPr>
          <w:rFonts w:ascii="Arial" w:hAnsi="Arial" w:cs="Arial"/>
          <w:b/>
        </w:rPr>
        <w:t>2</w:t>
      </w:r>
      <w:r>
        <w:rPr>
          <w:rFonts w:ascii="Arial" w:hAnsi="Arial" w:cs="Arial"/>
          <w:b/>
        </w:rPr>
        <w:t xml:space="preserve">.  </w:t>
      </w:r>
      <w:r>
        <w:rPr>
          <w:rFonts w:ascii="Arial" w:hAnsi="Arial" w:cs="Arial"/>
          <w:b/>
          <w:szCs w:val="24"/>
        </w:rPr>
        <w:t>Projects Financed</w:t>
      </w:r>
      <w:r w:rsidRPr="007A1B54">
        <w:rPr>
          <w:rFonts w:ascii="Arial" w:hAnsi="Arial" w:cs="Arial"/>
          <w:b/>
          <w:szCs w:val="24"/>
        </w:rPr>
        <w:t xml:space="preserve"> in Proposed Ordinance 2020-0104 versus </w:t>
      </w:r>
    </w:p>
    <w:p w14:paraId="2B4E4E34" w14:textId="518CE5DE" w:rsidR="00A176D5" w:rsidRDefault="00A176D5" w:rsidP="00005A80">
      <w:pPr>
        <w:keepNext/>
        <w:jc w:val="center"/>
        <w:rPr>
          <w:rFonts w:ascii="Arial" w:hAnsi="Arial" w:cs="Arial"/>
          <w:b/>
          <w:szCs w:val="24"/>
        </w:rPr>
      </w:pPr>
      <w:r>
        <w:rPr>
          <w:rFonts w:ascii="Arial" w:hAnsi="Arial" w:cs="Arial"/>
          <w:b/>
          <w:szCs w:val="24"/>
        </w:rPr>
        <w:t xml:space="preserve">Striking Amendment </w:t>
      </w:r>
      <w:r w:rsidRPr="007A1B54">
        <w:rPr>
          <w:rFonts w:ascii="Arial" w:hAnsi="Arial" w:cs="Arial"/>
          <w:b/>
          <w:szCs w:val="24"/>
        </w:rPr>
        <w:t>S1</w:t>
      </w:r>
      <w:r>
        <w:rPr>
          <w:rFonts w:ascii="Arial" w:hAnsi="Arial" w:cs="Arial"/>
          <w:b/>
          <w:szCs w:val="24"/>
        </w:rPr>
        <w:t xml:space="preserve"> (in millions)</w:t>
      </w:r>
    </w:p>
    <w:p w14:paraId="59495D46" w14:textId="77777777" w:rsidR="00A176D5" w:rsidRPr="00BB6F7D" w:rsidRDefault="00A176D5" w:rsidP="00005A80">
      <w:pPr>
        <w:keepNext/>
        <w:jc w:val="center"/>
        <w:rPr>
          <w:rFonts w:ascii="Arial" w:hAnsi="Arial" w:cs="Arial"/>
          <w:b/>
          <w:szCs w:val="24"/>
        </w:rPr>
      </w:pPr>
    </w:p>
    <w:tbl>
      <w:tblPr>
        <w:tblW w:w="8820" w:type="dxa"/>
        <w:jc w:val="center"/>
        <w:tblLook w:val="04A0" w:firstRow="1" w:lastRow="0" w:firstColumn="1" w:lastColumn="0" w:noHBand="0" w:noVBand="1"/>
      </w:tblPr>
      <w:tblGrid>
        <w:gridCol w:w="4680"/>
        <w:gridCol w:w="270"/>
        <w:gridCol w:w="1710"/>
        <w:gridCol w:w="270"/>
        <w:gridCol w:w="1890"/>
      </w:tblGrid>
      <w:tr w:rsidR="00A176D5" w:rsidRPr="001609AD" w14:paraId="55B4F8EB" w14:textId="77777777" w:rsidTr="00A176D5">
        <w:trPr>
          <w:trHeight w:val="600"/>
          <w:jc w:val="center"/>
        </w:trPr>
        <w:tc>
          <w:tcPr>
            <w:tcW w:w="4680" w:type="dxa"/>
            <w:tcBorders>
              <w:top w:val="single" w:sz="12" w:space="0" w:color="auto"/>
              <w:left w:val="nil"/>
              <w:bottom w:val="single" w:sz="4" w:space="0" w:color="auto"/>
              <w:right w:val="nil"/>
            </w:tcBorders>
            <w:vAlign w:val="bottom"/>
            <w:hideMark/>
          </w:tcPr>
          <w:p w14:paraId="761AE167" w14:textId="77777777" w:rsidR="00A176D5" w:rsidRPr="001609AD" w:rsidRDefault="00A176D5" w:rsidP="00005A80">
            <w:pPr>
              <w:keepNext/>
              <w:widowControl w:val="0"/>
              <w:autoSpaceDE w:val="0"/>
              <w:autoSpaceDN w:val="0"/>
              <w:adjustRightInd w:val="0"/>
              <w:spacing w:line="264" w:lineRule="auto"/>
              <w:jc w:val="center"/>
              <w:rPr>
                <w:rFonts w:ascii="Arial" w:hAnsi="Arial" w:cs="Arial"/>
                <w:b/>
                <w:bCs/>
                <w:sz w:val="22"/>
                <w:szCs w:val="22"/>
              </w:rPr>
            </w:pPr>
            <w:r w:rsidRPr="001609AD">
              <w:rPr>
                <w:rFonts w:ascii="Arial" w:hAnsi="Arial" w:cs="Arial"/>
                <w:b/>
                <w:bCs/>
                <w:sz w:val="22"/>
                <w:szCs w:val="22"/>
              </w:rPr>
              <w:t>Project Name</w:t>
            </w:r>
          </w:p>
        </w:tc>
        <w:tc>
          <w:tcPr>
            <w:tcW w:w="270" w:type="dxa"/>
            <w:tcBorders>
              <w:top w:val="single" w:sz="12" w:space="0" w:color="auto"/>
              <w:left w:val="nil"/>
              <w:bottom w:val="nil"/>
              <w:right w:val="nil"/>
            </w:tcBorders>
            <w:vAlign w:val="bottom"/>
          </w:tcPr>
          <w:p w14:paraId="00461552" w14:textId="77777777" w:rsidR="00A176D5" w:rsidRPr="001609AD" w:rsidRDefault="00A176D5" w:rsidP="00005A80">
            <w:pPr>
              <w:keepNext/>
              <w:widowControl w:val="0"/>
              <w:autoSpaceDE w:val="0"/>
              <w:autoSpaceDN w:val="0"/>
              <w:adjustRightInd w:val="0"/>
              <w:spacing w:line="264" w:lineRule="auto"/>
              <w:jc w:val="center"/>
              <w:rPr>
                <w:rFonts w:ascii="Arial" w:hAnsi="Arial" w:cs="Arial"/>
                <w:b/>
                <w:bCs/>
                <w:sz w:val="22"/>
                <w:szCs w:val="22"/>
              </w:rPr>
            </w:pPr>
          </w:p>
        </w:tc>
        <w:tc>
          <w:tcPr>
            <w:tcW w:w="1710" w:type="dxa"/>
            <w:tcBorders>
              <w:top w:val="single" w:sz="12" w:space="0" w:color="auto"/>
              <w:left w:val="nil"/>
              <w:bottom w:val="single" w:sz="4" w:space="0" w:color="auto"/>
              <w:right w:val="nil"/>
            </w:tcBorders>
            <w:vAlign w:val="bottom"/>
            <w:hideMark/>
          </w:tcPr>
          <w:p w14:paraId="1BACA9A8" w14:textId="2C33E97E" w:rsidR="00A176D5" w:rsidRPr="001609AD" w:rsidRDefault="00A176D5" w:rsidP="00005A80">
            <w:pPr>
              <w:keepNext/>
              <w:widowControl w:val="0"/>
              <w:autoSpaceDE w:val="0"/>
              <w:autoSpaceDN w:val="0"/>
              <w:adjustRightInd w:val="0"/>
              <w:spacing w:line="264" w:lineRule="auto"/>
              <w:jc w:val="center"/>
              <w:rPr>
                <w:rFonts w:ascii="Arial" w:hAnsi="Arial" w:cs="Arial"/>
                <w:b/>
                <w:bCs/>
                <w:sz w:val="22"/>
                <w:szCs w:val="22"/>
              </w:rPr>
            </w:pPr>
            <w:r>
              <w:rPr>
                <w:rFonts w:ascii="Arial" w:hAnsi="Arial" w:cs="Arial"/>
                <w:b/>
                <w:bCs/>
                <w:sz w:val="22"/>
                <w:szCs w:val="22"/>
              </w:rPr>
              <w:t>PO 2020-0104</w:t>
            </w:r>
          </w:p>
        </w:tc>
        <w:tc>
          <w:tcPr>
            <w:tcW w:w="270" w:type="dxa"/>
            <w:tcBorders>
              <w:top w:val="single" w:sz="12" w:space="0" w:color="auto"/>
              <w:left w:val="nil"/>
              <w:bottom w:val="nil"/>
              <w:right w:val="nil"/>
            </w:tcBorders>
            <w:vAlign w:val="bottom"/>
          </w:tcPr>
          <w:p w14:paraId="49F554B8" w14:textId="77777777" w:rsidR="00A176D5" w:rsidRPr="001609AD" w:rsidRDefault="00A176D5" w:rsidP="00005A80">
            <w:pPr>
              <w:keepNext/>
              <w:widowControl w:val="0"/>
              <w:autoSpaceDE w:val="0"/>
              <w:autoSpaceDN w:val="0"/>
              <w:adjustRightInd w:val="0"/>
              <w:spacing w:line="264" w:lineRule="auto"/>
              <w:jc w:val="center"/>
              <w:rPr>
                <w:rFonts w:ascii="Arial" w:hAnsi="Arial" w:cs="Arial"/>
                <w:b/>
                <w:bCs/>
                <w:sz w:val="22"/>
                <w:szCs w:val="22"/>
              </w:rPr>
            </w:pPr>
          </w:p>
        </w:tc>
        <w:tc>
          <w:tcPr>
            <w:tcW w:w="1890" w:type="dxa"/>
            <w:tcBorders>
              <w:top w:val="single" w:sz="12" w:space="0" w:color="auto"/>
              <w:left w:val="nil"/>
              <w:bottom w:val="single" w:sz="4" w:space="0" w:color="auto"/>
              <w:right w:val="nil"/>
            </w:tcBorders>
            <w:vAlign w:val="bottom"/>
            <w:hideMark/>
          </w:tcPr>
          <w:p w14:paraId="63BFF208" w14:textId="20372943" w:rsidR="00A176D5" w:rsidRPr="001609AD" w:rsidRDefault="00A176D5" w:rsidP="00005A80">
            <w:pPr>
              <w:keepNext/>
              <w:widowControl w:val="0"/>
              <w:autoSpaceDE w:val="0"/>
              <w:autoSpaceDN w:val="0"/>
              <w:adjustRightInd w:val="0"/>
              <w:spacing w:line="264" w:lineRule="auto"/>
              <w:jc w:val="center"/>
              <w:rPr>
                <w:rFonts w:ascii="Arial" w:hAnsi="Arial" w:cs="Arial"/>
                <w:b/>
                <w:bCs/>
                <w:sz w:val="22"/>
                <w:szCs w:val="22"/>
              </w:rPr>
            </w:pPr>
            <w:r>
              <w:rPr>
                <w:rFonts w:ascii="Arial" w:hAnsi="Arial" w:cs="Arial"/>
                <w:b/>
                <w:bCs/>
                <w:sz w:val="22"/>
                <w:szCs w:val="22"/>
              </w:rPr>
              <w:t>Striking Amendment S1</w:t>
            </w:r>
          </w:p>
        </w:tc>
      </w:tr>
      <w:tr w:rsidR="00A176D5" w:rsidRPr="001609AD" w14:paraId="698F1560" w14:textId="77777777" w:rsidTr="00A176D5">
        <w:trPr>
          <w:trHeight w:val="341"/>
          <w:jc w:val="center"/>
        </w:trPr>
        <w:tc>
          <w:tcPr>
            <w:tcW w:w="4680" w:type="dxa"/>
            <w:tcBorders>
              <w:top w:val="single" w:sz="4" w:space="0" w:color="auto"/>
              <w:left w:val="nil"/>
              <w:bottom w:val="nil"/>
              <w:right w:val="nil"/>
            </w:tcBorders>
            <w:vAlign w:val="bottom"/>
          </w:tcPr>
          <w:p w14:paraId="1ABE2B50" w14:textId="77777777" w:rsidR="00A176D5" w:rsidRPr="001609AD" w:rsidRDefault="00A176D5" w:rsidP="00005A80">
            <w:pPr>
              <w:keepNext/>
              <w:widowControl w:val="0"/>
              <w:autoSpaceDE w:val="0"/>
              <w:autoSpaceDN w:val="0"/>
              <w:adjustRightInd w:val="0"/>
              <w:spacing w:line="264" w:lineRule="auto"/>
              <w:rPr>
                <w:rFonts w:ascii="Arial" w:hAnsi="Arial" w:cs="Arial"/>
                <w:b/>
                <w:bCs/>
                <w:sz w:val="22"/>
                <w:szCs w:val="22"/>
              </w:rPr>
            </w:pPr>
            <w:r w:rsidRPr="001609AD">
              <w:rPr>
                <w:rFonts w:ascii="Arial" w:hAnsi="Arial" w:cs="Arial"/>
                <w:sz w:val="22"/>
                <w:szCs w:val="22"/>
              </w:rPr>
              <w:t>Transit Operational Capacity Growth Projects</w:t>
            </w:r>
          </w:p>
        </w:tc>
        <w:tc>
          <w:tcPr>
            <w:tcW w:w="270" w:type="dxa"/>
            <w:vAlign w:val="bottom"/>
          </w:tcPr>
          <w:p w14:paraId="0C904AAC"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tcBorders>
              <w:top w:val="single" w:sz="4" w:space="0" w:color="auto"/>
              <w:left w:val="nil"/>
              <w:bottom w:val="nil"/>
              <w:right w:val="nil"/>
            </w:tcBorders>
            <w:vAlign w:val="bottom"/>
          </w:tcPr>
          <w:p w14:paraId="168D5B37"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$250.0</w:t>
            </w:r>
          </w:p>
        </w:tc>
        <w:tc>
          <w:tcPr>
            <w:tcW w:w="270" w:type="dxa"/>
            <w:vAlign w:val="bottom"/>
          </w:tcPr>
          <w:p w14:paraId="47F0FF55"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top w:val="single" w:sz="4" w:space="0" w:color="auto"/>
              <w:left w:val="nil"/>
              <w:bottom w:val="nil"/>
              <w:right w:val="nil"/>
            </w:tcBorders>
            <w:vAlign w:val="bottom"/>
          </w:tcPr>
          <w:p w14:paraId="03803C1F" w14:textId="30B5F0CD" w:rsidR="00A176D5" w:rsidRPr="00A176D5" w:rsidRDefault="00A176D5" w:rsidP="00005A80">
            <w:pPr>
              <w:keepNext/>
              <w:widowControl w:val="0"/>
              <w:autoSpaceDE w:val="0"/>
              <w:autoSpaceDN w:val="0"/>
              <w:adjustRightInd w:val="0"/>
              <w:spacing w:line="264" w:lineRule="auto"/>
              <w:jc w:val="right"/>
              <w:rPr>
                <w:rFonts w:ascii="Arial" w:hAnsi="Arial" w:cs="Arial"/>
                <w:b/>
                <w:bCs/>
                <w:sz w:val="22"/>
                <w:szCs w:val="22"/>
              </w:rPr>
            </w:pPr>
            <w:r w:rsidRPr="00A176D5">
              <w:rPr>
                <w:rFonts w:ascii="Arial" w:hAnsi="Arial" w:cs="Arial"/>
                <w:sz w:val="22"/>
                <w:szCs w:val="22"/>
              </w:rPr>
              <w:t>$30.0</w:t>
            </w:r>
          </w:p>
        </w:tc>
      </w:tr>
      <w:tr w:rsidR="00A176D5" w:rsidRPr="001609AD" w14:paraId="6B3A4F09" w14:textId="77777777" w:rsidTr="00A176D5">
        <w:trPr>
          <w:trHeight w:val="360"/>
          <w:jc w:val="center"/>
        </w:trPr>
        <w:tc>
          <w:tcPr>
            <w:tcW w:w="4680" w:type="dxa"/>
            <w:vAlign w:val="bottom"/>
            <w:hideMark/>
          </w:tcPr>
          <w:p w14:paraId="3133F2D8"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Forge Site Acquisition</w:t>
            </w:r>
          </w:p>
        </w:tc>
        <w:tc>
          <w:tcPr>
            <w:tcW w:w="270" w:type="dxa"/>
            <w:vAlign w:val="bottom"/>
          </w:tcPr>
          <w:p w14:paraId="30F822AF"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vAlign w:val="bottom"/>
            <w:hideMark/>
          </w:tcPr>
          <w:p w14:paraId="3A5761BA"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$54.2</w:t>
            </w:r>
          </w:p>
        </w:tc>
        <w:tc>
          <w:tcPr>
            <w:tcW w:w="270" w:type="dxa"/>
            <w:vAlign w:val="bottom"/>
          </w:tcPr>
          <w:p w14:paraId="454CE15B"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vAlign w:val="bottom"/>
            <w:hideMark/>
          </w:tcPr>
          <w:p w14:paraId="316E3028" w14:textId="1362E013"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$54.2</w:t>
            </w:r>
          </w:p>
        </w:tc>
      </w:tr>
      <w:tr w:rsidR="00A176D5" w:rsidRPr="001609AD" w14:paraId="1D83EEA4" w14:textId="77777777" w:rsidTr="00A176D5">
        <w:trPr>
          <w:trHeight w:val="360"/>
          <w:jc w:val="center"/>
        </w:trPr>
        <w:tc>
          <w:tcPr>
            <w:tcW w:w="4680" w:type="dxa"/>
            <w:tcBorders>
              <w:top w:val="nil"/>
              <w:left w:val="nil"/>
              <w:right w:val="nil"/>
            </w:tcBorders>
            <w:vAlign w:val="bottom"/>
            <w:hideMark/>
          </w:tcPr>
          <w:p w14:paraId="36F70AAD"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Conservation Futures Land</w:t>
            </w:r>
          </w:p>
        </w:tc>
        <w:tc>
          <w:tcPr>
            <w:tcW w:w="270" w:type="dxa"/>
            <w:tcBorders>
              <w:top w:val="nil"/>
              <w:left w:val="nil"/>
              <w:right w:val="nil"/>
            </w:tcBorders>
            <w:vAlign w:val="bottom"/>
          </w:tcPr>
          <w:p w14:paraId="3E6152CF"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tcBorders>
              <w:top w:val="nil"/>
              <w:left w:val="nil"/>
              <w:right w:val="nil"/>
            </w:tcBorders>
            <w:vAlign w:val="bottom"/>
            <w:hideMark/>
          </w:tcPr>
          <w:p w14:paraId="36B29F60"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$35.0</w:t>
            </w:r>
          </w:p>
        </w:tc>
        <w:tc>
          <w:tcPr>
            <w:tcW w:w="270" w:type="dxa"/>
            <w:tcBorders>
              <w:top w:val="nil"/>
              <w:left w:val="nil"/>
              <w:right w:val="nil"/>
            </w:tcBorders>
            <w:vAlign w:val="bottom"/>
          </w:tcPr>
          <w:p w14:paraId="7D98E6FC"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top w:val="nil"/>
              <w:left w:val="nil"/>
              <w:right w:val="nil"/>
            </w:tcBorders>
            <w:vAlign w:val="bottom"/>
            <w:hideMark/>
          </w:tcPr>
          <w:p w14:paraId="6DE24BD4" w14:textId="155784C0"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$35.0</w:t>
            </w:r>
          </w:p>
        </w:tc>
      </w:tr>
      <w:tr w:rsidR="00A176D5" w:rsidRPr="001609AD" w14:paraId="734B0822" w14:textId="77777777" w:rsidTr="00A176D5">
        <w:trPr>
          <w:trHeight w:val="360"/>
          <w:jc w:val="center"/>
        </w:trPr>
        <w:tc>
          <w:tcPr>
            <w:tcW w:w="4680" w:type="dxa"/>
            <w:tcBorders>
              <w:left w:val="nil"/>
              <w:bottom w:val="nil"/>
              <w:right w:val="nil"/>
            </w:tcBorders>
            <w:vAlign w:val="bottom"/>
          </w:tcPr>
          <w:p w14:paraId="6966CF56"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Downtown Public Health Clinic</w:t>
            </w:r>
          </w:p>
        </w:tc>
        <w:tc>
          <w:tcPr>
            <w:tcW w:w="270" w:type="dxa"/>
            <w:tcBorders>
              <w:left w:val="nil"/>
              <w:bottom w:val="nil"/>
              <w:right w:val="nil"/>
            </w:tcBorders>
            <w:vAlign w:val="bottom"/>
          </w:tcPr>
          <w:p w14:paraId="282CF434"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bottom w:val="nil"/>
              <w:right w:val="nil"/>
            </w:tcBorders>
            <w:vAlign w:val="bottom"/>
          </w:tcPr>
          <w:p w14:paraId="5FA14030"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$18.3</w:t>
            </w:r>
          </w:p>
        </w:tc>
        <w:tc>
          <w:tcPr>
            <w:tcW w:w="270" w:type="dxa"/>
            <w:tcBorders>
              <w:left w:val="nil"/>
              <w:bottom w:val="nil"/>
              <w:right w:val="nil"/>
            </w:tcBorders>
            <w:vAlign w:val="bottom"/>
          </w:tcPr>
          <w:p w14:paraId="48284E59"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left w:val="nil"/>
              <w:bottom w:val="nil"/>
              <w:right w:val="nil"/>
            </w:tcBorders>
            <w:vAlign w:val="bottom"/>
          </w:tcPr>
          <w:p w14:paraId="4D528F29" w14:textId="7E0D1BCC"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$16.0</w:t>
            </w:r>
          </w:p>
        </w:tc>
      </w:tr>
      <w:tr w:rsidR="00A176D5" w:rsidRPr="001609AD" w14:paraId="0116A929" w14:textId="77777777" w:rsidTr="00A176D5">
        <w:trPr>
          <w:trHeight w:val="360"/>
          <w:jc w:val="center"/>
        </w:trPr>
        <w:tc>
          <w:tcPr>
            <w:tcW w:w="4680" w:type="dxa"/>
            <w:vAlign w:val="bottom"/>
            <w:hideMark/>
          </w:tcPr>
          <w:p w14:paraId="2084044D"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Yesler Building Tenant Improvements</w:t>
            </w:r>
          </w:p>
        </w:tc>
        <w:tc>
          <w:tcPr>
            <w:tcW w:w="270" w:type="dxa"/>
            <w:vAlign w:val="bottom"/>
          </w:tcPr>
          <w:p w14:paraId="03A5D2DF"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vAlign w:val="bottom"/>
            <w:hideMark/>
          </w:tcPr>
          <w:p w14:paraId="0B9760C6"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$11.1</w:t>
            </w:r>
          </w:p>
        </w:tc>
        <w:tc>
          <w:tcPr>
            <w:tcW w:w="270" w:type="dxa"/>
            <w:vAlign w:val="bottom"/>
          </w:tcPr>
          <w:p w14:paraId="49684267"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vAlign w:val="bottom"/>
            <w:hideMark/>
          </w:tcPr>
          <w:p w14:paraId="3FC84548" w14:textId="38B00FD1"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$0.0</w:t>
            </w:r>
          </w:p>
        </w:tc>
      </w:tr>
      <w:tr w:rsidR="00A176D5" w:rsidRPr="001609AD" w14:paraId="78623BC4" w14:textId="77777777" w:rsidTr="00A176D5">
        <w:trPr>
          <w:trHeight w:val="360"/>
          <w:jc w:val="center"/>
        </w:trPr>
        <w:tc>
          <w:tcPr>
            <w:tcW w:w="4680" w:type="dxa"/>
            <w:vAlign w:val="bottom"/>
            <w:hideMark/>
          </w:tcPr>
          <w:p w14:paraId="5D6440BE"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Kent Office Building Acquisition</w:t>
            </w:r>
          </w:p>
        </w:tc>
        <w:tc>
          <w:tcPr>
            <w:tcW w:w="270" w:type="dxa"/>
            <w:vAlign w:val="bottom"/>
          </w:tcPr>
          <w:p w14:paraId="6A14915D"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vAlign w:val="bottom"/>
            <w:hideMark/>
          </w:tcPr>
          <w:p w14:paraId="32198802"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$6.2</w:t>
            </w:r>
          </w:p>
        </w:tc>
        <w:tc>
          <w:tcPr>
            <w:tcW w:w="270" w:type="dxa"/>
            <w:vAlign w:val="bottom"/>
          </w:tcPr>
          <w:p w14:paraId="18838BCC"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vAlign w:val="bottom"/>
            <w:hideMark/>
          </w:tcPr>
          <w:p w14:paraId="0996C723" w14:textId="36AA3997"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$6.2</w:t>
            </w:r>
          </w:p>
        </w:tc>
      </w:tr>
      <w:tr w:rsidR="00A176D5" w:rsidRPr="001609AD" w14:paraId="7D007668" w14:textId="77777777" w:rsidTr="00A176D5">
        <w:trPr>
          <w:trHeight w:val="360"/>
          <w:jc w:val="center"/>
        </w:trPr>
        <w:tc>
          <w:tcPr>
            <w:tcW w:w="4680" w:type="dxa"/>
            <w:tcBorders>
              <w:top w:val="nil"/>
              <w:left w:val="nil"/>
              <w:right w:val="nil"/>
            </w:tcBorders>
            <w:vAlign w:val="bottom"/>
            <w:hideMark/>
          </w:tcPr>
          <w:p w14:paraId="6B9BB4ED"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Jail Management System Project</w:t>
            </w:r>
          </w:p>
        </w:tc>
        <w:tc>
          <w:tcPr>
            <w:tcW w:w="270" w:type="dxa"/>
            <w:tcBorders>
              <w:top w:val="nil"/>
              <w:left w:val="nil"/>
              <w:right w:val="nil"/>
            </w:tcBorders>
            <w:vAlign w:val="bottom"/>
          </w:tcPr>
          <w:p w14:paraId="4F78E980"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tcBorders>
              <w:top w:val="nil"/>
              <w:left w:val="nil"/>
              <w:right w:val="nil"/>
            </w:tcBorders>
            <w:vAlign w:val="bottom"/>
            <w:hideMark/>
          </w:tcPr>
          <w:p w14:paraId="6CA2A1A6"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$4.0</w:t>
            </w:r>
          </w:p>
        </w:tc>
        <w:tc>
          <w:tcPr>
            <w:tcW w:w="270" w:type="dxa"/>
            <w:tcBorders>
              <w:top w:val="nil"/>
              <w:left w:val="nil"/>
              <w:right w:val="nil"/>
            </w:tcBorders>
            <w:vAlign w:val="bottom"/>
          </w:tcPr>
          <w:p w14:paraId="36204874"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top w:val="nil"/>
              <w:left w:val="nil"/>
              <w:right w:val="nil"/>
            </w:tcBorders>
            <w:vAlign w:val="bottom"/>
            <w:hideMark/>
          </w:tcPr>
          <w:p w14:paraId="0F885A64" w14:textId="5B49E12B"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$4.0</w:t>
            </w:r>
          </w:p>
        </w:tc>
      </w:tr>
      <w:tr w:rsidR="00A176D5" w:rsidRPr="001609AD" w14:paraId="66453735" w14:textId="77777777" w:rsidTr="00A176D5">
        <w:trPr>
          <w:trHeight w:val="360"/>
          <w:jc w:val="center"/>
        </w:trPr>
        <w:tc>
          <w:tcPr>
            <w:tcW w:w="4680" w:type="dxa"/>
            <w:tcBorders>
              <w:left w:val="nil"/>
              <w:right w:val="nil"/>
            </w:tcBorders>
            <w:vAlign w:val="bottom"/>
          </w:tcPr>
          <w:p w14:paraId="15CB69F2"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FMD Asset Management System Upgrade</w:t>
            </w:r>
          </w:p>
        </w:tc>
        <w:tc>
          <w:tcPr>
            <w:tcW w:w="270" w:type="dxa"/>
            <w:tcBorders>
              <w:left w:val="nil"/>
              <w:right w:val="nil"/>
            </w:tcBorders>
            <w:vAlign w:val="bottom"/>
          </w:tcPr>
          <w:p w14:paraId="37AC2DA0"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right w:val="nil"/>
            </w:tcBorders>
            <w:vAlign w:val="bottom"/>
          </w:tcPr>
          <w:p w14:paraId="635F1C41"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$0.8</w:t>
            </w:r>
          </w:p>
        </w:tc>
        <w:tc>
          <w:tcPr>
            <w:tcW w:w="270" w:type="dxa"/>
            <w:tcBorders>
              <w:left w:val="nil"/>
              <w:right w:val="nil"/>
            </w:tcBorders>
            <w:vAlign w:val="bottom"/>
          </w:tcPr>
          <w:p w14:paraId="52CBCE3E"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left w:val="nil"/>
              <w:right w:val="nil"/>
            </w:tcBorders>
            <w:vAlign w:val="bottom"/>
          </w:tcPr>
          <w:p w14:paraId="6FB3F830" w14:textId="689A636C"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$0.8</w:t>
            </w:r>
          </w:p>
        </w:tc>
      </w:tr>
      <w:tr w:rsidR="00A176D5" w:rsidRPr="001609AD" w14:paraId="575C8010" w14:textId="77777777" w:rsidTr="00A176D5">
        <w:trPr>
          <w:trHeight w:val="360"/>
          <w:jc w:val="center"/>
        </w:trPr>
        <w:tc>
          <w:tcPr>
            <w:tcW w:w="4680" w:type="dxa"/>
            <w:tcBorders>
              <w:left w:val="nil"/>
              <w:right w:val="nil"/>
            </w:tcBorders>
            <w:vAlign w:val="bottom"/>
          </w:tcPr>
          <w:p w14:paraId="0863CA25" w14:textId="77777777" w:rsidR="00A176D5" w:rsidRPr="001609AD" w:rsidRDefault="00A176D5" w:rsidP="00005A80">
            <w:pPr>
              <w:keepNext/>
              <w:widowControl w:val="0"/>
              <w:autoSpaceDE w:val="0"/>
              <w:autoSpaceDN w:val="0"/>
              <w:adjustRightInd w:val="0"/>
              <w:spacing w:line="264" w:lineRule="auto"/>
              <w:rPr>
                <w:rFonts w:ascii="Arial" w:hAnsi="Arial" w:cs="Arial"/>
                <w:sz w:val="22"/>
                <w:szCs w:val="22"/>
              </w:rPr>
            </w:pPr>
            <w:r w:rsidRPr="001609AD">
              <w:rPr>
                <w:rFonts w:ascii="Arial" w:hAnsi="Arial" w:cs="Arial"/>
                <w:sz w:val="22"/>
                <w:szCs w:val="22"/>
              </w:rPr>
              <w:t xml:space="preserve">Allowance for Financing Considerations </w:t>
            </w:r>
          </w:p>
        </w:tc>
        <w:tc>
          <w:tcPr>
            <w:tcW w:w="270" w:type="dxa"/>
            <w:tcBorders>
              <w:left w:val="nil"/>
              <w:right w:val="nil"/>
            </w:tcBorders>
          </w:tcPr>
          <w:p w14:paraId="774E9167"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710" w:type="dxa"/>
            <w:tcBorders>
              <w:left w:val="nil"/>
              <w:bottom w:val="single" w:sz="4" w:space="0" w:color="auto"/>
              <w:right w:val="nil"/>
            </w:tcBorders>
            <w:vAlign w:val="bottom"/>
          </w:tcPr>
          <w:p w14:paraId="1C2D23D1" w14:textId="77777777" w:rsidR="00A176D5" w:rsidRPr="001609AD" w:rsidRDefault="00A176D5" w:rsidP="00005A80">
            <w:pPr>
              <w:keepNext/>
              <w:widowControl w:val="0"/>
              <w:autoSpaceDE w:val="0"/>
              <w:autoSpaceDN w:val="0"/>
              <w:adjustRightInd w:val="0"/>
              <w:spacing w:line="264" w:lineRule="auto"/>
              <w:jc w:val="right"/>
              <w:rPr>
                <w:rFonts w:ascii="Arial" w:hAnsi="Arial" w:cs="Arial"/>
                <w:sz w:val="22"/>
                <w:szCs w:val="22"/>
              </w:rPr>
            </w:pPr>
            <w:r w:rsidRPr="001609AD">
              <w:rPr>
                <w:rFonts w:ascii="Arial" w:hAnsi="Arial" w:cs="Arial"/>
                <w:sz w:val="22"/>
                <w:szCs w:val="22"/>
              </w:rPr>
              <w:t>$15.5</w:t>
            </w:r>
          </w:p>
        </w:tc>
        <w:tc>
          <w:tcPr>
            <w:tcW w:w="270" w:type="dxa"/>
            <w:tcBorders>
              <w:left w:val="nil"/>
              <w:right w:val="nil"/>
            </w:tcBorders>
            <w:vAlign w:val="bottom"/>
          </w:tcPr>
          <w:p w14:paraId="0AC3C519"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left w:val="nil"/>
              <w:bottom w:val="single" w:sz="4" w:space="0" w:color="auto"/>
              <w:right w:val="nil"/>
            </w:tcBorders>
            <w:vAlign w:val="bottom"/>
          </w:tcPr>
          <w:p w14:paraId="136CFE17" w14:textId="662AB689" w:rsidR="00A176D5" w:rsidRPr="00A176D5" w:rsidRDefault="00A176D5" w:rsidP="00005A80">
            <w:pPr>
              <w:keepNext/>
              <w:widowControl w:val="0"/>
              <w:autoSpaceDE w:val="0"/>
              <w:autoSpaceDN w:val="0"/>
              <w:adjustRightInd w:val="0"/>
              <w:spacing w:line="264" w:lineRule="auto"/>
              <w:jc w:val="right"/>
              <w:rPr>
                <w:rFonts w:ascii="Arial" w:hAnsi="Arial" w:cs="Arial"/>
                <w:sz w:val="22"/>
                <w:szCs w:val="22"/>
              </w:rPr>
            </w:pPr>
            <w:r w:rsidRPr="00A176D5">
              <w:rPr>
                <w:rFonts w:ascii="Arial" w:hAnsi="Arial" w:cs="Arial"/>
                <w:sz w:val="22"/>
                <w:szCs w:val="22"/>
              </w:rPr>
              <w:t>$</w:t>
            </w:r>
            <w:r>
              <w:rPr>
                <w:rFonts w:ascii="Arial" w:hAnsi="Arial" w:cs="Arial"/>
                <w:sz w:val="22"/>
                <w:szCs w:val="22"/>
              </w:rPr>
              <w:t>3.8</w:t>
            </w:r>
          </w:p>
        </w:tc>
      </w:tr>
      <w:tr w:rsidR="00A176D5" w:rsidRPr="001609AD" w14:paraId="5D0249C0" w14:textId="77777777" w:rsidTr="00A176D5">
        <w:trPr>
          <w:trHeight w:val="350"/>
          <w:jc w:val="center"/>
        </w:trPr>
        <w:tc>
          <w:tcPr>
            <w:tcW w:w="4680" w:type="dxa"/>
            <w:tcBorders>
              <w:left w:val="nil"/>
              <w:bottom w:val="single" w:sz="12" w:space="0" w:color="auto"/>
              <w:right w:val="nil"/>
            </w:tcBorders>
            <w:vAlign w:val="bottom"/>
          </w:tcPr>
          <w:p w14:paraId="12A9B923" w14:textId="77777777" w:rsidR="00A176D5" w:rsidRPr="00713EEB" w:rsidRDefault="00A176D5" w:rsidP="00005A80">
            <w:pPr>
              <w:keepNext/>
              <w:widowControl w:val="0"/>
              <w:autoSpaceDE w:val="0"/>
              <w:autoSpaceDN w:val="0"/>
              <w:adjustRightInd w:val="0"/>
              <w:spacing w:line="264" w:lineRule="auto"/>
              <w:jc w:val="right"/>
              <w:rPr>
                <w:rFonts w:ascii="Arial" w:hAnsi="Arial" w:cs="Arial"/>
                <w:b/>
                <w:sz w:val="22"/>
                <w:szCs w:val="22"/>
              </w:rPr>
            </w:pPr>
            <w:r w:rsidRPr="00713EEB">
              <w:rPr>
                <w:rFonts w:ascii="Arial" w:hAnsi="Arial" w:cs="Arial"/>
                <w:b/>
                <w:sz w:val="22"/>
                <w:szCs w:val="22"/>
              </w:rPr>
              <w:t>Total Authorization Request</w:t>
            </w:r>
          </w:p>
        </w:tc>
        <w:tc>
          <w:tcPr>
            <w:tcW w:w="270" w:type="dxa"/>
            <w:tcBorders>
              <w:left w:val="nil"/>
              <w:bottom w:val="single" w:sz="12" w:space="0" w:color="auto"/>
              <w:right w:val="nil"/>
            </w:tcBorders>
          </w:tcPr>
          <w:p w14:paraId="14302698" w14:textId="77777777" w:rsidR="00A176D5" w:rsidRPr="00713EEB" w:rsidRDefault="00A176D5" w:rsidP="00005A80">
            <w:pPr>
              <w:keepNext/>
              <w:widowControl w:val="0"/>
              <w:autoSpaceDE w:val="0"/>
              <w:autoSpaceDN w:val="0"/>
              <w:adjustRightInd w:val="0"/>
              <w:spacing w:line="264" w:lineRule="auto"/>
              <w:jc w:val="center"/>
              <w:rPr>
                <w:rFonts w:ascii="Arial" w:hAnsi="Arial" w:cs="Arial"/>
                <w:b/>
                <w:sz w:val="22"/>
                <w:szCs w:val="22"/>
              </w:rPr>
            </w:pPr>
          </w:p>
        </w:tc>
        <w:tc>
          <w:tcPr>
            <w:tcW w:w="1710" w:type="dxa"/>
            <w:tcBorders>
              <w:top w:val="single" w:sz="4" w:space="0" w:color="auto"/>
              <w:left w:val="nil"/>
              <w:bottom w:val="single" w:sz="12" w:space="0" w:color="auto"/>
              <w:right w:val="nil"/>
            </w:tcBorders>
            <w:vAlign w:val="bottom"/>
          </w:tcPr>
          <w:p w14:paraId="16455583" w14:textId="77777777" w:rsidR="00A176D5" w:rsidRPr="00713EEB" w:rsidRDefault="00A176D5" w:rsidP="00005A80">
            <w:pPr>
              <w:keepNext/>
              <w:widowControl w:val="0"/>
              <w:autoSpaceDE w:val="0"/>
              <w:autoSpaceDN w:val="0"/>
              <w:adjustRightInd w:val="0"/>
              <w:spacing w:line="264" w:lineRule="auto"/>
              <w:jc w:val="right"/>
              <w:rPr>
                <w:rFonts w:ascii="Arial" w:hAnsi="Arial" w:cs="Arial"/>
                <w:b/>
                <w:sz w:val="22"/>
                <w:szCs w:val="22"/>
              </w:rPr>
            </w:pPr>
            <w:r w:rsidRPr="00713EEB">
              <w:rPr>
                <w:rFonts w:ascii="Arial" w:hAnsi="Arial" w:cs="Arial"/>
                <w:b/>
                <w:sz w:val="22"/>
                <w:szCs w:val="22"/>
              </w:rPr>
              <w:t>$395.1</w:t>
            </w:r>
          </w:p>
        </w:tc>
        <w:tc>
          <w:tcPr>
            <w:tcW w:w="270" w:type="dxa"/>
            <w:tcBorders>
              <w:left w:val="nil"/>
              <w:bottom w:val="single" w:sz="12" w:space="0" w:color="auto"/>
              <w:right w:val="nil"/>
            </w:tcBorders>
            <w:vAlign w:val="bottom"/>
          </w:tcPr>
          <w:p w14:paraId="7CEE3038" w14:textId="77777777" w:rsidR="00A176D5" w:rsidRPr="001609AD" w:rsidRDefault="00A176D5" w:rsidP="00005A80">
            <w:pPr>
              <w:keepNext/>
              <w:widowControl w:val="0"/>
              <w:autoSpaceDE w:val="0"/>
              <w:autoSpaceDN w:val="0"/>
              <w:adjustRightInd w:val="0"/>
              <w:spacing w:line="264" w:lineRule="auto"/>
              <w:jc w:val="center"/>
              <w:rPr>
                <w:rFonts w:ascii="Arial" w:hAnsi="Arial" w:cs="Arial"/>
                <w:sz w:val="22"/>
                <w:szCs w:val="22"/>
              </w:rPr>
            </w:pPr>
          </w:p>
        </w:tc>
        <w:tc>
          <w:tcPr>
            <w:tcW w:w="1890" w:type="dxa"/>
            <w:tcBorders>
              <w:top w:val="single" w:sz="4" w:space="0" w:color="auto"/>
              <w:left w:val="nil"/>
              <w:bottom w:val="single" w:sz="12" w:space="0" w:color="auto"/>
              <w:right w:val="nil"/>
            </w:tcBorders>
            <w:vAlign w:val="bottom"/>
          </w:tcPr>
          <w:p w14:paraId="58BCC5EF" w14:textId="7C15DF50" w:rsidR="00A176D5" w:rsidRPr="00A176D5" w:rsidRDefault="00A176D5" w:rsidP="00005A80">
            <w:pPr>
              <w:keepNext/>
              <w:widowControl w:val="0"/>
              <w:autoSpaceDE w:val="0"/>
              <w:autoSpaceDN w:val="0"/>
              <w:adjustRightInd w:val="0"/>
              <w:spacing w:line="264" w:lineRule="auto"/>
              <w:jc w:val="right"/>
              <w:rPr>
                <w:rFonts w:ascii="Arial" w:hAnsi="Arial" w:cs="Arial"/>
                <w:b/>
                <w:sz w:val="22"/>
                <w:szCs w:val="22"/>
              </w:rPr>
            </w:pPr>
            <w:r w:rsidRPr="00A176D5">
              <w:rPr>
                <w:rFonts w:ascii="Arial" w:hAnsi="Arial" w:cs="Arial"/>
                <w:b/>
                <w:sz w:val="22"/>
                <w:szCs w:val="22"/>
              </w:rPr>
              <w:t>$150.0</w:t>
            </w:r>
          </w:p>
        </w:tc>
      </w:tr>
    </w:tbl>
    <w:p w14:paraId="0851203C" w14:textId="77777777" w:rsidR="00A176D5" w:rsidRDefault="00A176D5" w:rsidP="00005A80">
      <w:pPr>
        <w:keepNext/>
        <w:spacing w:line="264" w:lineRule="auto"/>
        <w:rPr>
          <w:rFonts w:ascii="Arial" w:hAnsi="Arial" w:cs="Arial"/>
          <w:szCs w:val="24"/>
        </w:rPr>
      </w:pPr>
    </w:p>
    <w:p w14:paraId="63EC9E05" w14:textId="30482C13" w:rsidR="007A1B54" w:rsidRDefault="007A1B54" w:rsidP="00363380">
      <w:pPr>
        <w:rPr>
          <w:rFonts w:ascii="Arial" w:hAnsi="Arial" w:cs="Arial"/>
          <w:szCs w:val="24"/>
        </w:rPr>
      </w:pPr>
    </w:p>
    <w:p w14:paraId="077701D5" w14:textId="77777777" w:rsidR="00726A74" w:rsidRDefault="00726A74" w:rsidP="00236D2E">
      <w:pPr>
        <w:spacing w:line="264" w:lineRule="auto"/>
        <w:jc w:val="both"/>
        <w:rPr>
          <w:rFonts w:ascii="Arial" w:hAnsi="Arial" w:cs="Arial"/>
          <w:szCs w:val="24"/>
        </w:rPr>
      </w:pPr>
      <w:r>
        <w:rPr>
          <w:rFonts w:ascii="Arial" w:hAnsi="Arial" w:cs="Arial"/>
          <w:szCs w:val="24"/>
        </w:rPr>
        <w:t xml:space="preserve">According to the Executive, the debt issuance for the Transit Operational Capacity Growth Projects is split between two projects: </w:t>
      </w:r>
      <w:r w:rsidRPr="00726A74">
        <w:rPr>
          <w:rFonts w:ascii="Arial" w:hAnsi="Arial" w:cs="Arial"/>
          <w:szCs w:val="24"/>
        </w:rPr>
        <w:t>South Annex Base ($3.1M) and Interim Base ($26.3M).</w:t>
      </w:r>
    </w:p>
    <w:p w14:paraId="7B8DFDF3" w14:textId="77777777" w:rsidR="00726A74" w:rsidRDefault="00726A74" w:rsidP="00236D2E">
      <w:pPr>
        <w:spacing w:line="264" w:lineRule="auto"/>
        <w:jc w:val="both"/>
        <w:rPr>
          <w:rFonts w:ascii="Arial" w:hAnsi="Arial" w:cs="Arial"/>
          <w:szCs w:val="24"/>
        </w:rPr>
      </w:pPr>
    </w:p>
    <w:p w14:paraId="11544E9D" w14:textId="3098DE4E" w:rsidR="008147AD" w:rsidRDefault="008147AD" w:rsidP="00236D2E">
      <w:pPr>
        <w:spacing w:line="264" w:lineRule="auto"/>
        <w:jc w:val="both"/>
        <w:rPr>
          <w:rFonts w:ascii="Arial" w:hAnsi="Arial" w:cs="Arial"/>
          <w:szCs w:val="24"/>
        </w:rPr>
      </w:pPr>
      <w:r>
        <w:rPr>
          <w:rFonts w:ascii="Arial" w:hAnsi="Arial" w:cs="Arial"/>
          <w:szCs w:val="24"/>
        </w:rPr>
        <w:t>According to the Executive, t</w:t>
      </w:r>
      <w:r w:rsidRPr="008147AD">
        <w:rPr>
          <w:rFonts w:ascii="Arial" w:hAnsi="Arial" w:cs="Arial"/>
          <w:szCs w:val="24"/>
        </w:rPr>
        <w:t xml:space="preserve">he language regarding “tax advantaged bonds” was added to accommodate the use of a federally subsidized direct pay or other bond (such as the Build America Bonds (BABs) that were used extensively about 10 years ago, but subsequently were eliminated in the 2017 Tax Act) </w:t>
      </w:r>
      <w:r>
        <w:rPr>
          <w:rFonts w:ascii="Arial" w:hAnsi="Arial" w:cs="Arial"/>
          <w:szCs w:val="24"/>
        </w:rPr>
        <w:t>in the</w:t>
      </w:r>
      <w:r w:rsidRPr="008147AD">
        <w:rPr>
          <w:rFonts w:ascii="Arial" w:hAnsi="Arial" w:cs="Arial"/>
          <w:szCs w:val="24"/>
        </w:rPr>
        <w:t xml:space="preserve"> </w:t>
      </w:r>
      <w:r>
        <w:rPr>
          <w:rFonts w:ascii="Arial" w:hAnsi="Arial" w:cs="Arial"/>
          <w:szCs w:val="24"/>
        </w:rPr>
        <w:t>event any forthcoming federal</w:t>
      </w:r>
      <w:r w:rsidRPr="008147AD">
        <w:rPr>
          <w:rFonts w:ascii="Arial" w:hAnsi="Arial" w:cs="Arial"/>
          <w:szCs w:val="24"/>
        </w:rPr>
        <w:t xml:space="preserve"> stimulus legislation includes such a tool and </w:t>
      </w:r>
      <w:r>
        <w:rPr>
          <w:rFonts w:ascii="Arial" w:hAnsi="Arial" w:cs="Arial"/>
          <w:szCs w:val="24"/>
        </w:rPr>
        <w:t>it was deemed</w:t>
      </w:r>
      <w:r w:rsidRPr="008147AD">
        <w:rPr>
          <w:rFonts w:ascii="Arial" w:hAnsi="Arial" w:cs="Arial"/>
          <w:szCs w:val="24"/>
        </w:rPr>
        <w:t xml:space="preserve"> beneficial for the County. </w:t>
      </w:r>
    </w:p>
    <w:p w14:paraId="6A588FE9" w14:textId="77777777" w:rsidR="008147AD" w:rsidRDefault="008147AD" w:rsidP="00236D2E">
      <w:pPr>
        <w:spacing w:line="264" w:lineRule="auto"/>
        <w:jc w:val="both"/>
        <w:rPr>
          <w:rFonts w:ascii="Arial" w:hAnsi="Arial" w:cs="Arial"/>
          <w:szCs w:val="24"/>
        </w:rPr>
      </w:pPr>
    </w:p>
    <w:p w14:paraId="25FF3A27" w14:textId="0C7094A2" w:rsidR="00005A80" w:rsidRPr="00B12A34" w:rsidRDefault="00005A80" w:rsidP="00236D2E">
      <w:pPr>
        <w:spacing w:line="264" w:lineRule="auto"/>
        <w:jc w:val="both"/>
        <w:rPr>
          <w:rFonts w:ascii="Arial" w:hAnsi="Arial" w:cs="Arial"/>
          <w:szCs w:val="24"/>
        </w:rPr>
      </w:pPr>
      <w:r>
        <w:rPr>
          <w:rFonts w:ascii="Arial" w:hAnsi="Arial" w:cs="Arial"/>
          <w:szCs w:val="24"/>
        </w:rPr>
        <w:t xml:space="preserve">Lastly, Title </w:t>
      </w:r>
      <w:r w:rsidR="00363380">
        <w:rPr>
          <w:rFonts w:ascii="Arial" w:hAnsi="Arial" w:cs="Arial"/>
          <w:szCs w:val="24"/>
        </w:rPr>
        <w:t xml:space="preserve">Amendment T1 would conform the title for Proposed Ordinance 2020-0104 to the changes made by </w:t>
      </w:r>
      <w:r>
        <w:rPr>
          <w:rFonts w:ascii="Arial" w:hAnsi="Arial" w:cs="Arial"/>
          <w:szCs w:val="24"/>
        </w:rPr>
        <w:t xml:space="preserve">Striking </w:t>
      </w:r>
      <w:r w:rsidR="00363380">
        <w:rPr>
          <w:rFonts w:ascii="Arial" w:hAnsi="Arial" w:cs="Arial"/>
          <w:szCs w:val="24"/>
        </w:rPr>
        <w:t xml:space="preserve">Amendment </w:t>
      </w:r>
      <w:r>
        <w:rPr>
          <w:rFonts w:ascii="Arial" w:hAnsi="Arial" w:cs="Arial"/>
          <w:szCs w:val="24"/>
        </w:rPr>
        <w:t>S</w:t>
      </w:r>
      <w:r w:rsidR="00363380">
        <w:rPr>
          <w:rFonts w:ascii="Arial" w:hAnsi="Arial" w:cs="Arial"/>
          <w:szCs w:val="24"/>
        </w:rPr>
        <w:t xml:space="preserve">1. </w:t>
      </w:r>
    </w:p>
    <w:sectPr w:rsidR="00005A80" w:rsidRPr="00B12A34"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5E93E" w14:textId="77777777" w:rsidR="0048760A" w:rsidRDefault="0048760A">
      <w:r>
        <w:separator/>
      </w:r>
    </w:p>
  </w:endnote>
  <w:endnote w:type="continuationSeparator" w:id="0">
    <w:p w14:paraId="3EEF3A8F" w14:textId="77777777" w:rsidR="0048760A" w:rsidRDefault="0048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DB09" w14:textId="77777777" w:rsidR="0048760A" w:rsidRDefault="0048760A">
      <w:r>
        <w:separator/>
      </w:r>
    </w:p>
  </w:footnote>
  <w:footnote w:type="continuationSeparator" w:id="0">
    <w:p w14:paraId="4BD4CD82" w14:textId="77777777" w:rsidR="0048760A" w:rsidRDefault="0048760A">
      <w:r>
        <w:continuationSeparator/>
      </w:r>
    </w:p>
  </w:footnote>
  <w:footnote w:id="1">
    <w:p w14:paraId="14333DFC" w14:textId="77777777" w:rsidR="00EA2100" w:rsidRDefault="00EA2100" w:rsidP="00EA2100">
      <w:pPr>
        <w:pStyle w:val="FootnoteText"/>
      </w:pPr>
      <w:r>
        <w:rPr>
          <w:rStyle w:val="FootnoteReference"/>
        </w:rPr>
        <w:footnoteRef/>
      </w:r>
      <w:r>
        <w:t xml:space="preserve"> Proposed Ordinance 2020-0006</w:t>
      </w:r>
    </w:p>
  </w:footnote>
  <w:footnote w:id="2">
    <w:p w14:paraId="0CDDA306" w14:textId="77777777" w:rsidR="00E52888" w:rsidRDefault="00E52888">
      <w:pPr>
        <w:pStyle w:val="FootnoteText"/>
      </w:pPr>
      <w:r>
        <w:rPr>
          <w:rStyle w:val="FootnoteReference"/>
        </w:rPr>
        <w:footnoteRef/>
      </w:r>
      <w:r>
        <w:t xml:space="preserve"> Ordinance 18766</w:t>
      </w:r>
    </w:p>
  </w:footnote>
  <w:footnote w:id="3">
    <w:p w14:paraId="2DC3D2AE" w14:textId="77777777" w:rsidR="00F85CAB" w:rsidRDefault="00F85CAB">
      <w:pPr>
        <w:pStyle w:val="FootnoteText"/>
      </w:pPr>
      <w:r>
        <w:rPr>
          <w:rStyle w:val="FootnoteReference"/>
        </w:rPr>
        <w:footnoteRef/>
      </w:r>
      <w:r>
        <w:t xml:space="preserve"> Ordinance 18835</w:t>
      </w:r>
    </w:p>
  </w:footnote>
  <w:footnote w:id="4">
    <w:p w14:paraId="4C762B36" w14:textId="77777777" w:rsidR="00BA45B8" w:rsidRDefault="00BA45B8">
      <w:pPr>
        <w:pStyle w:val="FootnoteText"/>
      </w:pPr>
      <w:r>
        <w:rPr>
          <w:rStyle w:val="FootnoteReference"/>
        </w:rPr>
        <w:footnoteRef/>
      </w:r>
      <w:r w:rsidR="000B67AD">
        <w:t xml:space="preserve"> Ordinance 19021</w:t>
      </w:r>
    </w:p>
  </w:footnote>
  <w:footnote w:id="5">
    <w:p w14:paraId="6C6493D3" w14:textId="77777777" w:rsidR="005E2D23" w:rsidRDefault="005E2D23" w:rsidP="005E2D23">
      <w:pPr>
        <w:pStyle w:val="FootnoteText"/>
      </w:pPr>
      <w:r>
        <w:rPr>
          <w:rStyle w:val="FootnoteReference"/>
        </w:rPr>
        <w:footnoteRef/>
      </w:r>
      <w:r>
        <w:t xml:space="preserve"> Proposed Ordinance 2020-0006</w:t>
      </w:r>
    </w:p>
  </w:footnote>
  <w:footnote w:id="6">
    <w:p w14:paraId="6988045B" w14:textId="77777777" w:rsidR="00B12A34" w:rsidRDefault="00B12A34">
      <w:pPr>
        <w:pStyle w:val="FootnoteText"/>
      </w:pPr>
      <w:r>
        <w:rPr>
          <w:rStyle w:val="FootnoteReference"/>
        </w:rPr>
        <w:footnoteRef/>
      </w:r>
      <w:r>
        <w:t xml:space="preserve"> Bonds are sold at a discount when</w:t>
      </w:r>
      <w:r w:rsidRPr="00B12A34">
        <w:t xml:space="preserve"> the market interest rate exceeds the coupon rate of the </w:t>
      </w:r>
      <w:r w:rsidRPr="00B12A34">
        <w:rPr>
          <w:bCs/>
        </w:rPr>
        <w:t>bond</w:t>
      </w:r>
      <w:r>
        <w:rPr>
          <w:bCs/>
        </w:rPr>
        <w:t xml:space="preserve">. Given the relatively low interest rates over the past decade, the County’s bonds have typically sold at a large premium, which generally means the contingency for paying a discount has not been needed. </w:t>
      </w:r>
    </w:p>
  </w:footnote>
  <w:footnote w:id="7">
    <w:p w14:paraId="221BF6E5" w14:textId="77777777" w:rsidR="006073C1" w:rsidRDefault="006073C1" w:rsidP="006073C1">
      <w:pPr>
        <w:pStyle w:val="FootnoteText"/>
      </w:pPr>
      <w:r>
        <w:rPr>
          <w:rStyle w:val="FootnoteReference"/>
        </w:rPr>
        <w:footnoteRef/>
      </w:r>
      <w:r>
        <w:t xml:space="preserve"> Motion 12660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A512" w14:textId="77777777" w:rsidR="00C75025" w:rsidRDefault="00C75025" w:rsidP="00C75025">
    <w:pPr>
      <w:jc w:val="center"/>
    </w:pPr>
    <w:r>
      <w:rPr>
        <w:noProof/>
        <w:lang w:eastAsia="ko-KR"/>
      </w:rPr>
      <w:drawing>
        <wp:inline distT="0" distB="0" distL="0" distR="0" wp14:anchorId="53995AD3" wp14:editId="3D3E258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54B8493" w14:textId="77777777" w:rsidR="00E67A91" w:rsidRDefault="00E67A91" w:rsidP="00C75025">
    <w:pPr>
      <w:jc w:val="center"/>
    </w:pPr>
  </w:p>
  <w:p w14:paraId="5D29B77E" w14:textId="77777777" w:rsidR="00E67A91" w:rsidRDefault="00E67A91" w:rsidP="00E67A91">
    <w:pPr>
      <w:jc w:val="center"/>
      <w:rPr>
        <w:rFonts w:ascii="Verdana" w:hAnsi="Verdana"/>
        <w:b/>
        <w:sz w:val="28"/>
        <w:szCs w:val="28"/>
      </w:rPr>
    </w:pPr>
    <w:r>
      <w:rPr>
        <w:rFonts w:ascii="Verdana" w:hAnsi="Verdana"/>
        <w:b/>
        <w:sz w:val="28"/>
        <w:szCs w:val="28"/>
      </w:rPr>
      <w:t>Metropolitan King County Council</w:t>
    </w:r>
  </w:p>
  <w:p w14:paraId="2471508A" w14:textId="77777777" w:rsidR="00C75025" w:rsidRPr="004A1D48" w:rsidRDefault="00E67A91"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BF70A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6C5B"/>
    <w:multiLevelType w:val="hybridMultilevel"/>
    <w:tmpl w:val="C910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8B625A"/>
    <w:multiLevelType w:val="hybridMultilevel"/>
    <w:tmpl w:val="C910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4B5546"/>
    <w:multiLevelType w:val="hybridMultilevel"/>
    <w:tmpl w:val="70EA5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61C4D"/>
    <w:multiLevelType w:val="hybridMultilevel"/>
    <w:tmpl w:val="674AF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13"/>
  </w:num>
  <w:num w:numId="4">
    <w:abstractNumId w:val="46"/>
  </w:num>
  <w:num w:numId="5">
    <w:abstractNumId w:val="43"/>
  </w:num>
  <w:num w:numId="6">
    <w:abstractNumId w:val="14"/>
  </w:num>
  <w:num w:numId="7">
    <w:abstractNumId w:val="44"/>
  </w:num>
  <w:num w:numId="8">
    <w:abstractNumId w:val="16"/>
  </w:num>
  <w:num w:numId="9">
    <w:abstractNumId w:val="3"/>
  </w:num>
  <w:num w:numId="10">
    <w:abstractNumId w:val="45"/>
  </w:num>
  <w:num w:numId="11">
    <w:abstractNumId w:val="2"/>
  </w:num>
  <w:num w:numId="12">
    <w:abstractNumId w:val="20"/>
  </w:num>
  <w:num w:numId="13">
    <w:abstractNumId w:val="24"/>
  </w:num>
  <w:num w:numId="14">
    <w:abstractNumId w:val="19"/>
  </w:num>
  <w:num w:numId="15">
    <w:abstractNumId w:val="26"/>
  </w:num>
  <w:num w:numId="16">
    <w:abstractNumId w:val="17"/>
  </w:num>
  <w:num w:numId="17">
    <w:abstractNumId w:val="38"/>
  </w:num>
  <w:num w:numId="18">
    <w:abstractNumId w:val="25"/>
  </w:num>
  <w:num w:numId="19">
    <w:abstractNumId w:val="35"/>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1"/>
  </w:num>
  <w:num w:numId="29">
    <w:abstractNumId w:val="32"/>
  </w:num>
  <w:num w:numId="30">
    <w:abstractNumId w:val="1"/>
  </w:num>
  <w:num w:numId="31">
    <w:abstractNumId w:val="37"/>
  </w:num>
  <w:num w:numId="32">
    <w:abstractNumId w:val="39"/>
  </w:num>
  <w:num w:numId="33">
    <w:abstractNumId w:val="15"/>
  </w:num>
  <w:num w:numId="34">
    <w:abstractNumId w:val="12"/>
  </w:num>
  <w:num w:numId="35">
    <w:abstractNumId w:val="7"/>
  </w:num>
  <w:num w:numId="36">
    <w:abstractNumId w:val="30"/>
  </w:num>
  <w:num w:numId="37">
    <w:abstractNumId w:val="40"/>
  </w:num>
  <w:num w:numId="38">
    <w:abstractNumId w:val="22"/>
  </w:num>
  <w:num w:numId="39">
    <w:abstractNumId w:val="36"/>
  </w:num>
  <w:num w:numId="40">
    <w:abstractNumId w:val="33"/>
  </w:num>
  <w:num w:numId="41">
    <w:abstractNumId w:val="41"/>
  </w:num>
  <w:num w:numId="42">
    <w:abstractNumId w:val="29"/>
  </w:num>
  <w:num w:numId="43">
    <w:abstractNumId w:val="2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0"/>
  </w:num>
  <w:num w:numId="4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440"/>
    <w:rsid w:val="00005A8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0FF3"/>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1A6"/>
    <w:rsid w:val="000766A2"/>
    <w:rsid w:val="00076F58"/>
    <w:rsid w:val="00080295"/>
    <w:rsid w:val="00081382"/>
    <w:rsid w:val="00082009"/>
    <w:rsid w:val="0008325A"/>
    <w:rsid w:val="00086A9B"/>
    <w:rsid w:val="00087BF6"/>
    <w:rsid w:val="00090EB9"/>
    <w:rsid w:val="000913B6"/>
    <w:rsid w:val="00093E2E"/>
    <w:rsid w:val="000940FB"/>
    <w:rsid w:val="000956D8"/>
    <w:rsid w:val="00095A14"/>
    <w:rsid w:val="000967D1"/>
    <w:rsid w:val="00097628"/>
    <w:rsid w:val="000976A4"/>
    <w:rsid w:val="00097FCF"/>
    <w:rsid w:val="000A0800"/>
    <w:rsid w:val="000A0835"/>
    <w:rsid w:val="000A0A31"/>
    <w:rsid w:val="000A142A"/>
    <w:rsid w:val="000A26BF"/>
    <w:rsid w:val="000A4A4E"/>
    <w:rsid w:val="000A4CB2"/>
    <w:rsid w:val="000A5F9C"/>
    <w:rsid w:val="000A5FD0"/>
    <w:rsid w:val="000A714D"/>
    <w:rsid w:val="000A73BE"/>
    <w:rsid w:val="000A78D8"/>
    <w:rsid w:val="000A7CCC"/>
    <w:rsid w:val="000A7E01"/>
    <w:rsid w:val="000B0291"/>
    <w:rsid w:val="000B3172"/>
    <w:rsid w:val="000B650C"/>
    <w:rsid w:val="000B67AD"/>
    <w:rsid w:val="000B6DB8"/>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474"/>
    <w:rsid w:val="000F4DCA"/>
    <w:rsid w:val="000F5E4A"/>
    <w:rsid w:val="00103094"/>
    <w:rsid w:val="00105382"/>
    <w:rsid w:val="0010576B"/>
    <w:rsid w:val="00106179"/>
    <w:rsid w:val="001062E7"/>
    <w:rsid w:val="001068E1"/>
    <w:rsid w:val="001074C3"/>
    <w:rsid w:val="00110AC4"/>
    <w:rsid w:val="00111799"/>
    <w:rsid w:val="00113B09"/>
    <w:rsid w:val="00117D3D"/>
    <w:rsid w:val="00121D0A"/>
    <w:rsid w:val="0012573D"/>
    <w:rsid w:val="00126322"/>
    <w:rsid w:val="00131D0E"/>
    <w:rsid w:val="001320CB"/>
    <w:rsid w:val="0013213A"/>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09AD"/>
    <w:rsid w:val="00160FE4"/>
    <w:rsid w:val="00163DEF"/>
    <w:rsid w:val="0016552E"/>
    <w:rsid w:val="00166774"/>
    <w:rsid w:val="001702C8"/>
    <w:rsid w:val="001718C9"/>
    <w:rsid w:val="00171FE0"/>
    <w:rsid w:val="001738AC"/>
    <w:rsid w:val="00173D99"/>
    <w:rsid w:val="00174080"/>
    <w:rsid w:val="00174BB6"/>
    <w:rsid w:val="00174FEE"/>
    <w:rsid w:val="00177734"/>
    <w:rsid w:val="00181426"/>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7C6"/>
    <w:rsid w:val="001A79D0"/>
    <w:rsid w:val="001B4E6F"/>
    <w:rsid w:val="001B65A3"/>
    <w:rsid w:val="001B6C67"/>
    <w:rsid w:val="001B7023"/>
    <w:rsid w:val="001C0CD3"/>
    <w:rsid w:val="001C254D"/>
    <w:rsid w:val="001C4B19"/>
    <w:rsid w:val="001C4EAE"/>
    <w:rsid w:val="001C7023"/>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30C7"/>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36D2E"/>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0E7"/>
    <w:rsid w:val="0026334C"/>
    <w:rsid w:val="00264BE1"/>
    <w:rsid w:val="00265D03"/>
    <w:rsid w:val="00265EB7"/>
    <w:rsid w:val="00270412"/>
    <w:rsid w:val="00270739"/>
    <w:rsid w:val="002720F5"/>
    <w:rsid w:val="00272475"/>
    <w:rsid w:val="00275B58"/>
    <w:rsid w:val="00276EE4"/>
    <w:rsid w:val="00276FDA"/>
    <w:rsid w:val="00281D23"/>
    <w:rsid w:val="0028252E"/>
    <w:rsid w:val="00283483"/>
    <w:rsid w:val="00283B58"/>
    <w:rsid w:val="00284A9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3FEB"/>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6E48"/>
    <w:rsid w:val="00307D40"/>
    <w:rsid w:val="003110A1"/>
    <w:rsid w:val="00311CD5"/>
    <w:rsid w:val="003149CE"/>
    <w:rsid w:val="0031514F"/>
    <w:rsid w:val="0031593D"/>
    <w:rsid w:val="00321185"/>
    <w:rsid w:val="00321882"/>
    <w:rsid w:val="003218B9"/>
    <w:rsid w:val="00321CDB"/>
    <w:rsid w:val="00322AA8"/>
    <w:rsid w:val="00324691"/>
    <w:rsid w:val="0032572E"/>
    <w:rsid w:val="003260D6"/>
    <w:rsid w:val="00327189"/>
    <w:rsid w:val="0032788E"/>
    <w:rsid w:val="00330976"/>
    <w:rsid w:val="00332122"/>
    <w:rsid w:val="00332D92"/>
    <w:rsid w:val="00336FF7"/>
    <w:rsid w:val="003374A0"/>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57B7F"/>
    <w:rsid w:val="00361436"/>
    <w:rsid w:val="003616DB"/>
    <w:rsid w:val="00362EF8"/>
    <w:rsid w:val="00363380"/>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88C"/>
    <w:rsid w:val="003C3117"/>
    <w:rsid w:val="003C31C2"/>
    <w:rsid w:val="003C341F"/>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50C6"/>
    <w:rsid w:val="00426722"/>
    <w:rsid w:val="00426FBC"/>
    <w:rsid w:val="00431EEF"/>
    <w:rsid w:val="00433E5C"/>
    <w:rsid w:val="004349B7"/>
    <w:rsid w:val="00434AD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60A"/>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497"/>
    <w:rsid w:val="00500D13"/>
    <w:rsid w:val="00501362"/>
    <w:rsid w:val="00502028"/>
    <w:rsid w:val="0050458D"/>
    <w:rsid w:val="0050612C"/>
    <w:rsid w:val="0050732B"/>
    <w:rsid w:val="00507D97"/>
    <w:rsid w:val="00510434"/>
    <w:rsid w:val="005110FE"/>
    <w:rsid w:val="00511CC0"/>
    <w:rsid w:val="005120D8"/>
    <w:rsid w:val="00512D34"/>
    <w:rsid w:val="00512F16"/>
    <w:rsid w:val="00515150"/>
    <w:rsid w:val="00515368"/>
    <w:rsid w:val="005161FC"/>
    <w:rsid w:val="00516686"/>
    <w:rsid w:val="005218F6"/>
    <w:rsid w:val="00522D68"/>
    <w:rsid w:val="00527709"/>
    <w:rsid w:val="00530E48"/>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095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D23"/>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073C1"/>
    <w:rsid w:val="00610EE1"/>
    <w:rsid w:val="006131AB"/>
    <w:rsid w:val="00615547"/>
    <w:rsid w:val="006168B9"/>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52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9B9"/>
    <w:rsid w:val="006B4D79"/>
    <w:rsid w:val="006B4E42"/>
    <w:rsid w:val="006B577E"/>
    <w:rsid w:val="006B6B31"/>
    <w:rsid w:val="006B7224"/>
    <w:rsid w:val="006B7D68"/>
    <w:rsid w:val="006B7DA0"/>
    <w:rsid w:val="006C0C61"/>
    <w:rsid w:val="006C1861"/>
    <w:rsid w:val="006C4BE6"/>
    <w:rsid w:val="006C7139"/>
    <w:rsid w:val="006C71C9"/>
    <w:rsid w:val="006D1FAB"/>
    <w:rsid w:val="006D3174"/>
    <w:rsid w:val="006D4A90"/>
    <w:rsid w:val="006D5B17"/>
    <w:rsid w:val="006D6BEA"/>
    <w:rsid w:val="006D6C04"/>
    <w:rsid w:val="006D6D9E"/>
    <w:rsid w:val="006D7272"/>
    <w:rsid w:val="006E1DED"/>
    <w:rsid w:val="006E3EC7"/>
    <w:rsid w:val="006E7771"/>
    <w:rsid w:val="006F129F"/>
    <w:rsid w:val="006F2B38"/>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3EEB"/>
    <w:rsid w:val="0071552E"/>
    <w:rsid w:val="00716FDD"/>
    <w:rsid w:val="007216BF"/>
    <w:rsid w:val="007219D8"/>
    <w:rsid w:val="00722569"/>
    <w:rsid w:val="007244A4"/>
    <w:rsid w:val="00724D34"/>
    <w:rsid w:val="007260A1"/>
    <w:rsid w:val="00726A74"/>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A1B54"/>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2CA8"/>
    <w:rsid w:val="007E3231"/>
    <w:rsid w:val="007F0F9A"/>
    <w:rsid w:val="007F2D8F"/>
    <w:rsid w:val="007F2EFD"/>
    <w:rsid w:val="007F566F"/>
    <w:rsid w:val="0080188E"/>
    <w:rsid w:val="00801D5D"/>
    <w:rsid w:val="008028FF"/>
    <w:rsid w:val="008029E9"/>
    <w:rsid w:val="00803ADB"/>
    <w:rsid w:val="0080466D"/>
    <w:rsid w:val="00804D5C"/>
    <w:rsid w:val="008054C0"/>
    <w:rsid w:val="00806E8B"/>
    <w:rsid w:val="0081445B"/>
    <w:rsid w:val="008147AD"/>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12E"/>
    <w:rsid w:val="0083560B"/>
    <w:rsid w:val="00836694"/>
    <w:rsid w:val="008376FD"/>
    <w:rsid w:val="008444FD"/>
    <w:rsid w:val="008455FA"/>
    <w:rsid w:val="0084565D"/>
    <w:rsid w:val="008462F0"/>
    <w:rsid w:val="00846649"/>
    <w:rsid w:val="00855067"/>
    <w:rsid w:val="00855EED"/>
    <w:rsid w:val="00860271"/>
    <w:rsid w:val="00864C8A"/>
    <w:rsid w:val="00866101"/>
    <w:rsid w:val="00867662"/>
    <w:rsid w:val="00867DEB"/>
    <w:rsid w:val="00870615"/>
    <w:rsid w:val="008707CB"/>
    <w:rsid w:val="00870E5A"/>
    <w:rsid w:val="00871392"/>
    <w:rsid w:val="00871C55"/>
    <w:rsid w:val="00871EF8"/>
    <w:rsid w:val="00871F91"/>
    <w:rsid w:val="0087285C"/>
    <w:rsid w:val="00872B93"/>
    <w:rsid w:val="00874FC0"/>
    <w:rsid w:val="00875841"/>
    <w:rsid w:val="00877F8C"/>
    <w:rsid w:val="008812BF"/>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6A55"/>
    <w:rsid w:val="00897140"/>
    <w:rsid w:val="008A1766"/>
    <w:rsid w:val="008A2B57"/>
    <w:rsid w:val="008A5B27"/>
    <w:rsid w:val="008A5F35"/>
    <w:rsid w:val="008A706A"/>
    <w:rsid w:val="008A721B"/>
    <w:rsid w:val="008B35EE"/>
    <w:rsid w:val="008B3E7C"/>
    <w:rsid w:val="008B4033"/>
    <w:rsid w:val="008B405B"/>
    <w:rsid w:val="008B44E8"/>
    <w:rsid w:val="008B47B6"/>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4CCF"/>
    <w:rsid w:val="008D79B2"/>
    <w:rsid w:val="008D7ED0"/>
    <w:rsid w:val="008E2972"/>
    <w:rsid w:val="008E30E9"/>
    <w:rsid w:val="008E5F44"/>
    <w:rsid w:val="008F18D1"/>
    <w:rsid w:val="008F3077"/>
    <w:rsid w:val="008F4D9C"/>
    <w:rsid w:val="008F4FEE"/>
    <w:rsid w:val="008F5106"/>
    <w:rsid w:val="008F5B95"/>
    <w:rsid w:val="0090274A"/>
    <w:rsid w:val="00903C11"/>
    <w:rsid w:val="00904115"/>
    <w:rsid w:val="00905154"/>
    <w:rsid w:val="00905286"/>
    <w:rsid w:val="00910FD1"/>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A6DFD"/>
    <w:rsid w:val="009B0304"/>
    <w:rsid w:val="009B0F66"/>
    <w:rsid w:val="009B17E9"/>
    <w:rsid w:val="009B299F"/>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09D"/>
    <w:rsid w:val="009C7DC6"/>
    <w:rsid w:val="009D2DE6"/>
    <w:rsid w:val="009D48A1"/>
    <w:rsid w:val="009D48CE"/>
    <w:rsid w:val="009D4FCF"/>
    <w:rsid w:val="009D55BB"/>
    <w:rsid w:val="009D78E9"/>
    <w:rsid w:val="009E3F80"/>
    <w:rsid w:val="009E3FF6"/>
    <w:rsid w:val="009E652E"/>
    <w:rsid w:val="009E7626"/>
    <w:rsid w:val="009F356D"/>
    <w:rsid w:val="009F5577"/>
    <w:rsid w:val="009F5609"/>
    <w:rsid w:val="00A02216"/>
    <w:rsid w:val="00A0380E"/>
    <w:rsid w:val="00A06458"/>
    <w:rsid w:val="00A06776"/>
    <w:rsid w:val="00A07959"/>
    <w:rsid w:val="00A124BC"/>
    <w:rsid w:val="00A13877"/>
    <w:rsid w:val="00A15161"/>
    <w:rsid w:val="00A1689C"/>
    <w:rsid w:val="00A176D5"/>
    <w:rsid w:val="00A20459"/>
    <w:rsid w:val="00A21507"/>
    <w:rsid w:val="00A23355"/>
    <w:rsid w:val="00A25BEF"/>
    <w:rsid w:val="00A25DEB"/>
    <w:rsid w:val="00A26B99"/>
    <w:rsid w:val="00A30A51"/>
    <w:rsid w:val="00A3188A"/>
    <w:rsid w:val="00A31CF0"/>
    <w:rsid w:val="00A320D2"/>
    <w:rsid w:val="00A32FF8"/>
    <w:rsid w:val="00A3335A"/>
    <w:rsid w:val="00A34277"/>
    <w:rsid w:val="00A347A7"/>
    <w:rsid w:val="00A35E0F"/>
    <w:rsid w:val="00A3643F"/>
    <w:rsid w:val="00A40E9F"/>
    <w:rsid w:val="00A415A9"/>
    <w:rsid w:val="00A42134"/>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2904"/>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158D"/>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A34"/>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4574"/>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5B8"/>
    <w:rsid w:val="00BA4BF0"/>
    <w:rsid w:val="00BA7B02"/>
    <w:rsid w:val="00BB0831"/>
    <w:rsid w:val="00BB0D89"/>
    <w:rsid w:val="00BB2F7B"/>
    <w:rsid w:val="00BB4CB6"/>
    <w:rsid w:val="00BB6F7D"/>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2FF0"/>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5A8"/>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3732"/>
    <w:rsid w:val="00C64A17"/>
    <w:rsid w:val="00C70D06"/>
    <w:rsid w:val="00C71C5B"/>
    <w:rsid w:val="00C71D66"/>
    <w:rsid w:val="00C72AEF"/>
    <w:rsid w:val="00C731F0"/>
    <w:rsid w:val="00C74113"/>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A51"/>
    <w:rsid w:val="00CE1F3A"/>
    <w:rsid w:val="00CE3A29"/>
    <w:rsid w:val="00CE74FD"/>
    <w:rsid w:val="00CE792B"/>
    <w:rsid w:val="00CE7E1D"/>
    <w:rsid w:val="00CF079B"/>
    <w:rsid w:val="00CF1D35"/>
    <w:rsid w:val="00CF4E05"/>
    <w:rsid w:val="00CF6A55"/>
    <w:rsid w:val="00CF7E2E"/>
    <w:rsid w:val="00D00BB2"/>
    <w:rsid w:val="00D0107F"/>
    <w:rsid w:val="00D016C8"/>
    <w:rsid w:val="00D01C73"/>
    <w:rsid w:val="00D020C1"/>
    <w:rsid w:val="00D04B87"/>
    <w:rsid w:val="00D12FCB"/>
    <w:rsid w:val="00D13B13"/>
    <w:rsid w:val="00D13DD3"/>
    <w:rsid w:val="00D143D7"/>
    <w:rsid w:val="00D15090"/>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148"/>
    <w:rsid w:val="00D64838"/>
    <w:rsid w:val="00D652F6"/>
    <w:rsid w:val="00D65414"/>
    <w:rsid w:val="00D706C7"/>
    <w:rsid w:val="00D70AEC"/>
    <w:rsid w:val="00D72AE4"/>
    <w:rsid w:val="00D73AEB"/>
    <w:rsid w:val="00D742A4"/>
    <w:rsid w:val="00D744E8"/>
    <w:rsid w:val="00D75405"/>
    <w:rsid w:val="00D76D98"/>
    <w:rsid w:val="00D80A14"/>
    <w:rsid w:val="00D80AAF"/>
    <w:rsid w:val="00D81229"/>
    <w:rsid w:val="00D83FC8"/>
    <w:rsid w:val="00D84386"/>
    <w:rsid w:val="00D848AB"/>
    <w:rsid w:val="00D91860"/>
    <w:rsid w:val="00D91D5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3A6"/>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21"/>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3E5D"/>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2888"/>
    <w:rsid w:val="00E53A87"/>
    <w:rsid w:val="00E5424C"/>
    <w:rsid w:val="00E5611D"/>
    <w:rsid w:val="00E56250"/>
    <w:rsid w:val="00E60649"/>
    <w:rsid w:val="00E60EB8"/>
    <w:rsid w:val="00E61433"/>
    <w:rsid w:val="00E61726"/>
    <w:rsid w:val="00E623AE"/>
    <w:rsid w:val="00E6300F"/>
    <w:rsid w:val="00E63B4A"/>
    <w:rsid w:val="00E67A91"/>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A2100"/>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2F5F"/>
    <w:rsid w:val="00ED4C66"/>
    <w:rsid w:val="00ED520F"/>
    <w:rsid w:val="00ED7379"/>
    <w:rsid w:val="00EE00F3"/>
    <w:rsid w:val="00EE1077"/>
    <w:rsid w:val="00EE164A"/>
    <w:rsid w:val="00EE4EFC"/>
    <w:rsid w:val="00EE5F51"/>
    <w:rsid w:val="00EE790F"/>
    <w:rsid w:val="00EF0F70"/>
    <w:rsid w:val="00EF2157"/>
    <w:rsid w:val="00EF2400"/>
    <w:rsid w:val="00EF2C25"/>
    <w:rsid w:val="00EF340E"/>
    <w:rsid w:val="00EF47FF"/>
    <w:rsid w:val="00EF73AB"/>
    <w:rsid w:val="00EF74E2"/>
    <w:rsid w:val="00F01092"/>
    <w:rsid w:val="00F028A0"/>
    <w:rsid w:val="00F02BC8"/>
    <w:rsid w:val="00F051CE"/>
    <w:rsid w:val="00F06C8C"/>
    <w:rsid w:val="00F14ED2"/>
    <w:rsid w:val="00F20B79"/>
    <w:rsid w:val="00F20BE0"/>
    <w:rsid w:val="00F21D0D"/>
    <w:rsid w:val="00F230D6"/>
    <w:rsid w:val="00F2595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45CB"/>
    <w:rsid w:val="00F85B55"/>
    <w:rsid w:val="00F85CAB"/>
    <w:rsid w:val="00F864A5"/>
    <w:rsid w:val="00F8749A"/>
    <w:rsid w:val="00F90F69"/>
    <w:rsid w:val="00F9115E"/>
    <w:rsid w:val="00F92AB0"/>
    <w:rsid w:val="00F92FA0"/>
    <w:rsid w:val="00F94922"/>
    <w:rsid w:val="00F964B6"/>
    <w:rsid w:val="00F968C9"/>
    <w:rsid w:val="00F97CCD"/>
    <w:rsid w:val="00FA09E1"/>
    <w:rsid w:val="00FA31B4"/>
    <w:rsid w:val="00FA594E"/>
    <w:rsid w:val="00FA7679"/>
    <w:rsid w:val="00FB2A39"/>
    <w:rsid w:val="00FB4D01"/>
    <w:rsid w:val="00FB500C"/>
    <w:rsid w:val="00FB574A"/>
    <w:rsid w:val="00FB66FD"/>
    <w:rsid w:val="00FB684A"/>
    <w:rsid w:val="00FB77FD"/>
    <w:rsid w:val="00FC09F4"/>
    <w:rsid w:val="00FC3DA6"/>
    <w:rsid w:val="00FC69EC"/>
    <w:rsid w:val="00FC71FB"/>
    <w:rsid w:val="00FC7EFC"/>
    <w:rsid w:val="00FD11CE"/>
    <w:rsid w:val="00FD18E1"/>
    <w:rsid w:val="00FD2280"/>
    <w:rsid w:val="00FD22E8"/>
    <w:rsid w:val="00FD24F5"/>
    <w:rsid w:val="00FD6012"/>
    <w:rsid w:val="00FD69DC"/>
    <w:rsid w:val="00FD7938"/>
    <w:rsid w:val="00FE1C9C"/>
    <w:rsid w:val="00FE1CCE"/>
    <w:rsid w:val="00FE3738"/>
    <w:rsid w:val="00FE54C5"/>
    <w:rsid w:val="00FE58BC"/>
    <w:rsid w:val="00FE6191"/>
    <w:rsid w:val="00FE6821"/>
    <w:rsid w:val="00FE71D3"/>
    <w:rsid w:val="00FE7EB1"/>
    <w:rsid w:val="00FF18E0"/>
    <w:rsid w:val="00FF24AF"/>
    <w:rsid w:val="00FF29C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7B051"/>
  <w15:docId w15:val="{4E36D79C-DF24-4BA8-A987-9D4FDBD8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0588466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01626839">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3306055">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491557451">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9550854">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46186455">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 w:id="21155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9" ma:contentTypeDescription="Create a new document." ma:contentTypeScope="" ma:versionID="c762cf714856c7ce057599788388787c">
  <xsd:schema xmlns:xsd="http://www.w3.org/2001/XMLSchema" xmlns:xs="http://www.w3.org/2001/XMLSchema" xmlns:p="http://schemas.microsoft.com/office/2006/metadata/properties" xmlns:ns3="c67c454c-5d3c-4c7c-956e-4a058aa1dc29" targetNamespace="http://schemas.microsoft.com/office/2006/metadata/properties" ma:root="true" ma:fieldsID="8afd070b91c133e310fd4191f1de7e17"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DD10-407B-46A9-9BF0-CA7F64BD7B03}">
  <ds:schemaRefs>
    <ds:schemaRef ds:uri="http://schemas.microsoft.com/sharepoint/v3/contenttype/forms"/>
  </ds:schemaRefs>
</ds:datastoreItem>
</file>

<file path=customXml/itemProps2.xml><?xml version="1.0" encoding="utf-8"?>
<ds:datastoreItem xmlns:ds="http://schemas.openxmlformats.org/officeDocument/2006/customXml" ds:itemID="{9537D741-DD3C-41B6-8A4E-27540FEF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BD1E0-AC06-4DC0-AFDD-668B3029600E}">
  <ds:schemaRefs>
    <ds:schemaRef ds:uri="http://purl.org/dc/elements/1.1/"/>
    <ds:schemaRef ds:uri="http://schemas.microsoft.com/office/2006/documentManagement/types"/>
    <ds:schemaRef ds:uri="c67c454c-5d3c-4c7c-956e-4a058aa1dc2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621616-48E4-4883-AAD7-6764097D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Nick</dc:creator>
  <cp:keywords/>
  <dc:description/>
  <cp:lastModifiedBy>Kim, Andrew</cp:lastModifiedBy>
  <cp:revision>4</cp:revision>
  <cp:lastPrinted>2015-03-13T15:09:00Z</cp:lastPrinted>
  <dcterms:created xsi:type="dcterms:W3CDTF">2020-08-26T18:59:00Z</dcterms:created>
  <dcterms:modified xsi:type="dcterms:W3CDTF">2020-08-26T19:03:00Z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