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D9" w:rsidRDefault="00F566D9" w:rsidP="00F566D9">
      <w:pPr>
        <w:pStyle w:val="Heading2"/>
        <w:rPr>
          <w:rFonts w:ascii="Arial" w:hAnsi="Arial" w:cs="Arial"/>
          <w:sz w:val="24"/>
        </w:rPr>
      </w:pPr>
      <w:r>
        <w:rPr>
          <w:rFonts w:ascii="Arial" w:hAnsi="Arial" w:cs="Arial"/>
          <w:sz w:val="24"/>
        </w:rPr>
        <w:t>STAFF REPORT</w:t>
      </w:r>
    </w:p>
    <w:p w:rsidR="00F566D9" w:rsidRDefault="00F566D9" w:rsidP="00F566D9">
      <w:pPr>
        <w:jc w:val="center"/>
      </w:pPr>
    </w:p>
    <w:tbl>
      <w:tblPr>
        <w:tblW w:w="0"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F566D9" w:rsidTr="00F566D9">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rPr>
            </w:pPr>
            <w:r>
              <w:rPr>
                <w:rFonts w:ascii="Arial" w:hAnsi="Arial" w:cs="Arial"/>
              </w:rPr>
              <w:t>Mike Reed</w:t>
            </w:r>
          </w:p>
        </w:tc>
      </w:tr>
      <w:tr w:rsidR="00F566D9" w:rsidTr="00F566D9">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b/>
              </w:rPr>
            </w:pPr>
            <w:r>
              <w:rPr>
                <w:rFonts w:ascii="Arial" w:hAnsi="Arial" w:cs="Arial"/>
                <w:b/>
              </w:rPr>
              <w:t>Proposed 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rPr>
            </w:pPr>
            <w:r>
              <w:rPr>
                <w:rFonts w:ascii="Arial" w:hAnsi="Arial" w:cs="Arial"/>
              </w:rPr>
              <w:t>2020-0101 and</w:t>
            </w:r>
          </w:p>
          <w:p w:rsidR="00F566D9" w:rsidRDefault="00F566D9">
            <w:pPr>
              <w:spacing w:before="40" w:after="40"/>
              <w:rPr>
                <w:rFonts w:ascii="Arial" w:hAnsi="Arial" w:cs="Arial"/>
              </w:rPr>
            </w:pPr>
            <w:r>
              <w:rPr>
                <w:rFonts w:ascii="Arial" w:hAnsi="Arial" w:cs="Arial"/>
              </w:rPr>
              <w:t>2020-0102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b/>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hideMark/>
          </w:tcPr>
          <w:p w:rsidR="00F566D9" w:rsidRDefault="00F566D9">
            <w:pPr>
              <w:spacing w:before="40" w:after="40"/>
              <w:rPr>
                <w:rFonts w:ascii="Arial" w:hAnsi="Arial" w:cs="Arial"/>
              </w:rPr>
            </w:pPr>
            <w:r>
              <w:rPr>
                <w:rFonts w:ascii="Arial" w:hAnsi="Arial" w:cs="Arial"/>
              </w:rPr>
              <w:t>August 26, 2020</w:t>
            </w:r>
          </w:p>
        </w:tc>
      </w:tr>
    </w:tbl>
    <w:p w:rsidR="00F566D9" w:rsidRDefault="00F566D9" w:rsidP="00F566D9">
      <w:pPr>
        <w:spacing w:line="264" w:lineRule="auto"/>
        <w:rPr>
          <w:rFonts w:ascii="Arial" w:hAnsi="Arial" w:cs="Arial"/>
          <w:b/>
          <w:szCs w:val="24"/>
          <w:u w:val="single"/>
        </w:rPr>
      </w:pPr>
    </w:p>
    <w:p w:rsidR="005C48C7" w:rsidRDefault="005C48C7" w:rsidP="007006B0">
      <w:pPr>
        <w:spacing w:line="252" w:lineRule="auto"/>
        <w:jc w:val="both"/>
        <w:rPr>
          <w:rFonts w:ascii="Arial" w:hAnsi="Arial" w:cs="Arial"/>
          <w:b/>
          <w:szCs w:val="24"/>
          <w:u w:val="single"/>
        </w:rPr>
      </w:pPr>
      <w:r w:rsidRPr="00594BA9">
        <w:rPr>
          <w:rFonts w:ascii="Arial" w:hAnsi="Arial" w:cs="Arial"/>
          <w:b/>
          <w:szCs w:val="24"/>
          <w:u w:val="single"/>
        </w:rPr>
        <w:t>SUBJECT</w:t>
      </w:r>
    </w:p>
    <w:p w:rsidR="005C48C7" w:rsidRPr="00594BA9" w:rsidRDefault="005C48C7" w:rsidP="007006B0">
      <w:pPr>
        <w:spacing w:line="252" w:lineRule="auto"/>
        <w:jc w:val="both"/>
        <w:rPr>
          <w:rFonts w:ascii="Arial" w:hAnsi="Arial" w:cs="Arial"/>
          <w:b/>
          <w:szCs w:val="24"/>
          <w:u w:val="single"/>
        </w:rPr>
      </w:pPr>
    </w:p>
    <w:p w:rsidR="005C48C7" w:rsidRPr="00641D33" w:rsidRDefault="005C48C7" w:rsidP="007006B0">
      <w:pPr>
        <w:spacing w:line="252" w:lineRule="auto"/>
        <w:jc w:val="both"/>
        <w:rPr>
          <w:rFonts w:ascii="Arial" w:hAnsi="Arial" w:cs="Arial"/>
          <w:b/>
          <w:szCs w:val="24"/>
          <w:u w:val="single"/>
        </w:rPr>
      </w:pPr>
      <w:r>
        <w:rPr>
          <w:rFonts w:ascii="Arial" w:hAnsi="Arial" w:cs="Arial"/>
          <w:szCs w:val="24"/>
        </w:rPr>
        <w:t xml:space="preserve">Proposed revision to </w:t>
      </w:r>
      <w:r w:rsidR="006F2D57">
        <w:rPr>
          <w:rFonts w:ascii="Arial" w:hAnsi="Arial" w:cs="Arial"/>
          <w:szCs w:val="24"/>
        </w:rPr>
        <w:t xml:space="preserve">the rate structure and the financial policy governing </w:t>
      </w:r>
      <w:r w:rsidR="00F566D9">
        <w:rPr>
          <w:rFonts w:ascii="Arial" w:hAnsi="Arial" w:cs="Arial"/>
          <w:szCs w:val="24"/>
        </w:rPr>
        <w:t>the Wastewater Capacity Charge.</w:t>
      </w:r>
    </w:p>
    <w:p w:rsidR="005C48C7" w:rsidRPr="00D8304F" w:rsidRDefault="005C48C7" w:rsidP="007006B0">
      <w:pPr>
        <w:spacing w:line="252" w:lineRule="auto"/>
        <w:jc w:val="both"/>
        <w:rPr>
          <w:rFonts w:ascii="Arial" w:hAnsi="Arial" w:cs="Arial"/>
          <w:b/>
          <w:i/>
          <w:szCs w:val="24"/>
          <w:u w:val="single"/>
        </w:rPr>
      </w:pPr>
    </w:p>
    <w:p w:rsidR="005C48C7" w:rsidRDefault="00F566D9" w:rsidP="007006B0">
      <w:pPr>
        <w:spacing w:line="252" w:lineRule="auto"/>
        <w:jc w:val="both"/>
        <w:rPr>
          <w:rFonts w:ascii="Arial" w:hAnsi="Arial" w:cs="Arial"/>
          <w:b/>
          <w:szCs w:val="24"/>
          <w:u w:val="single"/>
        </w:rPr>
      </w:pPr>
      <w:r>
        <w:rPr>
          <w:rFonts w:ascii="Arial" w:hAnsi="Arial" w:cs="Arial"/>
          <w:b/>
          <w:szCs w:val="24"/>
          <w:u w:val="single"/>
        </w:rPr>
        <w:t>SUMMARY</w:t>
      </w:r>
    </w:p>
    <w:p w:rsidR="005C48C7" w:rsidRPr="00594BA9" w:rsidRDefault="005C48C7" w:rsidP="007006B0">
      <w:pPr>
        <w:spacing w:line="252" w:lineRule="auto"/>
        <w:jc w:val="both"/>
        <w:rPr>
          <w:rFonts w:ascii="Arial" w:hAnsi="Arial" w:cs="Arial"/>
          <w:b/>
          <w:szCs w:val="24"/>
          <w:u w:val="single"/>
        </w:rPr>
      </w:pPr>
    </w:p>
    <w:p w:rsidR="00F566D9" w:rsidRDefault="005C48C7" w:rsidP="007006B0">
      <w:pPr>
        <w:spacing w:line="252" w:lineRule="auto"/>
        <w:jc w:val="both"/>
        <w:rPr>
          <w:rFonts w:ascii="Arial" w:hAnsi="Arial" w:cs="Arial"/>
          <w:szCs w:val="24"/>
        </w:rPr>
      </w:pPr>
      <w:r>
        <w:rPr>
          <w:rFonts w:ascii="Arial" w:hAnsi="Arial" w:cs="Arial"/>
          <w:szCs w:val="24"/>
        </w:rPr>
        <w:t xml:space="preserve">The Executive has recommended revising the structure of the wastewater capacity charge to base it on the average number of persons per household for various structure types.  This recommendation would require changes to two </w:t>
      </w:r>
      <w:r w:rsidR="006F2D57">
        <w:rPr>
          <w:rFonts w:ascii="Arial" w:hAnsi="Arial" w:cs="Arial"/>
          <w:szCs w:val="24"/>
        </w:rPr>
        <w:t>code sections</w:t>
      </w:r>
      <w:r>
        <w:rPr>
          <w:rFonts w:ascii="Arial" w:hAnsi="Arial" w:cs="Arial"/>
          <w:szCs w:val="24"/>
        </w:rPr>
        <w:t xml:space="preserve">: a revision to the Financial Policy of the Comprehensive Water Pollution Abatement Plan, </w:t>
      </w:r>
      <w:r w:rsidR="007006B0">
        <w:rPr>
          <w:rFonts w:ascii="Arial" w:hAnsi="Arial" w:cs="Arial"/>
          <w:szCs w:val="24"/>
        </w:rPr>
        <w:t xml:space="preserve">and </w:t>
      </w:r>
      <w:r w:rsidR="001A4EB5">
        <w:rPr>
          <w:rFonts w:ascii="Arial" w:hAnsi="Arial" w:cs="Arial"/>
          <w:szCs w:val="24"/>
        </w:rPr>
        <w:t>a</w:t>
      </w:r>
      <w:r>
        <w:rPr>
          <w:rFonts w:ascii="Arial" w:hAnsi="Arial" w:cs="Arial"/>
          <w:szCs w:val="24"/>
        </w:rPr>
        <w:t xml:space="preserve"> change</w:t>
      </w:r>
      <w:r w:rsidR="001A4EB5">
        <w:rPr>
          <w:rFonts w:ascii="Arial" w:hAnsi="Arial" w:cs="Arial"/>
          <w:szCs w:val="24"/>
        </w:rPr>
        <w:t xml:space="preserve"> to</w:t>
      </w:r>
      <w:r>
        <w:rPr>
          <w:rFonts w:ascii="Arial" w:hAnsi="Arial" w:cs="Arial"/>
          <w:szCs w:val="24"/>
        </w:rPr>
        <w:t xml:space="preserve"> existing code language that specifies the current amount charged by housing type</w:t>
      </w:r>
      <w:r w:rsidR="001A4EB5">
        <w:rPr>
          <w:rFonts w:ascii="Arial" w:hAnsi="Arial" w:cs="Arial"/>
          <w:szCs w:val="24"/>
        </w:rPr>
        <w:t xml:space="preserve">.  </w:t>
      </w:r>
    </w:p>
    <w:p w:rsidR="00F566D9" w:rsidRDefault="00F566D9" w:rsidP="007006B0">
      <w:pPr>
        <w:spacing w:line="252" w:lineRule="auto"/>
        <w:jc w:val="both"/>
        <w:rPr>
          <w:rFonts w:ascii="Arial" w:hAnsi="Arial" w:cs="Arial"/>
          <w:szCs w:val="24"/>
        </w:rPr>
      </w:pPr>
    </w:p>
    <w:p w:rsidR="00E64500" w:rsidRDefault="00523F6D" w:rsidP="007006B0">
      <w:pPr>
        <w:spacing w:line="252" w:lineRule="auto"/>
        <w:jc w:val="both"/>
        <w:rPr>
          <w:rFonts w:ascii="Arial" w:hAnsi="Arial" w:cs="Arial"/>
          <w:szCs w:val="24"/>
        </w:rPr>
      </w:pPr>
      <w:r>
        <w:rPr>
          <w:rFonts w:ascii="Arial" w:hAnsi="Arial" w:cs="Arial"/>
          <w:szCs w:val="24"/>
        </w:rPr>
        <w:t xml:space="preserve">Proposed Ordinance 2020-0101 would modify the existing capacity charge </w:t>
      </w:r>
      <w:r w:rsidR="00E74997">
        <w:rPr>
          <w:rFonts w:ascii="Arial" w:hAnsi="Arial" w:cs="Arial"/>
          <w:szCs w:val="24"/>
        </w:rPr>
        <w:t xml:space="preserve">code language </w:t>
      </w:r>
      <w:r>
        <w:rPr>
          <w:rFonts w:ascii="Arial" w:hAnsi="Arial" w:cs="Arial"/>
          <w:szCs w:val="24"/>
        </w:rPr>
        <w:t>such that it is structured to align amounts charged according to size and type of housing, tying p</w:t>
      </w:r>
      <w:r w:rsidR="007006B0">
        <w:rPr>
          <w:rFonts w:ascii="Arial" w:hAnsi="Arial" w:cs="Arial"/>
          <w:szCs w:val="24"/>
        </w:rPr>
        <w:t>ayment levels to average number</w:t>
      </w:r>
      <w:r>
        <w:rPr>
          <w:rFonts w:ascii="Arial" w:hAnsi="Arial" w:cs="Arial"/>
          <w:szCs w:val="24"/>
        </w:rPr>
        <w:t xml:space="preserve"> of persons accommodated by the housing type.  </w:t>
      </w:r>
    </w:p>
    <w:p w:rsidR="00E64500" w:rsidRDefault="00E64500" w:rsidP="007006B0">
      <w:pPr>
        <w:spacing w:line="252" w:lineRule="auto"/>
        <w:jc w:val="both"/>
        <w:rPr>
          <w:rFonts w:ascii="Arial" w:hAnsi="Arial" w:cs="Arial"/>
          <w:szCs w:val="24"/>
        </w:rPr>
      </w:pPr>
    </w:p>
    <w:p w:rsidR="005C48C7" w:rsidRDefault="001A4EB5" w:rsidP="007006B0">
      <w:pPr>
        <w:spacing w:line="252" w:lineRule="auto"/>
        <w:jc w:val="both"/>
        <w:rPr>
          <w:rFonts w:ascii="Arial" w:hAnsi="Arial" w:cs="Arial"/>
          <w:szCs w:val="24"/>
        </w:rPr>
      </w:pPr>
      <w:r>
        <w:rPr>
          <w:rFonts w:ascii="Arial" w:hAnsi="Arial" w:cs="Arial"/>
          <w:szCs w:val="24"/>
        </w:rPr>
        <w:t xml:space="preserve">Proposed Ordinance 2020-0102 would revise the </w:t>
      </w:r>
      <w:r w:rsidR="006F2D57">
        <w:rPr>
          <w:rFonts w:ascii="Arial" w:hAnsi="Arial" w:cs="Arial"/>
          <w:szCs w:val="24"/>
        </w:rPr>
        <w:t xml:space="preserve">Capacity Charge </w:t>
      </w:r>
      <w:r>
        <w:rPr>
          <w:rFonts w:ascii="Arial" w:hAnsi="Arial" w:cs="Arial"/>
          <w:szCs w:val="24"/>
        </w:rPr>
        <w:t xml:space="preserve">Financial Policy to </w:t>
      </w:r>
      <w:r w:rsidR="006F2D57">
        <w:rPr>
          <w:rFonts w:ascii="Arial" w:hAnsi="Arial" w:cs="Arial"/>
          <w:szCs w:val="24"/>
        </w:rPr>
        <w:t xml:space="preserve">specify that capacity charges would be </w:t>
      </w:r>
      <w:r>
        <w:rPr>
          <w:rFonts w:ascii="Arial" w:hAnsi="Arial" w:cs="Arial"/>
          <w:szCs w:val="24"/>
        </w:rPr>
        <w:t>based on average numbers of persons per househo</w:t>
      </w:r>
      <w:r w:rsidR="00E74997">
        <w:rPr>
          <w:rFonts w:ascii="Arial" w:hAnsi="Arial" w:cs="Arial"/>
          <w:szCs w:val="24"/>
        </w:rPr>
        <w:t>ld.  Proposed Ordinance 2020-0102 was dually referred to the Regional Water Quality Committee</w:t>
      </w:r>
      <w:r w:rsidR="00E64500">
        <w:rPr>
          <w:rFonts w:ascii="Arial" w:hAnsi="Arial" w:cs="Arial"/>
          <w:szCs w:val="24"/>
        </w:rPr>
        <w:t xml:space="preserve"> (RWQC)</w:t>
      </w:r>
      <w:r w:rsidR="00E74997">
        <w:rPr>
          <w:rFonts w:ascii="Arial" w:hAnsi="Arial" w:cs="Arial"/>
          <w:szCs w:val="24"/>
        </w:rPr>
        <w:t xml:space="preserve"> and the Budget and Fiscal Management Committee</w:t>
      </w:r>
      <w:r w:rsidR="00E64500">
        <w:rPr>
          <w:rFonts w:ascii="Arial" w:hAnsi="Arial" w:cs="Arial"/>
          <w:szCs w:val="24"/>
        </w:rPr>
        <w:t xml:space="preserve"> and</w:t>
      </w:r>
      <w:r w:rsidR="00E74997">
        <w:rPr>
          <w:rFonts w:ascii="Arial" w:hAnsi="Arial" w:cs="Arial"/>
          <w:szCs w:val="24"/>
        </w:rPr>
        <w:t xml:space="preserve"> in July of this year, RWQC </w:t>
      </w:r>
      <w:r w:rsidR="00F96BCC">
        <w:rPr>
          <w:rFonts w:ascii="Arial" w:hAnsi="Arial" w:cs="Arial"/>
          <w:szCs w:val="24"/>
        </w:rPr>
        <w:t>unanimously adopted</w:t>
      </w:r>
      <w:r w:rsidR="00E74997">
        <w:rPr>
          <w:rFonts w:ascii="Arial" w:hAnsi="Arial" w:cs="Arial"/>
          <w:szCs w:val="24"/>
        </w:rPr>
        <w:t xml:space="preserve"> this measure. </w:t>
      </w:r>
      <w:r w:rsidR="00E64500">
        <w:rPr>
          <w:rFonts w:ascii="Arial" w:hAnsi="Arial" w:cs="Arial"/>
          <w:szCs w:val="24"/>
        </w:rPr>
        <w:t xml:space="preserve">It should be noted that </w:t>
      </w:r>
      <w:r w:rsidR="005C48C7">
        <w:rPr>
          <w:rFonts w:ascii="Arial" w:hAnsi="Arial" w:cs="Arial"/>
          <w:szCs w:val="24"/>
        </w:rPr>
        <w:t>P</w:t>
      </w:r>
      <w:r w:rsidR="00E74997">
        <w:rPr>
          <w:rFonts w:ascii="Arial" w:hAnsi="Arial" w:cs="Arial"/>
          <w:szCs w:val="24"/>
        </w:rPr>
        <w:t>roposed Ordinance 2020-0101 was referred solely to the</w:t>
      </w:r>
      <w:r w:rsidR="005C48C7">
        <w:rPr>
          <w:rFonts w:ascii="Arial" w:hAnsi="Arial" w:cs="Arial"/>
          <w:szCs w:val="24"/>
        </w:rPr>
        <w:t xml:space="preserve"> Budget and Fiscal Management Committee</w:t>
      </w:r>
      <w:r w:rsidR="00E64500">
        <w:rPr>
          <w:rFonts w:ascii="Arial" w:hAnsi="Arial" w:cs="Arial"/>
          <w:szCs w:val="24"/>
        </w:rPr>
        <w:t xml:space="preserve"> since this is a fiscal measure</w:t>
      </w:r>
      <w:r w:rsidR="00E74997">
        <w:rPr>
          <w:rFonts w:ascii="Arial" w:hAnsi="Arial" w:cs="Arial"/>
          <w:szCs w:val="24"/>
        </w:rPr>
        <w:t>.</w:t>
      </w:r>
    </w:p>
    <w:p w:rsidR="008E553F" w:rsidRDefault="008E553F" w:rsidP="007006B0">
      <w:pPr>
        <w:spacing w:line="252" w:lineRule="auto"/>
        <w:jc w:val="both"/>
        <w:rPr>
          <w:rFonts w:ascii="Arial" w:hAnsi="Arial" w:cs="Arial"/>
          <w:szCs w:val="24"/>
        </w:rPr>
      </w:pPr>
    </w:p>
    <w:p w:rsidR="008E553F" w:rsidRPr="00641D33" w:rsidRDefault="008E553F" w:rsidP="007006B0">
      <w:pPr>
        <w:spacing w:line="252" w:lineRule="auto"/>
        <w:jc w:val="both"/>
        <w:rPr>
          <w:rFonts w:ascii="Arial" w:hAnsi="Arial" w:cs="Arial"/>
          <w:szCs w:val="24"/>
        </w:rPr>
      </w:pPr>
      <w:r>
        <w:rPr>
          <w:rFonts w:ascii="Arial" w:hAnsi="Arial" w:cs="Arial"/>
          <w:szCs w:val="24"/>
        </w:rPr>
        <w:t>Striking Amendment S1 to Proposed Ordinance 2020-0101 would</w:t>
      </w:r>
      <w:r w:rsidRPr="008E553F">
        <w:t xml:space="preserve"> </w:t>
      </w:r>
      <w:r>
        <w:rPr>
          <w:rFonts w:ascii="Arial" w:hAnsi="Arial" w:cs="Arial"/>
          <w:szCs w:val="24"/>
        </w:rPr>
        <w:t xml:space="preserve">provide </w:t>
      </w:r>
      <w:r w:rsidRPr="008E553F">
        <w:rPr>
          <w:rFonts w:ascii="Arial" w:hAnsi="Arial" w:cs="Arial"/>
          <w:szCs w:val="24"/>
        </w:rPr>
        <w:t xml:space="preserve">that customers connecting to the system after January 1, 2019 who meet the low income housing definition are eligible for the low income </w:t>
      </w:r>
      <w:r>
        <w:rPr>
          <w:rFonts w:ascii="Arial" w:hAnsi="Arial" w:cs="Arial"/>
          <w:szCs w:val="24"/>
        </w:rPr>
        <w:t>R</w:t>
      </w:r>
      <w:r w:rsidR="007006B0">
        <w:rPr>
          <w:rFonts w:ascii="Arial" w:hAnsi="Arial" w:cs="Arial"/>
          <w:szCs w:val="24"/>
        </w:rPr>
        <w:t xml:space="preserve">esidential </w:t>
      </w:r>
      <w:r>
        <w:rPr>
          <w:rFonts w:ascii="Arial" w:hAnsi="Arial" w:cs="Arial"/>
          <w:szCs w:val="24"/>
        </w:rPr>
        <w:t>C</w:t>
      </w:r>
      <w:r w:rsidR="007006B0">
        <w:rPr>
          <w:rFonts w:ascii="Arial" w:hAnsi="Arial" w:cs="Arial"/>
          <w:szCs w:val="24"/>
        </w:rPr>
        <w:t xml:space="preserve">ustomer </w:t>
      </w:r>
      <w:r>
        <w:rPr>
          <w:rFonts w:ascii="Arial" w:hAnsi="Arial" w:cs="Arial"/>
          <w:szCs w:val="24"/>
        </w:rPr>
        <w:t>E</w:t>
      </w:r>
      <w:r w:rsidR="007006B0">
        <w:rPr>
          <w:rFonts w:ascii="Arial" w:hAnsi="Arial" w:cs="Arial"/>
          <w:szCs w:val="24"/>
        </w:rPr>
        <w:t>quivalent</w:t>
      </w:r>
      <w:r w:rsidRPr="008E553F">
        <w:rPr>
          <w:rFonts w:ascii="Arial" w:hAnsi="Arial" w:cs="Arial"/>
          <w:szCs w:val="24"/>
        </w:rPr>
        <w:t xml:space="preserve"> assessment, to be applied to the remaining capacity charge due from those customers.  </w:t>
      </w:r>
      <w:r w:rsidR="00D0660F">
        <w:rPr>
          <w:rFonts w:ascii="Arial" w:hAnsi="Arial" w:cs="Arial"/>
          <w:szCs w:val="24"/>
        </w:rPr>
        <w:t xml:space="preserve">Striking Amendment </w:t>
      </w:r>
      <w:r>
        <w:rPr>
          <w:rFonts w:ascii="Arial" w:hAnsi="Arial" w:cs="Arial"/>
          <w:szCs w:val="24"/>
        </w:rPr>
        <w:t xml:space="preserve">S1 </w:t>
      </w:r>
      <w:r w:rsidR="00D0660F">
        <w:rPr>
          <w:rFonts w:ascii="Arial" w:hAnsi="Arial" w:cs="Arial"/>
          <w:szCs w:val="24"/>
        </w:rPr>
        <w:t xml:space="preserve">would also include other technical changes. </w:t>
      </w:r>
      <w:r w:rsidR="00F96BCC">
        <w:rPr>
          <w:rFonts w:ascii="Arial" w:hAnsi="Arial" w:cs="Arial"/>
          <w:szCs w:val="24"/>
        </w:rPr>
        <w:t xml:space="preserve">In case Striking Amendment S1 is not offered (or </w:t>
      </w:r>
      <w:r w:rsidR="002C66D1">
        <w:rPr>
          <w:rFonts w:ascii="Arial" w:hAnsi="Arial" w:cs="Arial"/>
          <w:szCs w:val="24"/>
        </w:rPr>
        <w:t xml:space="preserve">does </w:t>
      </w:r>
      <w:r w:rsidR="00F96BCC">
        <w:rPr>
          <w:rFonts w:ascii="Arial" w:hAnsi="Arial" w:cs="Arial"/>
          <w:szCs w:val="24"/>
        </w:rPr>
        <w:t xml:space="preserve">not pass), </w:t>
      </w:r>
      <w:r w:rsidR="00D0660F">
        <w:rPr>
          <w:rFonts w:ascii="Arial" w:hAnsi="Arial" w:cs="Arial"/>
          <w:szCs w:val="24"/>
        </w:rPr>
        <w:t xml:space="preserve">Striking Amendment S2 to Proposed Ordinance 2020-0101 </w:t>
      </w:r>
      <w:r w:rsidR="00F96BCC">
        <w:rPr>
          <w:rFonts w:ascii="Arial" w:hAnsi="Arial" w:cs="Arial"/>
          <w:szCs w:val="24"/>
        </w:rPr>
        <w:t xml:space="preserve">that </w:t>
      </w:r>
      <w:r w:rsidR="00D0660F">
        <w:rPr>
          <w:rFonts w:ascii="Arial" w:hAnsi="Arial" w:cs="Arial"/>
          <w:szCs w:val="24"/>
        </w:rPr>
        <w:t>would only make technical changes</w:t>
      </w:r>
      <w:r w:rsidR="00F96BCC">
        <w:rPr>
          <w:rFonts w:ascii="Arial" w:hAnsi="Arial" w:cs="Arial"/>
          <w:szCs w:val="24"/>
        </w:rPr>
        <w:t xml:space="preserve"> has also been prepared</w:t>
      </w:r>
      <w:r w:rsidR="00D0660F">
        <w:rPr>
          <w:rFonts w:ascii="Arial" w:hAnsi="Arial" w:cs="Arial"/>
          <w:szCs w:val="24"/>
        </w:rPr>
        <w:t>.</w:t>
      </w:r>
    </w:p>
    <w:p w:rsidR="005C48C7" w:rsidRPr="00D8304F" w:rsidRDefault="005C48C7" w:rsidP="00F566D9">
      <w:pPr>
        <w:spacing w:line="264" w:lineRule="auto"/>
        <w:jc w:val="both"/>
        <w:rPr>
          <w:rFonts w:ascii="Arial" w:hAnsi="Arial" w:cs="Arial"/>
          <w:i/>
          <w:szCs w:val="24"/>
        </w:rPr>
      </w:pPr>
    </w:p>
    <w:p w:rsidR="005C48C7" w:rsidRDefault="00F566D9" w:rsidP="00F566D9">
      <w:pPr>
        <w:spacing w:line="264" w:lineRule="auto"/>
        <w:jc w:val="both"/>
        <w:rPr>
          <w:rFonts w:ascii="Arial" w:hAnsi="Arial" w:cs="Arial"/>
          <w:b/>
          <w:szCs w:val="24"/>
          <w:u w:val="single"/>
        </w:rPr>
      </w:pPr>
      <w:r>
        <w:rPr>
          <w:rFonts w:ascii="Arial" w:hAnsi="Arial" w:cs="Arial"/>
          <w:b/>
          <w:szCs w:val="24"/>
          <w:u w:val="single"/>
        </w:rPr>
        <w:t>BACKGROUND</w:t>
      </w:r>
    </w:p>
    <w:p w:rsidR="005C48C7" w:rsidRDefault="005C48C7" w:rsidP="00F566D9">
      <w:pPr>
        <w:spacing w:line="264" w:lineRule="auto"/>
      </w:pPr>
    </w:p>
    <w:p w:rsidR="006A2E1C" w:rsidRDefault="005C48C7" w:rsidP="00F566D9">
      <w:pPr>
        <w:spacing w:line="264" w:lineRule="auto"/>
        <w:jc w:val="both"/>
        <w:rPr>
          <w:rFonts w:ascii="Arial" w:hAnsi="Arial" w:cs="Arial"/>
        </w:rPr>
      </w:pPr>
      <w:r>
        <w:rPr>
          <w:rFonts w:ascii="Arial" w:hAnsi="Arial" w:cs="Arial"/>
        </w:rPr>
        <w:t xml:space="preserve">The wastewater capacity charge is assessed for each new connection to the wastewater system, including for households, businesses and industry.  The capacity charge is administered under the concept that “growth pays for growth”—that is, additional system capacity needed </w:t>
      </w:r>
      <w:r w:rsidR="007F4423">
        <w:rPr>
          <w:rFonts w:ascii="Arial" w:hAnsi="Arial" w:cs="Arial"/>
        </w:rPr>
        <w:t>to accommodate new system users</w:t>
      </w:r>
      <w:r>
        <w:rPr>
          <w:rFonts w:ascii="Arial" w:hAnsi="Arial" w:cs="Arial"/>
        </w:rPr>
        <w:t xml:space="preserve"> should</w:t>
      </w:r>
      <w:r w:rsidR="007F4423">
        <w:rPr>
          <w:rFonts w:ascii="Arial" w:hAnsi="Arial" w:cs="Arial"/>
        </w:rPr>
        <w:t xml:space="preserve"> be paid for by those new users.</w:t>
      </w:r>
      <w:r>
        <w:rPr>
          <w:rFonts w:ascii="Arial" w:hAnsi="Arial" w:cs="Arial"/>
        </w:rPr>
        <w:t xml:space="preserve"> </w:t>
      </w:r>
      <w:r w:rsidR="00E64500">
        <w:rPr>
          <w:rFonts w:ascii="Arial" w:hAnsi="Arial" w:cs="Arial"/>
        </w:rPr>
        <w:t>The code provision for the capacity charge is as follows:</w:t>
      </w:r>
    </w:p>
    <w:p w:rsidR="006A2E1C" w:rsidRDefault="006A2E1C" w:rsidP="00F566D9">
      <w:pPr>
        <w:spacing w:line="264" w:lineRule="auto"/>
        <w:jc w:val="both"/>
        <w:rPr>
          <w:rFonts w:ascii="Arial" w:hAnsi="Arial" w:cs="Arial"/>
        </w:rPr>
      </w:pPr>
      <w:r>
        <w:rPr>
          <w:rFonts w:ascii="Arial" w:hAnsi="Arial" w:cs="Arial"/>
        </w:rPr>
        <w:tab/>
      </w:r>
    </w:p>
    <w:p w:rsidR="006A2E1C" w:rsidRDefault="006A2E1C" w:rsidP="00F566D9">
      <w:pPr>
        <w:spacing w:line="264" w:lineRule="auto"/>
        <w:jc w:val="both"/>
        <w:rPr>
          <w:rFonts w:ascii="Arial" w:hAnsi="Arial" w:cs="Arial"/>
        </w:rPr>
      </w:pPr>
      <w:r>
        <w:rPr>
          <w:rFonts w:ascii="Arial" w:hAnsi="Arial" w:cs="Arial"/>
        </w:rPr>
        <w:tab/>
      </w:r>
      <w:r w:rsidRPr="008D0923">
        <w:rPr>
          <w:rFonts w:ascii="Arial" w:hAnsi="Arial" w:cs="Arial"/>
          <w:b/>
        </w:rPr>
        <w:t>K.C.C. 28.84.050.O.1</w:t>
      </w:r>
      <w:r>
        <w:rPr>
          <w:rFonts w:ascii="Arial" w:hAnsi="Arial" w:cs="Arial"/>
        </w:rPr>
        <w:t>.</w:t>
      </w:r>
    </w:p>
    <w:p w:rsidR="006A2E1C" w:rsidRDefault="006A2E1C" w:rsidP="00F566D9">
      <w:pPr>
        <w:tabs>
          <w:tab w:val="left" w:pos="-1440"/>
          <w:tab w:val="left" w:pos="-720"/>
        </w:tabs>
        <w:suppressAutoHyphens/>
        <w:spacing w:line="264" w:lineRule="auto"/>
        <w:ind w:left="720"/>
        <w:jc w:val="both"/>
        <w:rPr>
          <w:rFonts w:ascii="Arial" w:hAnsi="Arial"/>
          <w:spacing w:val="-2"/>
          <w:szCs w:val="24"/>
        </w:rPr>
      </w:pPr>
      <w:r w:rsidRPr="00771B8D">
        <w:rPr>
          <w:rFonts w:ascii="Arial" w:hAnsi="Arial"/>
          <w:spacing w:val="-2"/>
          <w:szCs w:val="24"/>
        </w:rPr>
        <w:t>All customers of a public or private sewage facility who connect, reconnect or establish a new service that uses metropolitan sewage facilities after February 1, 1990 shall pay a capacity charge in an amount established annually by the council in accordance with state law.  Users of metropolitan sewage facilities shall be subject to the capacity charge upon connection or reconnection to public or private sewage facilities and/or establishment of a new sewer service.</w:t>
      </w:r>
    </w:p>
    <w:p w:rsidR="00E64500" w:rsidRDefault="00E64500" w:rsidP="00F566D9">
      <w:pPr>
        <w:tabs>
          <w:tab w:val="left" w:pos="-1440"/>
          <w:tab w:val="left" w:pos="-720"/>
        </w:tabs>
        <w:suppressAutoHyphens/>
        <w:spacing w:line="264" w:lineRule="auto"/>
        <w:ind w:left="720"/>
        <w:jc w:val="both"/>
        <w:rPr>
          <w:rFonts w:ascii="Arial" w:hAnsi="Arial"/>
          <w:spacing w:val="-2"/>
          <w:szCs w:val="24"/>
        </w:rPr>
      </w:pPr>
      <w:r>
        <w:rPr>
          <w:rFonts w:ascii="Arial" w:hAnsi="Arial"/>
          <w:spacing w:val="-2"/>
          <w:szCs w:val="24"/>
        </w:rPr>
        <w:tab/>
        <w:t>…</w:t>
      </w:r>
    </w:p>
    <w:p w:rsidR="006A2E1C" w:rsidRDefault="006F2D57" w:rsidP="00F566D9">
      <w:pPr>
        <w:spacing w:line="264" w:lineRule="auto"/>
        <w:ind w:left="1440"/>
        <w:jc w:val="both"/>
        <w:rPr>
          <w:rFonts w:ascii="Arial" w:hAnsi="Arial" w:cs="Arial"/>
        </w:rPr>
      </w:pPr>
      <w:r>
        <w:rPr>
          <w:rFonts w:ascii="Arial" w:hAnsi="Arial"/>
          <w:spacing w:val="-2"/>
          <w:szCs w:val="24"/>
        </w:rPr>
        <w:t xml:space="preserve">c. </w:t>
      </w:r>
      <w:r w:rsidR="008D0923">
        <w:rPr>
          <w:rFonts w:ascii="Arial" w:hAnsi="Arial"/>
          <w:spacing w:val="-2"/>
          <w:szCs w:val="24"/>
        </w:rPr>
        <w:t>"Capacity charge," for purposes of this subsection, shall mean a charge levied on a property to recover capital costs needed to serve new customers.</w:t>
      </w:r>
    </w:p>
    <w:p w:rsidR="008D0923" w:rsidRDefault="008D0923" w:rsidP="00F566D9">
      <w:pPr>
        <w:spacing w:line="264" w:lineRule="auto"/>
        <w:jc w:val="both"/>
        <w:rPr>
          <w:rFonts w:ascii="Arial" w:hAnsi="Arial" w:cs="Arial"/>
        </w:rPr>
      </w:pPr>
      <w:r>
        <w:rPr>
          <w:rFonts w:ascii="Arial" w:hAnsi="Arial" w:cs="Arial"/>
        </w:rPr>
        <w:tab/>
      </w:r>
      <w:r>
        <w:rPr>
          <w:rFonts w:ascii="Arial" w:hAnsi="Arial" w:cs="Arial"/>
        </w:rPr>
        <w:tab/>
      </w:r>
    </w:p>
    <w:p w:rsidR="005C48C7" w:rsidRDefault="00EA01D7" w:rsidP="00F566D9">
      <w:pPr>
        <w:spacing w:line="264" w:lineRule="auto"/>
        <w:jc w:val="both"/>
        <w:rPr>
          <w:rFonts w:ascii="Arial" w:hAnsi="Arial" w:cs="Arial"/>
        </w:rPr>
      </w:pPr>
      <w:r>
        <w:rPr>
          <w:rFonts w:ascii="Arial" w:hAnsi="Arial" w:cs="Arial"/>
        </w:rPr>
        <w:t>Capacity charges are assessed based on th</w:t>
      </w:r>
      <w:r w:rsidR="00BC6EDB">
        <w:rPr>
          <w:rFonts w:ascii="Arial" w:hAnsi="Arial" w:cs="Arial"/>
        </w:rPr>
        <w:t>e projected volume of domestic water consumption</w:t>
      </w:r>
      <w:r>
        <w:rPr>
          <w:rFonts w:ascii="Arial" w:hAnsi="Arial" w:cs="Arial"/>
        </w:rPr>
        <w:t xml:space="preserve"> utilized by a given structure type, as expressed in “Residential Customer Equivalents” (RCE’s)</w:t>
      </w:r>
      <w:r w:rsidR="00BC6EDB">
        <w:rPr>
          <w:rStyle w:val="FootnoteReference"/>
          <w:rFonts w:ascii="Arial" w:hAnsi="Arial" w:cs="Arial"/>
        </w:rPr>
        <w:footnoteReference w:id="1"/>
      </w:r>
      <w:r>
        <w:rPr>
          <w:rFonts w:ascii="Arial" w:hAnsi="Arial" w:cs="Arial"/>
        </w:rPr>
        <w:t>.  A single family</w:t>
      </w:r>
      <w:r w:rsidR="00DF1A5E">
        <w:rPr>
          <w:rFonts w:ascii="Arial" w:hAnsi="Arial" w:cs="Arial"/>
        </w:rPr>
        <w:t xml:space="preserve"> dwelling is assumed to consume one RCE (750 cubic feet) </w:t>
      </w:r>
      <w:r w:rsidR="006F2D57">
        <w:rPr>
          <w:rFonts w:ascii="Arial" w:hAnsi="Arial" w:cs="Arial"/>
        </w:rPr>
        <w:t xml:space="preserve">of water </w:t>
      </w:r>
      <w:r w:rsidR="00DF1A5E">
        <w:rPr>
          <w:rFonts w:ascii="Arial" w:hAnsi="Arial" w:cs="Arial"/>
        </w:rPr>
        <w:t>per month</w:t>
      </w:r>
      <w:r>
        <w:rPr>
          <w:rFonts w:ascii="Arial" w:hAnsi="Arial" w:cs="Arial"/>
        </w:rPr>
        <w:t>.</w:t>
      </w:r>
      <w:r w:rsidR="00DF1A5E">
        <w:rPr>
          <w:rFonts w:ascii="Arial" w:hAnsi="Arial" w:cs="Arial"/>
        </w:rPr>
        <w:t xml:space="preserve"> </w:t>
      </w:r>
      <w:r w:rsidR="005C48C7">
        <w:rPr>
          <w:rFonts w:ascii="Arial" w:hAnsi="Arial" w:cs="Arial"/>
        </w:rPr>
        <w:t>The assessed level of the capacity charge is reviewed by the Council annually together with the sewer rate.  For new connections to the system in 2020, the capacity charge paid over a 15-year period, is set at $66.41 monthly, as adopted by Council, totaling  $11,954 over fifteen years (a discounted rate is available for those paying in a lump sum up front.)</w:t>
      </w:r>
    </w:p>
    <w:p w:rsidR="005C48C7" w:rsidRDefault="005C48C7" w:rsidP="00F566D9">
      <w:pPr>
        <w:spacing w:line="264" w:lineRule="auto"/>
        <w:jc w:val="both"/>
        <w:rPr>
          <w:rFonts w:ascii="Arial" w:hAnsi="Arial" w:cs="Arial"/>
        </w:rPr>
      </w:pPr>
    </w:p>
    <w:p w:rsidR="006A2E1C" w:rsidRDefault="005C48C7" w:rsidP="00F566D9">
      <w:pPr>
        <w:spacing w:line="264" w:lineRule="auto"/>
        <w:jc w:val="both"/>
        <w:rPr>
          <w:rFonts w:ascii="Arial" w:hAnsi="Arial" w:cs="Arial"/>
        </w:rPr>
      </w:pPr>
      <w:r>
        <w:rPr>
          <w:rFonts w:ascii="Arial" w:hAnsi="Arial" w:cs="Arial"/>
        </w:rPr>
        <w:t xml:space="preserve">The current capacity charge rate structure has been in place since its initial inception in 1990.  </w:t>
      </w:r>
      <w:r w:rsidR="008D0923">
        <w:rPr>
          <w:rFonts w:ascii="Arial" w:hAnsi="Arial" w:cs="Arial"/>
        </w:rPr>
        <w:t xml:space="preserve">County code defines the rate </w:t>
      </w:r>
      <w:r w:rsidR="006A2E1C">
        <w:rPr>
          <w:rFonts w:ascii="Arial" w:hAnsi="Arial" w:cs="Arial"/>
        </w:rPr>
        <w:t>structure for the capacity charge</w:t>
      </w:r>
      <w:r w:rsidR="004663AC">
        <w:rPr>
          <w:rFonts w:ascii="Arial" w:hAnsi="Arial" w:cs="Arial"/>
        </w:rPr>
        <w:t xml:space="preserve"> as follows</w:t>
      </w:r>
      <w:r w:rsidR="006A2E1C">
        <w:rPr>
          <w:rFonts w:ascii="Arial" w:hAnsi="Arial" w:cs="Arial"/>
        </w:rPr>
        <w:t xml:space="preserve">:  </w:t>
      </w:r>
    </w:p>
    <w:p w:rsidR="006A2E1C" w:rsidRDefault="006A2E1C" w:rsidP="00F566D9">
      <w:pPr>
        <w:tabs>
          <w:tab w:val="left" w:pos="3681"/>
        </w:tabs>
        <w:spacing w:line="264" w:lineRule="auto"/>
        <w:rPr>
          <w:rFonts w:ascii="Arial" w:hAnsi="Arial" w:cs="Arial"/>
        </w:rPr>
      </w:pPr>
    </w:p>
    <w:p w:rsidR="008D0923" w:rsidRPr="008D0923" w:rsidRDefault="008D0923" w:rsidP="00E64500">
      <w:pPr>
        <w:tabs>
          <w:tab w:val="left" w:pos="-1440"/>
          <w:tab w:val="left" w:pos="-720"/>
        </w:tabs>
        <w:suppressAutoHyphens/>
        <w:spacing w:line="264" w:lineRule="auto"/>
        <w:jc w:val="both"/>
        <w:rPr>
          <w:rFonts w:ascii="Arial" w:hAnsi="Arial" w:cs="Arial"/>
          <w:b/>
        </w:rPr>
      </w:pPr>
      <w:r w:rsidRPr="008D0923">
        <w:rPr>
          <w:rFonts w:ascii="Arial" w:hAnsi="Arial" w:cs="Arial"/>
          <w:b/>
        </w:rPr>
        <w:t xml:space="preserve">K.C.C. 28.84.050.O.2 </w:t>
      </w:r>
    </w:p>
    <w:p w:rsidR="006A2E1C" w:rsidRDefault="006A2E1C" w:rsidP="00F566D9">
      <w:pPr>
        <w:tabs>
          <w:tab w:val="left" w:pos="-1440"/>
          <w:tab w:val="left" w:pos="-720"/>
        </w:tabs>
        <w:suppressAutoHyphens/>
        <w:spacing w:line="264" w:lineRule="auto"/>
        <w:jc w:val="both"/>
        <w:rPr>
          <w:rFonts w:ascii="Arial" w:hAnsi="Arial"/>
          <w:spacing w:val="-2"/>
          <w:szCs w:val="24"/>
        </w:rPr>
      </w:pPr>
      <w:r>
        <w:rPr>
          <w:rFonts w:ascii="Arial" w:hAnsi="Arial"/>
          <w:spacing w:val="-2"/>
          <w:szCs w:val="24"/>
        </w:rPr>
        <w:t>Single detached dwelling units</w:t>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sidR="00E64500">
        <w:rPr>
          <w:rFonts w:ascii="Arial" w:hAnsi="Arial"/>
          <w:spacing w:val="-2"/>
          <w:szCs w:val="24"/>
        </w:rPr>
        <w:tab/>
      </w:r>
      <w:r>
        <w:rPr>
          <w:rFonts w:ascii="Arial" w:hAnsi="Arial"/>
          <w:spacing w:val="-2"/>
          <w:szCs w:val="24"/>
        </w:rPr>
        <w:t>1.0</w:t>
      </w:r>
      <w:r w:rsidR="004663AC">
        <w:rPr>
          <w:rFonts w:ascii="Arial" w:hAnsi="Arial"/>
          <w:spacing w:val="-2"/>
          <w:szCs w:val="24"/>
        </w:rPr>
        <w:t>0</w:t>
      </w:r>
      <w:r>
        <w:rPr>
          <w:rFonts w:ascii="Arial" w:hAnsi="Arial"/>
          <w:spacing w:val="-2"/>
          <w:szCs w:val="24"/>
        </w:rPr>
        <w:t xml:space="preserve"> RCEs</w:t>
      </w:r>
    </w:p>
    <w:p w:rsidR="006A2E1C" w:rsidRPr="00771B8D" w:rsidRDefault="006A2E1C" w:rsidP="00F566D9">
      <w:pPr>
        <w:tabs>
          <w:tab w:val="left" w:pos="-1440"/>
          <w:tab w:val="left" w:pos="-720"/>
        </w:tabs>
        <w:suppressAutoHyphens/>
        <w:spacing w:line="264" w:lineRule="auto"/>
        <w:jc w:val="both"/>
        <w:rPr>
          <w:rFonts w:ascii="Arial" w:hAnsi="Arial"/>
          <w:spacing w:val="-2"/>
          <w:szCs w:val="24"/>
        </w:rPr>
      </w:pPr>
      <w:r>
        <w:rPr>
          <w:rFonts w:ascii="Arial" w:hAnsi="Arial"/>
          <w:spacing w:val="-2"/>
          <w:szCs w:val="24"/>
        </w:rPr>
        <w:t>Multifamily structures with t</w:t>
      </w:r>
      <w:r w:rsidRPr="00771B8D">
        <w:rPr>
          <w:rFonts w:ascii="Arial" w:hAnsi="Arial"/>
          <w:spacing w:val="-2"/>
          <w:szCs w:val="24"/>
        </w:rPr>
        <w:t xml:space="preserve">wo to four </w:t>
      </w:r>
      <w:r>
        <w:rPr>
          <w:rFonts w:ascii="Arial" w:hAnsi="Arial"/>
          <w:spacing w:val="-2"/>
          <w:szCs w:val="24"/>
        </w:rPr>
        <w:t xml:space="preserve">dwelling </w:t>
      </w:r>
      <w:r w:rsidRPr="00771B8D">
        <w:rPr>
          <w:rFonts w:ascii="Arial" w:hAnsi="Arial"/>
          <w:spacing w:val="-2"/>
          <w:szCs w:val="24"/>
        </w:rPr>
        <w:t>units per</w:t>
      </w:r>
      <w:r>
        <w:rPr>
          <w:rFonts w:ascii="Arial" w:hAnsi="Arial"/>
          <w:spacing w:val="-2"/>
          <w:szCs w:val="24"/>
        </w:rPr>
        <w:t xml:space="preserve"> </w:t>
      </w:r>
      <w:r w:rsidRPr="00771B8D">
        <w:rPr>
          <w:rFonts w:ascii="Arial" w:hAnsi="Arial"/>
          <w:spacing w:val="-2"/>
          <w:szCs w:val="24"/>
        </w:rPr>
        <w:t>structure</w:t>
      </w:r>
      <w:r w:rsidR="00E64500">
        <w:rPr>
          <w:rFonts w:ascii="Arial" w:hAnsi="Arial"/>
          <w:spacing w:val="-2"/>
          <w:szCs w:val="24"/>
        </w:rPr>
        <w:tab/>
      </w:r>
      <w:r w:rsidRPr="00771B8D">
        <w:rPr>
          <w:rFonts w:ascii="Arial" w:hAnsi="Arial"/>
          <w:spacing w:val="-2"/>
          <w:szCs w:val="24"/>
        </w:rPr>
        <w:t>0.8</w:t>
      </w:r>
      <w:r w:rsidR="004663AC">
        <w:rPr>
          <w:rFonts w:ascii="Arial" w:hAnsi="Arial"/>
          <w:spacing w:val="-2"/>
          <w:szCs w:val="24"/>
        </w:rPr>
        <w:t>0</w:t>
      </w:r>
      <w:r w:rsidRPr="00771B8D">
        <w:rPr>
          <w:rFonts w:ascii="Arial" w:hAnsi="Arial"/>
          <w:spacing w:val="-2"/>
          <w:szCs w:val="24"/>
        </w:rPr>
        <w:t xml:space="preserve"> RCEs per unit</w:t>
      </w:r>
    </w:p>
    <w:p w:rsidR="006A2E1C" w:rsidRPr="00771B8D" w:rsidRDefault="006A2E1C" w:rsidP="00F566D9">
      <w:pPr>
        <w:tabs>
          <w:tab w:val="left" w:pos="-1440"/>
          <w:tab w:val="left" w:pos="-720"/>
        </w:tabs>
        <w:suppressAutoHyphens/>
        <w:spacing w:line="264" w:lineRule="auto"/>
        <w:jc w:val="both"/>
        <w:rPr>
          <w:rFonts w:ascii="Arial" w:hAnsi="Arial"/>
          <w:spacing w:val="-2"/>
          <w:szCs w:val="24"/>
        </w:rPr>
      </w:pPr>
      <w:r>
        <w:rPr>
          <w:rFonts w:ascii="Arial" w:hAnsi="Arial"/>
          <w:spacing w:val="-2"/>
          <w:szCs w:val="24"/>
        </w:rPr>
        <w:t>Multifamily structures with f</w:t>
      </w:r>
      <w:r w:rsidRPr="00771B8D">
        <w:rPr>
          <w:rFonts w:ascii="Arial" w:hAnsi="Arial"/>
          <w:spacing w:val="-2"/>
          <w:szCs w:val="24"/>
        </w:rPr>
        <w:t xml:space="preserve">ive or more </w:t>
      </w:r>
      <w:r>
        <w:rPr>
          <w:rFonts w:ascii="Arial" w:hAnsi="Arial"/>
          <w:spacing w:val="-2"/>
          <w:szCs w:val="24"/>
        </w:rPr>
        <w:t xml:space="preserve">dwelling </w:t>
      </w:r>
      <w:r w:rsidRPr="00771B8D">
        <w:rPr>
          <w:rFonts w:ascii="Arial" w:hAnsi="Arial"/>
          <w:spacing w:val="-2"/>
          <w:szCs w:val="24"/>
        </w:rPr>
        <w:t>units per</w:t>
      </w:r>
      <w:r>
        <w:rPr>
          <w:rFonts w:ascii="Arial" w:hAnsi="Arial"/>
          <w:spacing w:val="-2"/>
          <w:szCs w:val="24"/>
        </w:rPr>
        <w:t xml:space="preserve"> </w:t>
      </w:r>
      <w:r w:rsidRPr="00771B8D">
        <w:rPr>
          <w:rFonts w:ascii="Arial" w:hAnsi="Arial"/>
          <w:spacing w:val="-2"/>
          <w:szCs w:val="24"/>
        </w:rPr>
        <w:t>structure</w:t>
      </w:r>
      <w:r w:rsidR="00E64500">
        <w:rPr>
          <w:rFonts w:ascii="Arial" w:hAnsi="Arial"/>
          <w:spacing w:val="-2"/>
          <w:szCs w:val="24"/>
        </w:rPr>
        <w:tab/>
      </w:r>
      <w:r w:rsidRPr="00771B8D">
        <w:rPr>
          <w:rFonts w:ascii="Arial" w:hAnsi="Arial"/>
          <w:spacing w:val="-2"/>
          <w:szCs w:val="24"/>
        </w:rPr>
        <w:t>0.64 RCEs per unit</w:t>
      </w:r>
    </w:p>
    <w:p w:rsidR="006A2E1C" w:rsidRPr="008D0923" w:rsidRDefault="006A2E1C" w:rsidP="00F566D9">
      <w:pPr>
        <w:tabs>
          <w:tab w:val="left" w:pos="-1440"/>
          <w:tab w:val="left" w:pos="-720"/>
        </w:tabs>
        <w:suppressAutoHyphens/>
        <w:spacing w:line="264" w:lineRule="auto"/>
        <w:jc w:val="both"/>
        <w:rPr>
          <w:rFonts w:ascii="Arial" w:hAnsi="Arial"/>
          <w:spacing w:val="-2"/>
          <w:szCs w:val="24"/>
        </w:rPr>
      </w:pPr>
      <w:r w:rsidRPr="00771B8D">
        <w:rPr>
          <w:rFonts w:ascii="Arial" w:hAnsi="Arial"/>
          <w:spacing w:val="-2"/>
          <w:szCs w:val="24"/>
        </w:rPr>
        <w:t xml:space="preserve">Senior </w:t>
      </w:r>
      <w:r>
        <w:rPr>
          <w:rFonts w:ascii="Arial" w:hAnsi="Arial"/>
          <w:spacing w:val="-2"/>
          <w:szCs w:val="24"/>
        </w:rPr>
        <w:t>resident</w:t>
      </w:r>
      <w:r w:rsidRPr="00771B8D">
        <w:rPr>
          <w:rFonts w:ascii="Arial" w:hAnsi="Arial"/>
          <w:spacing w:val="-2"/>
          <w:szCs w:val="24"/>
        </w:rPr>
        <w:t>, low income and special purpose housing</w:t>
      </w:r>
      <w:r w:rsidRPr="00771B8D">
        <w:rPr>
          <w:rFonts w:ascii="Arial" w:hAnsi="Arial"/>
          <w:spacing w:val="-2"/>
          <w:szCs w:val="24"/>
        </w:rPr>
        <w:tab/>
      </w:r>
      <w:r w:rsidR="00E64500">
        <w:rPr>
          <w:rFonts w:ascii="Arial" w:hAnsi="Arial"/>
          <w:spacing w:val="-2"/>
          <w:szCs w:val="24"/>
        </w:rPr>
        <w:tab/>
      </w:r>
      <w:r w:rsidRPr="00771B8D">
        <w:rPr>
          <w:rFonts w:ascii="Arial" w:hAnsi="Arial"/>
          <w:spacing w:val="-2"/>
          <w:szCs w:val="24"/>
        </w:rPr>
        <w:t xml:space="preserve">0.32 RCEs per </w:t>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t xml:space="preserve">qualifying dwelling </w:t>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r>
      <w:r>
        <w:rPr>
          <w:rFonts w:ascii="Arial" w:hAnsi="Arial"/>
          <w:spacing w:val="-2"/>
          <w:szCs w:val="24"/>
        </w:rPr>
        <w:tab/>
        <w:t>unit</w:t>
      </w:r>
      <w:r>
        <w:rPr>
          <w:rFonts w:ascii="Arial" w:hAnsi="Arial" w:cs="Arial"/>
        </w:rPr>
        <w:tab/>
      </w:r>
    </w:p>
    <w:p w:rsidR="008D0923" w:rsidRDefault="008D0923" w:rsidP="00F566D9">
      <w:pPr>
        <w:spacing w:line="264" w:lineRule="auto"/>
        <w:jc w:val="both"/>
        <w:rPr>
          <w:rFonts w:ascii="Arial" w:hAnsi="Arial" w:cs="Arial"/>
        </w:rPr>
      </w:pPr>
    </w:p>
    <w:p w:rsidR="005C48C7" w:rsidRDefault="00EA01D7" w:rsidP="00F566D9">
      <w:pPr>
        <w:spacing w:line="264" w:lineRule="auto"/>
        <w:jc w:val="both"/>
        <w:rPr>
          <w:rFonts w:ascii="Arial" w:hAnsi="Arial" w:cs="Arial"/>
        </w:rPr>
      </w:pPr>
      <w:r>
        <w:rPr>
          <w:rFonts w:ascii="Arial" w:hAnsi="Arial" w:cs="Arial"/>
        </w:rPr>
        <w:lastRenderedPageBreak/>
        <w:t xml:space="preserve">Since the establishment of this cost allocation structure, </w:t>
      </w:r>
      <w:r w:rsidR="005C48C7">
        <w:rPr>
          <w:rFonts w:ascii="Arial" w:hAnsi="Arial" w:cs="Arial"/>
        </w:rPr>
        <w:t xml:space="preserve">the profile of the regional housing stock has changed, heavily driven by growth dynamics and substantial cost escalation.  </w:t>
      </w:r>
      <w:r w:rsidR="00DF1A5E">
        <w:rPr>
          <w:rFonts w:ascii="Arial" w:hAnsi="Arial" w:cs="Arial"/>
        </w:rPr>
        <w:t>M</w:t>
      </w:r>
      <w:r>
        <w:rPr>
          <w:rFonts w:ascii="Arial" w:hAnsi="Arial" w:cs="Arial"/>
        </w:rPr>
        <w:t>ultifa</w:t>
      </w:r>
      <w:r w:rsidR="005C48C7">
        <w:rPr>
          <w:rFonts w:ascii="Arial" w:hAnsi="Arial" w:cs="Arial"/>
        </w:rPr>
        <w:t>mily housing has increased</w:t>
      </w:r>
      <w:r w:rsidR="00DF1A5E">
        <w:rPr>
          <w:rFonts w:ascii="Arial" w:hAnsi="Arial" w:cs="Arial"/>
        </w:rPr>
        <w:t xml:space="preserve"> substantially as a proportion of the regional housing stock</w:t>
      </w:r>
      <w:r w:rsidR="005C48C7">
        <w:rPr>
          <w:rFonts w:ascii="Arial" w:hAnsi="Arial" w:cs="Arial"/>
        </w:rPr>
        <w:t xml:space="preserve">.  Alternative housing types, including Accessory Dwelling Units and microhousing, have become more popular, and interest in a more balanced cost allocation between housing types has emerged.  </w:t>
      </w:r>
    </w:p>
    <w:p w:rsidR="005C48C7" w:rsidRDefault="005C48C7" w:rsidP="00F566D9">
      <w:pPr>
        <w:spacing w:line="264" w:lineRule="auto"/>
        <w:jc w:val="both"/>
        <w:rPr>
          <w:rFonts w:ascii="Arial" w:hAnsi="Arial" w:cs="Arial"/>
        </w:rPr>
      </w:pPr>
    </w:p>
    <w:p w:rsidR="005C48C7" w:rsidRDefault="00E74997" w:rsidP="00F566D9">
      <w:pPr>
        <w:spacing w:line="264" w:lineRule="auto"/>
        <w:jc w:val="both"/>
        <w:rPr>
          <w:rFonts w:ascii="Arial" w:hAnsi="Arial" w:cs="Arial"/>
        </w:rPr>
      </w:pPr>
      <w:r>
        <w:rPr>
          <w:rFonts w:ascii="Arial" w:hAnsi="Arial" w:cs="Arial"/>
        </w:rPr>
        <w:t xml:space="preserve">In 2019, </w:t>
      </w:r>
      <w:r w:rsidR="00EA01D7">
        <w:rPr>
          <w:rFonts w:ascii="Arial" w:hAnsi="Arial" w:cs="Arial"/>
        </w:rPr>
        <w:t>t</w:t>
      </w:r>
      <w:r w:rsidR="005C48C7">
        <w:rPr>
          <w:rFonts w:ascii="Arial" w:hAnsi="Arial" w:cs="Arial"/>
        </w:rPr>
        <w:t>he W</w:t>
      </w:r>
      <w:r>
        <w:rPr>
          <w:rFonts w:ascii="Arial" w:hAnsi="Arial" w:cs="Arial"/>
        </w:rPr>
        <w:t>astewater Treatment Division</w:t>
      </w:r>
      <w:r w:rsidR="00EA01D7">
        <w:rPr>
          <w:rFonts w:ascii="Arial" w:hAnsi="Arial" w:cs="Arial"/>
        </w:rPr>
        <w:t>, in consultation with the Metropolitan Water Pollution Abatement Advisory Committee (MWPAAC),</w:t>
      </w:r>
      <w:r w:rsidR="005C48C7">
        <w:rPr>
          <w:rFonts w:ascii="Arial" w:hAnsi="Arial" w:cs="Arial"/>
        </w:rPr>
        <w:t xml:space="preserve"> coordinated a review of the current rate structure to address these </w:t>
      </w:r>
      <w:r w:rsidR="00467AEE">
        <w:rPr>
          <w:rFonts w:ascii="Arial" w:hAnsi="Arial" w:cs="Arial"/>
        </w:rPr>
        <w:t>changes</w:t>
      </w:r>
      <w:r w:rsidR="005C48C7">
        <w:rPr>
          <w:rFonts w:ascii="Arial" w:hAnsi="Arial" w:cs="Arial"/>
        </w:rPr>
        <w:t>.  Among the goals of the review were to develop a structure which best reflects of the volume of wastewater generation for each structure type, and to assure administrative feasibility of any alternative structure.  The review involved the retention of a consultant, and the ut</w:t>
      </w:r>
      <w:r w:rsidR="00EA01D7">
        <w:rPr>
          <w:rFonts w:ascii="Arial" w:hAnsi="Arial" w:cs="Arial"/>
        </w:rPr>
        <w:t>ilization of a work group of</w:t>
      </w:r>
      <w:r w:rsidR="005C48C7">
        <w:rPr>
          <w:rFonts w:ascii="Arial" w:hAnsi="Arial" w:cs="Arial"/>
        </w:rPr>
        <w:t xml:space="preserve"> </w:t>
      </w:r>
      <w:r w:rsidR="00EA01D7">
        <w:rPr>
          <w:rFonts w:ascii="Arial" w:hAnsi="Arial" w:cs="Arial"/>
        </w:rPr>
        <w:t>MWPAAC</w:t>
      </w:r>
      <w:r w:rsidR="005C48C7">
        <w:rPr>
          <w:rFonts w:ascii="Arial" w:hAnsi="Arial" w:cs="Arial"/>
        </w:rPr>
        <w:t xml:space="preserve">, which represents the participating cities and sewer districts that are part of the regional wastewater system.  </w:t>
      </w:r>
    </w:p>
    <w:p w:rsidR="005C48C7" w:rsidRDefault="005C48C7" w:rsidP="00F566D9">
      <w:pPr>
        <w:spacing w:line="264" w:lineRule="auto"/>
        <w:jc w:val="both"/>
        <w:rPr>
          <w:rFonts w:ascii="Arial" w:hAnsi="Arial" w:cs="Arial"/>
        </w:rPr>
      </w:pPr>
    </w:p>
    <w:p w:rsidR="005C48C7" w:rsidRDefault="005C48C7" w:rsidP="00F566D9">
      <w:pPr>
        <w:spacing w:line="264" w:lineRule="auto"/>
        <w:jc w:val="both"/>
        <w:rPr>
          <w:rFonts w:ascii="Arial" w:hAnsi="Arial" w:cs="Arial"/>
        </w:rPr>
      </w:pPr>
      <w:r>
        <w:rPr>
          <w:rFonts w:ascii="Arial" w:hAnsi="Arial" w:cs="Arial"/>
        </w:rPr>
        <w:t>In considering alternative approaches to structuring the rate to address per-connection wastewater volumes, the review evaluated characteristics of</w:t>
      </w:r>
      <w:r w:rsidR="007006B0">
        <w:rPr>
          <w:rFonts w:ascii="Arial" w:hAnsi="Arial" w:cs="Arial"/>
        </w:rPr>
        <w:t xml:space="preserve"> structure types such as number</w:t>
      </w:r>
      <w:r>
        <w:rPr>
          <w:rFonts w:ascii="Arial" w:hAnsi="Arial" w:cs="Arial"/>
        </w:rPr>
        <w:t xml:space="preserve"> of bedrooms, num</w:t>
      </w:r>
      <w:r w:rsidR="007006B0">
        <w:rPr>
          <w:rFonts w:ascii="Arial" w:hAnsi="Arial" w:cs="Arial"/>
        </w:rPr>
        <w:t>ber</w:t>
      </w:r>
      <w:r>
        <w:rPr>
          <w:rFonts w:ascii="Arial" w:hAnsi="Arial" w:cs="Arial"/>
        </w:rPr>
        <w:t xml:space="preserve"> of bathrooms, lot size, number of units in a multifamily structure, number of stories to a building, structure square footage, and water meter size.  Consultants also surveyed other wastewater agencies for examples of rate structure options.  </w:t>
      </w:r>
    </w:p>
    <w:p w:rsidR="005C48C7" w:rsidRDefault="005C48C7" w:rsidP="00F566D9">
      <w:pPr>
        <w:spacing w:line="264" w:lineRule="auto"/>
        <w:jc w:val="both"/>
        <w:rPr>
          <w:rFonts w:ascii="Arial" w:hAnsi="Arial" w:cs="Arial"/>
        </w:rPr>
      </w:pPr>
    </w:p>
    <w:p w:rsidR="005C48C7" w:rsidRDefault="005C48C7" w:rsidP="00F566D9">
      <w:pPr>
        <w:spacing w:line="264" w:lineRule="auto"/>
        <w:jc w:val="both"/>
        <w:rPr>
          <w:rFonts w:ascii="Arial" w:hAnsi="Arial" w:cs="Arial"/>
        </w:rPr>
      </w:pPr>
      <w:r>
        <w:rPr>
          <w:rFonts w:ascii="Arial" w:hAnsi="Arial" w:cs="Arial"/>
        </w:rPr>
        <w:t>A stakeholder outreach process was also undertaken, involving briefings to the Washington Multifamily Housing Association, the Master Builders Association of King/Snohomish Counties, and the Seattle Builders Council.  Additionally, an online survey was conducted, utilizing targeted emails and social media to connect persons with the survey.  Input from that process surfaced a number of points of focus:</w:t>
      </w:r>
    </w:p>
    <w:p w:rsidR="005C48C7" w:rsidRDefault="005C48C7" w:rsidP="00F566D9">
      <w:pPr>
        <w:pStyle w:val="ListParagraph"/>
        <w:numPr>
          <w:ilvl w:val="0"/>
          <w:numId w:val="1"/>
        </w:numPr>
        <w:spacing w:line="264" w:lineRule="auto"/>
        <w:contextualSpacing/>
        <w:jc w:val="both"/>
        <w:rPr>
          <w:rFonts w:ascii="Arial" w:hAnsi="Arial" w:cs="Arial"/>
        </w:rPr>
      </w:pPr>
      <w:r>
        <w:rPr>
          <w:rFonts w:ascii="Arial" w:hAnsi="Arial" w:cs="Arial"/>
        </w:rPr>
        <w:t>Substantial support for the “persons per household” approach was evident;</w:t>
      </w:r>
    </w:p>
    <w:p w:rsidR="005C48C7" w:rsidRDefault="005C48C7" w:rsidP="00F566D9">
      <w:pPr>
        <w:pStyle w:val="ListParagraph"/>
        <w:numPr>
          <w:ilvl w:val="0"/>
          <w:numId w:val="1"/>
        </w:numPr>
        <w:spacing w:line="264" w:lineRule="auto"/>
        <w:contextualSpacing/>
        <w:jc w:val="both"/>
        <w:rPr>
          <w:rFonts w:ascii="Arial" w:hAnsi="Arial" w:cs="Arial"/>
        </w:rPr>
      </w:pPr>
      <w:r>
        <w:rPr>
          <w:rFonts w:ascii="Arial" w:hAnsi="Arial" w:cs="Arial"/>
        </w:rPr>
        <w:t>Interest emerged in disaggregating the single detached residence category in several levels, according to house size;</w:t>
      </w:r>
    </w:p>
    <w:p w:rsidR="005C48C7" w:rsidRDefault="005C48C7" w:rsidP="00F566D9">
      <w:pPr>
        <w:pStyle w:val="ListParagraph"/>
        <w:numPr>
          <w:ilvl w:val="0"/>
          <w:numId w:val="1"/>
        </w:numPr>
        <w:spacing w:line="264" w:lineRule="auto"/>
        <w:contextualSpacing/>
        <w:jc w:val="both"/>
        <w:rPr>
          <w:rFonts w:ascii="Arial" w:hAnsi="Arial" w:cs="Arial"/>
        </w:rPr>
      </w:pPr>
      <w:r>
        <w:rPr>
          <w:rFonts w:ascii="Arial" w:hAnsi="Arial" w:cs="Arial"/>
        </w:rPr>
        <w:t>Concern was expressed regarding the administrative feasibility of changes to rate classifications;</w:t>
      </w:r>
      <w:r w:rsidR="00F93199">
        <w:rPr>
          <w:rFonts w:ascii="Arial" w:hAnsi="Arial" w:cs="Arial"/>
        </w:rPr>
        <w:t xml:space="preserve"> and</w:t>
      </w:r>
    </w:p>
    <w:p w:rsidR="005C48C7" w:rsidRDefault="005C48C7" w:rsidP="00F566D9">
      <w:pPr>
        <w:pStyle w:val="ListParagraph"/>
        <w:numPr>
          <w:ilvl w:val="0"/>
          <w:numId w:val="1"/>
        </w:numPr>
        <w:spacing w:line="264" w:lineRule="auto"/>
        <w:contextualSpacing/>
        <w:jc w:val="both"/>
        <w:rPr>
          <w:rFonts w:ascii="Arial" w:hAnsi="Arial" w:cs="Arial"/>
        </w:rPr>
      </w:pPr>
      <w:r>
        <w:rPr>
          <w:rFonts w:ascii="Arial" w:hAnsi="Arial" w:cs="Arial"/>
        </w:rPr>
        <w:t>Multifamily developers supported greater disaggregation of structures by unit size or number of bedrooms.</w:t>
      </w:r>
    </w:p>
    <w:p w:rsidR="005C48C7" w:rsidRDefault="005C48C7" w:rsidP="00F566D9">
      <w:pPr>
        <w:spacing w:line="264" w:lineRule="auto"/>
        <w:jc w:val="both"/>
        <w:rPr>
          <w:rFonts w:ascii="Arial" w:hAnsi="Arial" w:cs="Arial"/>
        </w:rPr>
      </w:pPr>
    </w:p>
    <w:p w:rsidR="005C48C7" w:rsidRDefault="005C48C7" w:rsidP="00F566D9">
      <w:pPr>
        <w:spacing w:line="264" w:lineRule="auto"/>
        <w:jc w:val="both"/>
        <w:rPr>
          <w:rFonts w:ascii="Arial" w:hAnsi="Arial" w:cs="Arial"/>
        </w:rPr>
      </w:pPr>
      <w:r>
        <w:rPr>
          <w:rFonts w:ascii="Arial" w:hAnsi="Arial" w:cs="Arial"/>
        </w:rPr>
        <w:t xml:space="preserve">In late 2019, the </w:t>
      </w:r>
      <w:r w:rsidR="00467AEE">
        <w:rPr>
          <w:rFonts w:ascii="Arial" w:hAnsi="Arial" w:cs="Arial"/>
        </w:rPr>
        <w:t xml:space="preserve">Wastewater </w:t>
      </w:r>
      <w:r w:rsidR="004663AC">
        <w:rPr>
          <w:rFonts w:ascii="Arial" w:hAnsi="Arial" w:cs="Arial"/>
        </w:rPr>
        <w:t xml:space="preserve">Treatment </w:t>
      </w:r>
      <w:r>
        <w:rPr>
          <w:rFonts w:ascii="Arial" w:hAnsi="Arial" w:cs="Arial"/>
        </w:rPr>
        <w:t>Division arrived at a recommendation for restructuring the capacity charge, based on this input.  Key elements would include:</w:t>
      </w:r>
    </w:p>
    <w:p w:rsidR="005C48C7" w:rsidRDefault="005C48C7" w:rsidP="00F566D9">
      <w:pPr>
        <w:pStyle w:val="ListParagraph"/>
        <w:numPr>
          <w:ilvl w:val="0"/>
          <w:numId w:val="2"/>
        </w:numPr>
        <w:spacing w:line="264" w:lineRule="auto"/>
        <w:contextualSpacing/>
        <w:jc w:val="both"/>
        <w:rPr>
          <w:rFonts w:ascii="Arial" w:hAnsi="Arial" w:cs="Arial"/>
        </w:rPr>
      </w:pPr>
      <w:r>
        <w:rPr>
          <w:rFonts w:ascii="Arial" w:hAnsi="Arial" w:cs="Arial"/>
        </w:rPr>
        <w:t>Single family structures would be divided into three classes—small, medium and large—and assessed accordingly;</w:t>
      </w:r>
    </w:p>
    <w:p w:rsidR="005C48C7" w:rsidRDefault="005C48C7" w:rsidP="00F566D9">
      <w:pPr>
        <w:pStyle w:val="ListParagraph"/>
        <w:numPr>
          <w:ilvl w:val="0"/>
          <w:numId w:val="2"/>
        </w:numPr>
        <w:spacing w:line="264" w:lineRule="auto"/>
        <w:contextualSpacing/>
        <w:jc w:val="both"/>
        <w:rPr>
          <w:rFonts w:ascii="Arial" w:hAnsi="Arial" w:cs="Arial"/>
        </w:rPr>
      </w:pPr>
      <w:r>
        <w:rPr>
          <w:rFonts w:ascii="Arial" w:hAnsi="Arial" w:cs="Arial"/>
        </w:rPr>
        <w:t xml:space="preserve">Multifamily structures would continue to be assessed in two groups—2-4 units, and 5-plus units; a revision to the number of </w:t>
      </w:r>
      <w:r w:rsidR="00467AEE">
        <w:rPr>
          <w:rFonts w:ascii="Arial" w:hAnsi="Arial" w:cs="Arial"/>
        </w:rPr>
        <w:t>RCEs</w:t>
      </w:r>
      <w:r w:rsidR="00DF1A5E">
        <w:rPr>
          <w:rFonts w:ascii="Arial" w:hAnsi="Arial" w:cs="Arial"/>
        </w:rPr>
        <w:t xml:space="preserve"> </w:t>
      </w:r>
      <w:r>
        <w:rPr>
          <w:rFonts w:ascii="Arial" w:hAnsi="Arial" w:cs="Arial"/>
        </w:rPr>
        <w:t>assigned to the smaller and larger building sizes would modestly decrease the per-unit capacity charge for larger buildings with more units, and would increase the per-unit capacity charge for smaller buildings with fewer units;</w:t>
      </w:r>
    </w:p>
    <w:p w:rsidR="005C48C7" w:rsidRDefault="005C48C7" w:rsidP="00F566D9">
      <w:pPr>
        <w:pStyle w:val="ListParagraph"/>
        <w:numPr>
          <w:ilvl w:val="0"/>
          <w:numId w:val="2"/>
        </w:numPr>
        <w:spacing w:line="264" w:lineRule="auto"/>
        <w:contextualSpacing/>
        <w:jc w:val="both"/>
        <w:rPr>
          <w:rFonts w:ascii="Arial" w:hAnsi="Arial" w:cs="Arial"/>
        </w:rPr>
      </w:pPr>
      <w:r>
        <w:rPr>
          <w:rFonts w:ascii="Arial" w:hAnsi="Arial" w:cs="Arial"/>
        </w:rPr>
        <w:lastRenderedPageBreak/>
        <w:t xml:space="preserve">Accessory dwelling unit charge would be established at </w:t>
      </w:r>
      <w:r w:rsidR="00467AEE">
        <w:rPr>
          <w:rFonts w:ascii="Arial" w:hAnsi="Arial" w:cs="Arial"/>
        </w:rPr>
        <w:t>0</w:t>
      </w:r>
      <w:r>
        <w:rPr>
          <w:rFonts w:ascii="Arial" w:hAnsi="Arial" w:cs="Arial"/>
        </w:rPr>
        <w:t xml:space="preserve">.59 RCE; </w:t>
      </w:r>
      <w:r w:rsidR="00F93199">
        <w:rPr>
          <w:rFonts w:ascii="Arial" w:hAnsi="Arial" w:cs="Arial"/>
        </w:rPr>
        <w:t xml:space="preserve"> and</w:t>
      </w:r>
    </w:p>
    <w:p w:rsidR="005C48C7" w:rsidRDefault="005C48C7" w:rsidP="00F566D9">
      <w:pPr>
        <w:pStyle w:val="ListParagraph"/>
        <w:numPr>
          <w:ilvl w:val="0"/>
          <w:numId w:val="2"/>
        </w:numPr>
        <w:spacing w:line="264" w:lineRule="auto"/>
        <w:contextualSpacing/>
        <w:jc w:val="both"/>
        <w:rPr>
          <w:rFonts w:ascii="Arial" w:hAnsi="Arial" w:cs="Arial"/>
        </w:rPr>
      </w:pPr>
      <w:r>
        <w:rPr>
          <w:rFonts w:ascii="Arial" w:hAnsi="Arial" w:cs="Arial"/>
        </w:rPr>
        <w:t xml:space="preserve">The microhousing category would be established at </w:t>
      </w:r>
      <w:r w:rsidR="00467AEE">
        <w:rPr>
          <w:rFonts w:ascii="Arial" w:hAnsi="Arial" w:cs="Arial"/>
        </w:rPr>
        <w:t>0</w:t>
      </w:r>
      <w:r>
        <w:rPr>
          <w:rFonts w:ascii="Arial" w:hAnsi="Arial" w:cs="Arial"/>
        </w:rPr>
        <w:t>.35 RCE.</w:t>
      </w:r>
    </w:p>
    <w:p w:rsidR="005C48C7" w:rsidRDefault="005C48C7" w:rsidP="00F566D9">
      <w:pPr>
        <w:spacing w:line="264" w:lineRule="auto"/>
        <w:jc w:val="both"/>
        <w:rPr>
          <w:rFonts w:ascii="Arial" w:hAnsi="Arial" w:cs="Arial"/>
        </w:rPr>
      </w:pPr>
    </w:p>
    <w:p w:rsidR="005C48C7" w:rsidRDefault="005C48C7" w:rsidP="00F566D9">
      <w:pPr>
        <w:spacing w:line="264" w:lineRule="auto"/>
        <w:jc w:val="both"/>
        <w:rPr>
          <w:rFonts w:ascii="Arial" w:hAnsi="Arial" w:cs="Arial"/>
        </w:rPr>
      </w:pPr>
      <w:r>
        <w:rPr>
          <w:rFonts w:ascii="Arial" w:hAnsi="Arial" w:cs="Arial"/>
        </w:rPr>
        <w:t>These provisions are ad</w:t>
      </w:r>
      <w:r w:rsidR="00E74997">
        <w:rPr>
          <w:rFonts w:ascii="Arial" w:hAnsi="Arial" w:cs="Arial"/>
        </w:rPr>
        <w:t>dressed in Proposed Ordinance</w:t>
      </w:r>
      <w:r>
        <w:rPr>
          <w:rFonts w:ascii="Arial" w:hAnsi="Arial" w:cs="Arial"/>
        </w:rPr>
        <w:t xml:space="preserve"> 2020-0101, whic</w:t>
      </w:r>
      <w:r w:rsidR="00E74997">
        <w:rPr>
          <w:rFonts w:ascii="Arial" w:hAnsi="Arial" w:cs="Arial"/>
        </w:rPr>
        <w:t xml:space="preserve">h includes the following </w:t>
      </w:r>
      <w:r w:rsidR="00A44965">
        <w:rPr>
          <w:rFonts w:ascii="Arial" w:hAnsi="Arial" w:cs="Arial"/>
        </w:rPr>
        <w:t>T</w:t>
      </w:r>
      <w:r w:rsidR="00E74997">
        <w:rPr>
          <w:rFonts w:ascii="Arial" w:hAnsi="Arial" w:cs="Arial"/>
        </w:rPr>
        <w:t>able</w:t>
      </w:r>
      <w:r w:rsidR="00A44965">
        <w:rPr>
          <w:rFonts w:ascii="Arial" w:hAnsi="Arial" w:cs="Arial"/>
        </w:rPr>
        <w:t xml:space="preserve"> 1</w:t>
      </w:r>
      <w:r w:rsidR="00E74997">
        <w:rPr>
          <w:rFonts w:ascii="Arial" w:hAnsi="Arial" w:cs="Arial"/>
        </w:rPr>
        <w:t>:</w:t>
      </w:r>
    </w:p>
    <w:p w:rsidR="005C48C7" w:rsidRDefault="005C48C7" w:rsidP="005C48C7">
      <w:pPr>
        <w:jc w:val="both"/>
        <w:rPr>
          <w:rFonts w:ascii="Arial" w:hAnsi="Arial" w:cs="Arial"/>
        </w:rPr>
      </w:pPr>
    </w:p>
    <w:p w:rsidR="005C48C7" w:rsidRPr="004663AC" w:rsidRDefault="005C48C7" w:rsidP="005C48C7">
      <w:pPr>
        <w:jc w:val="center"/>
        <w:rPr>
          <w:rFonts w:ascii="Arial" w:hAnsi="Arial" w:cs="Arial"/>
          <w:b/>
        </w:rPr>
      </w:pPr>
      <w:r w:rsidRPr="004663AC">
        <w:rPr>
          <w:rFonts w:ascii="Arial" w:hAnsi="Arial" w:cs="Arial"/>
          <w:b/>
        </w:rPr>
        <w:t>Table 1.  Structure/Dwelling Unit Types and RCE Charges</w:t>
      </w:r>
    </w:p>
    <w:p w:rsidR="005C48C7" w:rsidRDefault="005C48C7" w:rsidP="005C48C7">
      <w:pPr>
        <w:jc w:val="both"/>
        <w:rPr>
          <w:rFonts w:ascii="Arial" w:hAnsi="Arial" w:cs="Arial"/>
        </w:rPr>
      </w:pPr>
    </w:p>
    <w:tbl>
      <w:tblPr>
        <w:tblW w:w="9540" w:type="dxa"/>
        <w:jc w:val="center"/>
        <w:tblLook w:val="04A0" w:firstRow="1" w:lastRow="0" w:firstColumn="1" w:lastColumn="0" w:noHBand="0" w:noVBand="1"/>
      </w:tblPr>
      <w:tblGrid>
        <w:gridCol w:w="4320"/>
        <w:gridCol w:w="270"/>
        <w:gridCol w:w="2340"/>
        <w:gridCol w:w="270"/>
        <w:gridCol w:w="2340"/>
      </w:tblGrid>
      <w:tr w:rsidR="00C154BD" w:rsidTr="00C154BD">
        <w:trPr>
          <w:trHeight w:val="1635"/>
          <w:jc w:val="center"/>
        </w:trPr>
        <w:tc>
          <w:tcPr>
            <w:tcW w:w="4320" w:type="dxa"/>
            <w:tcBorders>
              <w:top w:val="single" w:sz="12" w:space="0" w:color="auto"/>
              <w:bottom w:val="single" w:sz="4" w:space="0" w:color="auto"/>
            </w:tcBorders>
            <w:vAlign w:val="bottom"/>
            <w:hideMark/>
          </w:tcPr>
          <w:p w:rsidR="004663AC" w:rsidRPr="004663AC" w:rsidRDefault="004663AC" w:rsidP="004663AC">
            <w:pPr>
              <w:widowControl w:val="0"/>
              <w:autoSpaceDE w:val="0"/>
              <w:autoSpaceDN w:val="0"/>
              <w:adjustRightInd w:val="0"/>
              <w:spacing w:line="264" w:lineRule="auto"/>
              <w:contextualSpacing/>
              <w:jc w:val="center"/>
              <w:rPr>
                <w:b/>
                <w:bCs/>
                <w:szCs w:val="24"/>
              </w:rPr>
            </w:pPr>
            <w:r w:rsidRPr="004663AC">
              <w:rPr>
                <w:b/>
                <w:bCs/>
                <w:szCs w:val="24"/>
              </w:rPr>
              <w:t>Structure/Dwelling Unit</w:t>
            </w:r>
          </w:p>
        </w:tc>
        <w:tc>
          <w:tcPr>
            <w:tcW w:w="270" w:type="dxa"/>
            <w:tcBorders>
              <w:top w:val="single" w:sz="12" w:space="0" w:color="auto"/>
            </w:tcBorders>
            <w:vAlign w:val="bottom"/>
          </w:tcPr>
          <w:p w:rsidR="004663AC" w:rsidRPr="004663AC" w:rsidRDefault="004663AC" w:rsidP="004663AC">
            <w:pPr>
              <w:widowControl w:val="0"/>
              <w:autoSpaceDE w:val="0"/>
              <w:autoSpaceDN w:val="0"/>
              <w:adjustRightInd w:val="0"/>
              <w:spacing w:line="264" w:lineRule="auto"/>
              <w:contextualSpacing/>
              <w:jc w:val="center"/>
              <w:rPr>
                <w:b/>
                <w:bCs/>
                <w:szCs w:val="24"/>
              </w:rPr>
            </w:pPr>
          </w:p>
        </w:tc>
        <w:tc>
          <w:tcPr>
            <w:tcW w:w="2340" w:type="dxa"/>
            <w:tcBorders>
              <w:top w:val="single" w:sz="12" w:space="0" w:color="auto"/>
              <w:bottom w:val="single" w:sz="4" w:space="0" w:color="auto"/>
            </w:tcBorders>
            <w:vAlign w:val="bottom"/>
            <w:hideMark/>
          </w:tcPr>
          <w:p w:rsidR="004663AC" w:rsidRPr="004663AC" w:rsidRDefault="004663AC" w:rsidP="00C154BD">
            <w:pPr>
              <w:widowControl w:val="0"/>
              <w:autoSpaceDE w:val="0"/>
              <w:autoSpaceDN w:val="0"/>
              <w:adjustRightInd w:val="0"/>
              <w:spacing w:line="264" w:lineRule="auto"/>
              <w:contextualSpacing/>
              <w:jc w:val="center"/>
              <w:rPr>
                <w:b/>
                <w:bCs/>
                <w:szCs w:val="24"/>
              </w:rPr>
            </w:pPr>
            <w:r w:rsidRPr="004663AC">
              <w:rPr>
                <w:b/>
                <w:bCs/>
                <w:szCs w:val="24"/>
              </w:rPr>
              <w:t xml:space="preserve">RCEs </w:t>
            </w:r>
            <w:r>
              <w:rPr>
                <w:b/>
                <w:bCs/>
                <w:szCs w:val="24"/>
              </w:rPr>
              <w:t>f</w:t>
            </w:r>
            <w:r w:rsidRPr="004663AC">
              <w:rPr>
                <w:b/>
                <w:bCs/>
                <w:szCs w:val="24"/>
              </w:rPr>
              <w:t>or connections or establishment of new service on or before Dec</w:t>
            </w:r>
            <w:r w:rsidR="00C154BD">
              <w:rPr>
                <w:b/>
                <w:bCs/>
                <w:szCs w:val="24"/>
              </w:rPr>
              <w:t>.</w:t>
            </w:r>
            <w:r w:rsidRPr="004663AC">
              <w:rPr>
                <w:b/>
                <w:bCs/>
                <w:szCs w:val="24"/>
              </w:rPr>
              <w:t xml:space="preserve"> 31, 2020</w:t>
            </w:r>
          </w:p>
        </w:tc>
        <w:tc>
          <w:tcPr>
            <w:tcW w:w="270" w:type="dxa"/>
            <w:tcBorders>
              <w:top w:val="single" w:sz="12" w:space="0" w:color="auto"/>
            </w:tcBorders>
            <w:vAlign w:val="bottom"/>
          </w:tcPr>
          <w:p w:rsidR="004663AC" w:rsidRPr="004663AC" w:rsidRDefault="004663AC" w:rsidP="004663AC">
            <w:pPr>
              <w:widowControl w:val="0"/>
              <w:autoSpaceDE w:val="0"/>
              <w:autoSpaceDN w:val="0"/>
              <w:adjustRightInd w:val="0"/>
              <w:spacing w:line="264" w:lineRule="auto"/>
              <w:contextualSpacing/>
              <w:jc w:val="center"/>
              <w:rPr>
                <w:b/>
                <w:bCs/>
                <w:szCs w:val="24"/>
              </w:rPr>
            </w:pPr>
          </w:p>
        </w:tc>
        <w:tc>
          <w:tcPr>
            <w:tcW w:w="2340" w:type="dxa"/>
            <w:tcBorders>
              <w:top w:val="single" w:sz="12" w:space="0" w:color="auto"/>
              <w:bottom w:val="single" w:sz="4" w:space="0" w:color="auto"/>
            </w:tcBorders>
            <w:vAlign w:val="bottom"/>
            <w:hideMark/>
          </w:tcPr>
          <w:p w:rsidR="004663AC" w:rsidRPr="004663AC" w:rsidRDefault="004663AC" w:rsidP="00C154BD">
            <w:pPr>
              <w:widowControl w:val="0"/>
              <w:autoSpaceDE w:val="0"/>
              <w:autoSpaceDN w:val="0"/>
              <w:adjustRightInd w:val="0"/>
              <w:spacing w:line="264" w:lineRule="auto"/>
              <w:contextualSpacing/>
              <w:jc w:val="center"/>
              <w:rPr>
                <w:b/>
                <w:bCs/>
                <w:szCs w:val="24"/>
              </w:rPr>
            </w:pPr>
            <w:r w:rsidRPr="004663AC">
              <w:rPr>
                <w:b/>
                <w:bCs/>
                <w:szCs w:val="24"/>
              </w:rPr>
              <w:t xml:space="preserve">RCEs </w:t>
            </w:r>
            <w:r>
              <w:rPr>
                <w:b/>
                <w:bCs/>
                <w:szCs w:val="24"/>
              </w:rPr>
              <w:t>f</w:t>
            </w:r>
            <w:r w:rsidRPr="004663AC">
              <w:rPr>
                <w:b/>
                <w:bCs/>
                <w:szCs w:val="24"/>
              </w:rPr>
              <w:t>or connections or establishment of new service on or after Jan</w:t>
            </w:r>
            <w:r w:rsidR="00C154BD">
              <w:rPr>
                <w:b/>
                <w:bCs/>
                <w:szCs w:val="24"/>
              </w:rPr>
              <w:t>.</w:t>
            </w:r>
            <w:r w:rsidRPr="004663AC">
              <w:rPr>
                <w:b/>
                <w:bCs/>
                <w:szCs w:val="24"/>
              </w:rPr>
              <w:t xml:space="preserve"> 1, 2021</w:t>
            </w:r>
          </w:p>
        </w:tc>
      </w:tr>
      <w:tr w:rsidR="00C154BD" w:rsidTr="00C154BD">
        <w:trPr>
          <w:trHeight w:val="1070"/>
          <w:jc w:val="center"/>
        </w:trPr>
        <w:tc>
          <w:tcPr>
            <w:tcW w:w="4320" w:type="dxa"/>
            <w:tcBorders>
              <w:top w:val="single" w:sz="4" w:space="0" w:color="auto"/>
            </w:tcBorders>
            <w:hideMark/>
          </w:tcPr>
          <w:p w:rsidR="00827F57" w:rsidRDefault="00827F57" w:rsidP="004663AC">
            <w:pPr>
              <w:widowControl w:val="0"/>
              <w:autoSpaceDE w:val="0"/>
              <w:autoSpaceDN w:val="0"/>
              <w:adjustRightInd w:val="0"/>
              <w:spacing w:line="264" w:lineRule="auto"/>
              <w:contextualSpacing/>
              <w:rPr>
                <w:szCs w:val="24"/>
              </w:rPr>
            </w:pPr>
          </w:p>
          <w:p w:rsidR="004663AC" w:rsidRPr="004663AC" w:rsidRDefault="004663AC" w:rsidP="004663AC">
            <w:pPr>
              <w:widowControl w:val="0"/>
              <w:autoSpaceDE w:val="0"/>
              <w:autoSpaceDN w:val="0"/>
              <w:adjustRightInd w:val="0"/>
              <w:spacing w:line="264" w:lineRule="auto"/>
              <w:contextualSpacing/>
              <w:rPr>
                <w:b/>
                <w:bCs/>
                <w:szCs w:val="24"/>
              </w:rPr>
            </w:pPr>
            <w:r w:rsidRPr="004663AC">
              <w:rPr>
                <w:szCs w:val="24"/>
              </w:rPr>
              <w:t>Single detached dwelling unit, net square footage less than 1,500 square feet</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single" w:sz="4" w:space="0" w:color="auto"/>
            </w:tcBorders>
            <w:hideMark/>
          </w:tcPr>
          <w:p w:rsidR="00827F57" w:rsidRDefault="00827F57" w:rsidP="004663AC">
            <w:pPr>
              <w:widowControl w:val="0"/>
              <w:autoSpaceDE w:val="0"/>
              <w:autoSpaceDN w:val="0"/>
              <w:adjustRightInd w:val="0"/>
              <w:spacing w:line="264" w:lineRule="auto"/>
              <w:contextualSpacing/>
              <w:jc w:val="center"/>
              <w:rPr>
                <w:szCs w:val="24"/>
              </w:rPr>
            </w:pPr>
          </w:p>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1.00</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single" w:sz="4" w:space="0" w:color="auto"/>
            </w:tcBorders>
            <w:hideMark/>
          </w:tcPr>
          <w:p w:rsidR="00827F57" w:rsidRDefault="00827F57" w:rsidP="004663AC">
            <w:pPr>
              <w:widowControl w:val="0"/>
              <w:autoSpaceDE w:val="0"/>
              <w:autoSpaceDN w:val="0"/>
              <w:adjustRightInd w:val="0"/>
              <w:spacing w:line="264" w:lineRule="auto"/>
              <w:contextualSpacing/>
              <w:jc w:val="center"/>
              <w:rPr>
                <w:szCs w:val="24"/>
              </w:rPr>
            </w:pPr>
          </w:p>
          <w:p w:rsidR="004663AC" w:rsidRPr="004663AC" w:rsidRDefault="004663AC" w:rsidP="004663AC">
            <w:pPr>
              <w:widowControl w:val="0"/>
              <w:autoSpaceDE w:val="0"/>
              <w:autoSpaceDN w:val="0"/>
              <w:adjustRightInd w:val="0"/>
              <w:spacing w:line="264" w:lineRule="auto"/>
              <w:contextualSpacing/>
              <w:jc w:val="center"/>
              <w:rPr>
                <w:b/>
                <w:bCs/>
                <w:szCs w:val="24"/>
              </w:rPr>
            </w:pPr>
            <w:r w:rsidRPr="004663AC">
              <w:rPr>
                <w:szCs w:val="24"/>
              </w:rPr>
              <w:t>0.81</w:t>
            </w:r>
          </w:p>
        </w:tc>
      </w:tr>
      <w:tr w:rsidR="00C154BD" w:rsidTr="00C154BD">
        <w:trPr>
          <w:trHeight w:val="786"/>
          <w:jc w:val="center"/>
        </w:trPr>
        <w:tc>
          <w:tcPr>
            <w:tcW w:w="4320" w:type="dxa"/>
            <w:hideMark/>
          </w:tcPr>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Single detached dwelling unit, net square footage 1,500 to 2,999 square feet</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1.00</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1.00</w:t>
            </w:r>
          </w:p>
        </w:tc>
      </w:tr>
      <w:tr w:rsidR="00C154BD" w:rsidTr="00C154BD">
        <w:trPr>
          <w:trHeight w:val="795"/>
          <w:jc w:val="center"/>
        </w:trPr>
        <w:tc>
          <w:tcPr>
            <w:tcW w:w="432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Single detached dwelling unit, net square footage 3,000 square feet or greater</w:t>
            </w:r>
          </w:p>
        </w:tc>
        <w:tc>
          <w:tcPr>
            <w:tcW w:w="270" w:type="dxa"/>
            <w:tcBorders>
              <w:bottom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1.00</w:t>
            </w:r>
          </w:p>
        </w:tc>
        <w:tc>
          <w:tcPr>
            <w:tcW w:w="270" w:type="dxa"/>
            <w:tcBorders>
              <w:bottom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1.16</w:t>
            </w:r>
          </w:p>
        </w:tc>
      </w:tr>
      <w:tr w:rsidR="00C154BD" w:rsidTr="00C154BD">
        <w:trPr>
          <w:trHeight w:val="755"/>
          <w:jc w:val="center"/>
        </w:trPr>
        <w:tc>
          <w:tcPr>
            <w:tcW w:w="4320" w:type="dxa"/>
            <w:tcBorders>
              <w:top w:val="dotted" w:sz="4" w:space="0" w:color="auto"/>
            </w:tcBorders>
            <w:hideMark/>
          </w:tcPr>
          <w:p w:rsidR="00C154BD" w:rsidRDefault="00C154BD" w:rsidP="004663AC">
            <w:pPr>
              <w:widowControl w:val="0"/>
              <w:autoSpaceDE w:val="0"/>
              <w:autoSpaceDN w:val="0"/>
              <w:adjustRightInd w:val="0"/>
              <w:spacing w:line="264" w:lineRule="auto"/>
              <w:contextualSpacing/>
              <w:rPr>
                <w:szCs w:val="24"/>
              </w:rPr>
            </w:pPr>
          </w:p>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Accessory dwelling unit</w:t>
            </w:r>
          </w:p>
        </w:tc>
        <w:tc>
          <w:tcPr>
            <w:tcW w:w="270" w:type="dxa"/>
            <w:tcBorders>
              <w:top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dotted" w:sz="4" w:space="0" w:color="auto"/>
            </w:tcBorders>
            <w:hideMark/>
          </w:tcPr>
          <w:p w:rsidR="00C154BD" w:rsidRDefault="00C154BD" w:rsidP="004663AC">
            <w:pPr>
              <w:widowControl w:val="0"/>
              <w:autoSpaceDE w:val="0"/>
              <w:autoSpaceDN w:val="0"/>
              <w:adjustRightInd w:val="0"/>
              <w:spacing w:line="264" w:lineRule="auto"/>
              <w:contextualSpacing/>
              <w:jc w:val="center"/>
              <w:rPr>
                <w:szCs w:val="24"/>
              </w:rPr>
            </w:pPr>
          </w:p>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0.60</w:t>
            </w:r>
          </w:p>
        </w:tc>
        <w:tc>
          <w:tcPr>
            <w:tcW w:w="270" w:type="dxa"/>
            <w:tcBorders>
              <w:top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dotted" w:sz="4" w:space="0" w:color="auto"/>
            </w:tcBorders>
            <w:hideMark/>
          </w:tcPr>
          <w:p w:rsidR="00C154BD" w:rsidRDefault="00C154BD" w:rsidP="004663AC">
            <w:pPr>
              <w:widowControl w:val="0"/>
              <w:autoSpaceDE w:val="0"/>
              <w:autoSpaceDN w:val="0"/>
              <w:adjustRightInd w:val="0"/>
              <w:spacing w:line="264" w:lineRule="auto"/>
              <w:contextualSpacing/>
              <w:jc w:val="center"/>
              <w:rPr>
                <w:szCs w:val="24"/>
              </w:rPr>
            </w:pPr>
          </w:p>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0.59</w:t>
            </w:r>
          </w:p>
        </w:tc>
      </w:tr>
      <w:tr w:rsidR="00C154BD" w:rsidTr="00C154BD">
        <w:trPr>
          <w:trHeight w:val="705"/>
          <w:jc w:val="center"/>
        </w:trPr>
        <w:tc>
          <w:tcPr>
            <w:tcW w:w="4320" w:type="dxa"/>
            <w:hideMark/>
          </w:tcPr>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Multiunit structures containing two to four units, per unit</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0.80</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0.81</w:t>
            </w:r>
          </w:p>
        </w:tc>
      </w:tr>
      <w:tr w:rsidR="00C154BD" w:rsidTr="00C154BD">
        <w:trPr>
          <w:trHeight w:val="705"/>
          <w:jc w:val="center"/>
        </w:trPr>
        <w:tc>
          <w:tcPr>
            <w:tcW w:w="4320" w:type="dxa"/>
            <w:hideMark/>
          </w:tcPr>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Multi-unit structures containing five or more units, per unit</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0.64</w:t>
            </w:r>
          </w:p>
        </w:tc>
        <w:tc>
          <w:tcPr>
            <w:tcW w:w="270" w:type="dxa"/>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0.63</w:t>
            </w:r>
          </w:p>
        </w:tc>
      </w:tr>
      <w:tr w:rsidR="00C154BD" w:rsidTr="00C154BD">
        <w:trPr>
          <w:trHeight w:val="435"/>
          <w:jc w:val="center"/>
        </w:trPr>
        <w:tc>
          <w:tcPr>
            <w:tcW w:w="432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rPr>
                <w:szCs w:val="24"/>
              </w:rPr>
            </w:pPr>
            <w:r w:rsidRPr="004663AC">
              <w:rPr>
                <w:szCs w:val="24"/>
              </w:rPr>
              <w:t>Microhousing structures, per unit</w:t>
            </w:r>
          </w:p>
        </w:tc>
        <w:tc>
          <w:tcPr>
            <w:tcW w:w="270" w:type="dxa"/>
            <w:tcBorders>
              <w:bottom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0.35</w:t>
            </w:r>
          </w:p>
        </w:tc>
        <w:tc>
          <w:tcPr>
            <w:tcW w:w="270" w:type="dxa"/>
            <w:tcBorders>
              <w:bottom w:val="dotted" w:sz="4"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bottom w:val="dotted" w:sz="4" w:space="0" w:color="auto"/>
            </w:tcBorders>
            <w:hideMark/>
          </w:tcPr>
          <w:p w:rsidR="004663AC" w:rsidRPr="004663AC" w:rsidRDefault="004663AC" w:rsidP="004663AC">
            <w:pPr>
              <w:widowControl w:val="0"/>
              <w:autoSpaceDE w:val="0"/>
              <w:autoSpaceDN w:val="0"/>
              <w:adjustRightInd w:val="0"/>
              <w:spacing w:line="264" w:lineRule="auto"/>
              <w:contextualSpacing/>
              <w:jc w:val="center"/>
              <w:rPr>
                <w:szCs w:val="24"/>
              </w:rPr>
            </w:pPr>
            <w:r w:rsidRPr="004663AC">
              <w:rPr>
                <w:szCs w:val="24"/>
              </w:rPr>
              <w:t>0.35</w:t>
            </w:r>
          </w:p>
        </w:tc>
      </w:tr>
      <w:tr w:rsidR="00C154BD" w:rsidTr="00C154BD">
        <w:trPr>
          <w:trHeight w:val="1035"/>
          <w:jc w:val="center"/>
        </w:trPr>
        <w:tc>
          <w:tcPr>
            <w:tcW w:w="4320" w:type="dxa"/>
            <w:tcBorders>
              <w:top w:val="dotted" w:sz="4" w:space="0" w:color="auto"/>
              <w:bottom w:val="single" w:sz="12" w:space="0" w:color="auto"/>
            </w:tcBorders>
            <w:hideMark/>
          </w:tcPr>
          <w:p w:rsidR="00C154BD" w:rsidRDefault="00C154BD" w:rsidP="004663AC">
            <w:pPr>
              <w:widowControl w:val="0"/>
              <w:autoSpaceDE w:val="0"/>
              <w:autoSpaceDN w:val="0"/>
              <w:adjustRightInd w:val="0"/>
              <w:spacing w:line="264" w:lineRule="auto"/>
              <w:contextualSpacing/>
              <w:rPr>
                <w:szCs w:val="24"/>
              </w:rPr>
            </w:pPr>
          </w:p>
          <w:p w:rsidR="004663AC" w:rsidRDefault="004663AC" w:rsidP="004663AC">
            <w:pPr>
              <w:widowControl w:val="0"/>
              <w:autoSpaceDE w:val="0"/>
              <w:autoSpaceDN w:val="0"/>
              <w:adjustRightInd w:val="0"/>
              <w:spacing w:line="264" w:lineRule="auto"/>
              <w:contextualSpacing/>
              <w:rPr>
                <w:szCs w:val="24"/>
              </w:rPr>
            </w:pPr>
            <w:r w:rsidRPr="004663AC">
              <w:rPr>
                <w:szCs w:val="24"/>
              </w:rPr>
              <w:t>Senior resident, low-income and special purpose housing, per unit</w:t>
            </w:r>
          </w:p>
          <w:p w:rsidR="004663AC" w:rsidRPr="004663AC" w:rsidRDefault="004663AC" w:rsidP="004663AC">
            <w:pPr>
              <w:widowControl w:val="0"/>
              <w:autoSpaceDE w:val="0"/>
              <w:autoSpaceDN w:val="0"/>
              <w:adjustRightInd w:val="0"/>
              <w:spacing w:line="264" w:lineRule="auto"/>
              <w:contextualSpacing/>
              <w:rPr>
                <w:szCs w:val="24"/>
              </w:rPr>
            </w:pPr>
          </w:p>
        </w:tc>
        <w:tc>
          <w:tcPr>
            <w:tcW w:w="270" w:type="dxa"/>
            <w:tcBorders>
              <w:top w:val="dotted" w:sz="4" w:space="0" w:color="auto"/>
              <w:bottom w:val="single" w:sz="12"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dotted" w:sz="4" w:space="0" w:color="auto"/>
              <w:bottom w:val="single" w:sz="12" w:space="0" w:color="auto"/>
            </w:tcBorders>
            <w:hideMark/>
          </w:tcPr>
          <w:p w:rsidR="00C154BD" w:rsidRDefault="00C154BD" w:rsidP="004663AC">
            <w:pPr>
              <w:widowControl w:val="0"/>
              <w:autoSpaceDE w:val="0"/>
              <w:autoSpaceDN w:val="0"/>
              <w:adjustRightInd w:val="0"/>
              <w:spacing w:line="264" w:lineRule="auto"/>
              <w:contextualSpacing/>
              <w:jc w:val="center"/>
              <w:rPr>
                <w:szCs w:val="24"/>
              </w:rPr>
            </w:pPr>
          </w:p>
          <w:p w:rsidR="004663AC" w:rsidRDefault="004663AC" w:rsidP="004663AC">
            <w:pPr>
              <w:widowControl w:val="0"/>
              <w:autoSpaceDE w:val="0"/>
              <w:autoSpaceDN w:val="0"/>
              <w:adjustRightInd w:val="0"/>
              <w:spacing w:line="264" w:lineRule="auto"/>
              <w:contextualSpacing/>
              <w:jc w:val="center"/>
              <w:rPr>
                <w:szCs w:val="24"/>
              </w:rPr>
            </w:pPr>
            <w:r w:rsidRPr="004663AC">
              <w:rPr>
                <w:szCs w:val="24"/>
              </w:rPr>
              <w:t>0.32</w:t>
            </w:r>
          </w:p>
          <w:p w:rsidR="004663AC" w:rsidRPr="004663AC" w:rsidRDefault="004663AC" w:rsidP="004663AC">
            <w:pPr>
              <w:widowControl w:val="0"/>
              <w:autoSpaceDE w:val="0"/>
              <w:autoSpaceDN w:val="0"/>
              <w:adjustRightInd w:val="0"/>
              <w:spacing w:line="264" w:lineRule="auto"/>
              <w:contextualSpacing/>
              <w:jc w:val="center"/>
              <w:rPr>
                <w:szCs w:val="24"/>
              </w:rPr>
            </w:pPr>
          </w:p>
        </w:tc>
        <w:tc>
          <w:tcPr>
            <w:tcW w:w="270" w:type="dxa"/>
            <w:tcBorders>
              <w:top w:val="dotted" w:sz="4" w:space="0" w:color="auto"/>
              <w:bottom w:val="single" w:sz="12" w:space="0" w:color="auto"/>
            </w:tcBorders>
          </w:tcPr>
          <w:p w:rsidR="004663AC" w:rsidRPr="004663AC" w:rsidRDefault="004663AC" w:rsidP="004663AC">
            <w:pPr>
              <w:widowControl w:val="0"/>
              <w:autoSpaceDE w:val="0"/>
              <w:autoSpaceDN w:val="0"/>
              <w:adjustRightInd w:val="0"/>
              <w:spacing w:line="264" w:lineRule="auto"/>
              <w:contextualSpacing/>
              <w:jc w:val="center"/>
              <w:rPr>
                <w:szCs w:val="24"/>
              </w:rPr>
            </w:pPr>
          </w:p>
        </w:tc>
        <w:tc>
          <w:tcPr>
            <w:tcW w:w="2340" w:type="dxa"/>
            <w:tcBorders>
              <w:top w:val="dotted" w:sz="4" w:space="0" w:color="auto"/>
              <w:bottom w:val="single" w:sz="12" w:space="0" w:color="auto"/>
            </w:tcBorders>
            <w:hideMark/>
          </w:tcPr>
          <w:p w:rsidR="00C154BD" w:rsidRDefault="00C154BD" w:rsidP="004663AC">
            <w:pPr>
              <w:widowControl w:val="0"/>
              <w:autoSpaceDE w:val="0"/>
              <w:autoSpaceDN w:val="0"/>
              <w:adjustRightInd w:val="0"/>
              <w:spacing w:line="264" w:lineRule="auto"/>
              <w:contextualSpacing/>
              <w:jc w:val="center"/>
              <w:rPr>
                <w:szCs w:val="24"/>
              </w:rPr>
            </w:pPr>
          </w:p>
          <w:p w:rsidR="004663AC" w:rsidRDefault="004663AC" w:rsidP="004663AC">
            <w:pPr>
              <w:widowControl w:val="0"/>
              <w:autoSpaceDE w:val="0"/>
              <w:autoSpaceDN w:val="0"/>
              <w:adjustRightInd w:val="0"/>
              <w:spacing w:line="264" w:lineRule="auto"/>
              <w:contextualSpacing/>
              <w:jc w:val="center"/>
              <w:rPr>
                <w:szCs w:val="24"/>
              </w:rPr>
            </w:pPr>
            <w:r w:rsidRPr="004663AC">
              <w:rPr>
                <w:szCs w:val="24"/>
              </w:rPr>
              <w:t>0.32</w:t>
            </w:r>
          </w:p>
          <w:p w:rsidR="004663AC" w:rsidRPr="004663AC" w:rsidRDefault="004663AC" w:rsidP="004663AC">
            <w:pPr>
              <w:widowControl w:val="0"/>
              <w:autoSpaceDE w:val="0"/>
              <w:autoSpaceDN w:val="0"/>
              <w:adjustRightInd w:val="0"/>
              <w:spacing w:line="264" w:lineRule="auto"/>
              <w:contextualSpacing/>
              <w:jc w:val="center"/>
              <w:rPr>
                <w:szCs w:val="24"/>
              </w:rPr>
            </w:pPr>
          </w:p>
        </w:tc>
      </w:tr>
    </w:tbl>
    <w:p w:rsidR="005C48C7" w:rsidRPr="00AA7940" w:rsidRDefault="005C48C7" w:rsidP="005C48C7">
      <w:pPr>
        <w:jc w:val="both"/>
        <w:rPr>
          <w:rFonts w:ascii="Arial" w:hAnsi="Arial" w:cs="Arial"/>
        </w:rPr>
      </w:pPr>
    </w:p>
    <w:p w:rsidR="005C48C7" w:rsidRDefault="005C48C7"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7006B0" w:rsidRDefault="007006B0" w:rsidP="00F566D9">
      <w:pPr>
        <w:spacing w:line="264" w:lineRule="auto"/>
        <w:jc w:val="both"/>
        <w:rPr>
          <w:rFonts w:ascii="Arial" w:hAnsi="Arial" w:cs="Arial"/>
        </w:rPr>
      </w:pPr>
    </w:p>
    <w:p w:rsidR="005C48C7" w:rsidRDefault="00DF1A5E" w:rsidP="00F566D9">
      <w:pPr>
        <w:spacing w:line="264" w:lineRule="auto"/>
        <w:jc w:val="both"/>
        <w:rPr>
          <w:rFonts w:ascii="Arial" w:hAnsi="Arial" w:cs="Arial"/>
        </w:rPr>
      </w:pPr>
      <w:r>
        <w:rPr>
          <w:rFonts w:ascii="Arial" w:hAnsi="Arial" w:cs="Arial"/>
        </w:rPr>
        <w:lastRenderedPageBreak/>
        <w:t>The existing Financial Policy language</w:t>
      </w:r>
      <w:r w:rsidR="00DD3372">
        <w:rPr>
          <w:rFonts w:ascii="Arial" w:hAnsi="Arial" w:cs="Arial"/>
        </w:rPr>
        <w:t>, codified in K.C.C. 28.86.160.C.3.FP-15,</w:t>
      </w:r>
      <w:r>
        <w:rPr>
          <w:rFonts w:ascii="Arial" w:hAnsi="Arial" w:cs="Arial"/>
        </w:rPr>
        <w:t xml:space="preserve"> would also need to be updated to reflect this proposed structure.  </w:t>
      </w:r>
      <w:r w:rsidR="005C48C7">
        <w:rPr>
          <w:rFonts w:ascii="Arial" w:hAnsi="Arial" w:cs="Arial"/>
        </w:rPr>
        <w:t xml:space="preserve">Proposed Ordinance 2020-0102 provides for a change in the existing financial policy language that addresses the capacity charge, </w:t>
      </w:r>
      <w:r w:rsidR="00A44965">
        <w:rPr>
          <w:rFonts w:ascii="Arial" w:hAnsi="Arial" w:cs="Arial"/>
        </w:rPr>
        <w:t xml:space="preserve">and thus </w:t>
      </w:r>
      <w:r w:rsidR="00F93199">
        <w:rPr>
          <w:rFonts w:ascii="Arial" w:hAnsi="Arial" w:cs="Arial"/>
        </w:rPr>
        <w:t xml:space="preserve">Proposed Ordinance 2020-0102 includes the </w:t>
      </w:r>
      <w:r w:rsidR="005C48C7">
        <w:rPr>
          <w:rFonts w:ascii="Arial" w:hAnsi="Arial" w:cs="Arial"/>
        </w:rPr>
        <w:t>below</w:t>
      </w:r>
      <w:r w:rsidR="00A44965">
        <w:rPr>
          <w:rFonts w:ascii="Arial" w:hAnsi="Arial" w:cs="Arial"/>
        </w:rPr>
        <w:t xml:space="preserve"> proposed change</w:t>
      </w:r>
      <w:r w:rsidR="005C48C7">
        <w:rPr>
          <w:rFonts w:ascii="Arial" w:hAnsi="Arial" w:cs="Arial"/>
        </w:rPr>
        <w:t>:</w:t>
      </w:r>
    </w:p>
    <w:p w:rsidR="005C48C7" w:rsidRDefault="005C48C7" w:rsidP="00F566D9">
      <w:pPr>
        <w:spacing w:line="264" w:lineRule="auto"/>
        <w:jc w:val="both"/>
        <w:rPr>
          <w:rFonts w:ascii="Arial" w:hAnsi="Arial" w:cs="Arial"/>
        </w:rPr>
      </w:pPr>
    </w:p>
    <w:p w:rsidR="005C48C7" w:rsidRPr="001B0891" w:rsidRDefault="005C48C7" w:rsidP="00F566D9">
      <w:pPr>
        <w:spacing w:line="264" w:lineRule="auto"/>
        <w:jc w:val="both"/>
        <w:rPr>
          <w:rFonts w:ascii="Arial" w:hAnsi="Arial" w:cs="Arial"/>
          <w:b/>
          <w:u w:val="single"/>
        </w:rPr>
      </w:pPr>
      <w:r>
        <w:rPr>
          <w:rFonts w:ascii="Arial" w:hAnsi="Arial" w:cs="Arial"/>
        </w:rPr>
        <w:tab/>
      </w:r>
      <w:r w:rsidRPr="001B0891">
        <w:rPr>
          <w:rFonts w:ascii="Arial" w:hAnsi="Arial" w:cs="Arial"/>
          <w:b/>
          <w:u w:val="single"/>
        </w:rPr>
        <w:t>F</w:t>
      </w:r>
      <w:r>
        <w:rPr>
          <w:rFonts w:ascii="Arial" w:hAnsi="Arial" w:cs="Arial"/>
          <w:b/>
          <w:u w:val="single"/>
        </w:rPr>
        <w:t xml:space="preserve">inancial </w:t>
      </w:r>
      <w:r w:rsidRPr="001B0891">
        <w:rPr>
          <w:rFonts w:ascii="Arial" w:hAnsi="Arial" w:cs="Arial"/>
          <w:b/>
          <w:u w:val="single"/>
        </w:rPr>
        <w:t>P</w:t>
      </w:r>
      <w:r>
        <w:rPr>
          <w:rFonts w:ascii="Arial" w:hAnsi="Arial" w:cs="Arial"/>
          <w:b/>
          <w:u w:val="single"/>
        </w:rPr>
        <w:t>olicy</w:t>
      </w:r>
      <w:r w:rsidRPr="001B0891">
        <w:rPr>
          <w:rFonts w:ascii="Arial" w:hAnsi="Arial" w:cs="Arial"/>
          <w:b/>
          <w:u w:val="single"/>
        </w:rPr>
        <w:t xml:space="preserve"> 15  </w:t>
      </w:r>
    </w:p>
    <w:p w:rsidR="005C48C7" w:rsidRDefault="005C48C7" w:rsidP="00F566D9">
      <w:pPr>
        <w:spacing w:line="264" w:lineRule="auto"/>
        <w:ind w:left="720"/>
        <w:jc w:val="both"/>
        <w:rPr>
          <w:rFonts w:ascii="Arial" w:hAnsi="Arial" w:cs="Arial"/>
          <w:color w:val="000000"/>
          <w:szCs w:val="24"/>
        </w:rPr>
      </w:pPr>
      <w:r w:rsidRPr="00B256CC">
        <w:rPr>
          <w:rFonts w:ascii="Arial" w:hAnsi="Arial" w:cs="Arial"/>
          <w:color w:val="000000"/>
          <w:szCs w:val="24"/>
        </w:rPr>
        <w:t>3.  Capacity charge.  The amount of the capacity charge shall be a uniform charge((</w:t>
      </w:r>
      <w:r w:rsidRPr="00B256CC">
        <w:rPr>
          <w:rFonts w:ascii="Arial" w:hAnsi="Arial" w:cs="Arial"/>
          <w:strike/>
          <w:color w:val="000000"/>
          <w:szCs w:val="24"/>
        </w:rPr>
        <w:t>,</w:t>
      </w:r>
      <w:r w:rsidRPr="00B256CC">
        <w:rPr>
          <w:rFonts w:ascii="Arial" w:hAnsi="Arial" w:cs="Arial"/>
          <w:color w:val="000000"/>
          <w:szCs w:val="24"/>
        </w:rPr>
        <w:t>))</w:t>
      </w:r>
      <w:r w:rsidRPr="007006B0">
        <w:rPr>
          <w:rFonts w:ascii="Arial" w:hAnsi="Arial" w:cs="Arial"/>
          <w:color w:val="000000"/>
          <w:szCs w:val="24"/>
        </w:rPr>
        <w:t xml:space="preserve"> </w:t>
      </w:r>
      <w:r w:rsidRPr="00B256CC">
        <w:rPr>
          <w:rFonts w:ascii="Arial" w:hAnsi="Arial" w:cs="Arial"/>
          <w:color w:val="000000"/>
          <w:szCs w:val="24"/>
          <w:u w:val="single"/>
        </w:rPr>
        <w:t>applied to each residential customer class structure type based on an estimate of the average persons-per-household occupancy for each such a residential customer class structure type.  The amount</w:t>
      </w:r>
      <w:r w:rsidRPr="00B256CC">
        <w:rPr>
          <w:rFonts w:ascii="Arial" w:hAnsi="Arial" w:cs="Arial"/>
          <w:color w:val="000000"/>
          <w:szCs w:val="24"/>
        </w:rPr>
        <w:t xml:space="preserve"> shall be approved annually and shall not exceed the cost of capital facilities necessary to serve new customers.  </w:t>
      </w:r>
    </w:p>
    <w:p w:rsidR="00DF1A5E" w:rsidRDefault="00DF1A5E" w:rsidP="00F566D9">
      <w:pPr>
        <w:spacing w:line="264" w:lineRule="auto"/>
        <w:ind w:left="720"/>
        <w:jc w:val="both"/>
        <w:rPr>
          <w:rFonts w:ascii="Arial" w:hAnsi="Arial" w:cs="Arial"/>
          <w:color w:val="000000"/>
          <w:szCs w:val="24"/>
        </w:rPr>
      </w:pPr>
    </w:p>
    <w:p w:rsidR="00DF1A5E" w:rsidRDefault="00DF1A5E" w:rsidP="00F566D9">
      <w:pPr>
        <w:spacing w:line="264" w:lineRule="auto"/>
        <w:jc w:val="both"/>
        <w:rPr>
          <w:rFonts w:ascii="Arial" w:hAnsi="Arial" w:cs="Arial"/>
          <w:color w:val="000000"/>
          <w:szCs w:val="24"/>
        </w:rPr>
      </w:pPr>
      <w:r w:rsidRPr="00486756">
        <w:rPr>
          <w:rFonts w:ascii="Arial" w:hAnsi="Arial" w:cs="Arial"/>
          <w:b/>
          <w:u w:val="single"/>
        </w:rPr>
        <w:t>ANALYSIS</w:t>
      </w:r>
    </w:p>
    <w:p w:rsidR="005C48C7" w:rsidRDefault="005C48C7" w:rsidP="00F566D9">
      <w:pPr>
        <w:spacing w:line="264" w:lineRule="auto"/>
        <w:ind w:left="720"/>
        <w:jc w:val="both"/>
        <w:rPr>
          <w:rFonts w:ascii="Arial" w:hAnsi="Arial" w:cs="Arial"/>
          <w:color w:val="000000"/>
          <w:szCs w:val="24"/>
        </w:rPr>
      </w:pPr>
    </w:p>
    <w:p w:rsidR="005C48C7" w:rsidRDefault="00DF1A5E" w:rsidP="00F566D9">
      <w:pPr>
        <w:spacing w:line="264" w:lineRule="auto"/>
        <w:jc w:val="both"/>
        <w:rPr>
          <w:rFonts w:ascii="Arial" w:hAnsi="Arial" w:cs="Arial"/>
        </w:rPr>
      </w:pPr>
      <w:r>
        <w:rPr>
          <w:rFonts w:ascii="Arial" w:hAnsi="Arial" w:cs="Arial"/>
        </w:rPr>
        <w:t xml:space="preserve">The code changes addressed in Proposed Ordinance 2020-0101 and Proposed Ordinance 2020-0102 </w:t>
      </w:r>
      <w:r w:rsidR="005C48C7">
        <w:rPr>
          <w:rFonts w:ascii="Arial" w:hAnsi="Arial" w:cs="Arial"/>
        </w:rPr>
        <w:t xml:space="preserve">would accommodate the </w:t>
      </w:r>
      <w:r w:rsidR="00A4055B">
        <w:rPr>
          <w:rFonts w:ascii="Arial" w:hAnsi="Arial" w:cs="Arial"/>
        </w:rPr>
        <w:t>recommendations of the Capacity Charge Rate Structure review.</w:t>
      </w:r>
      <w:r w:rsidR="005C48C7">
        <w:rPr>
          <w:rFonts w:ascii="Arial" w:hAnsi="Arial" w:cs="Arial"/>
        </w:rPr>
        <w:t xml:space="preserve"> In broad terms, the change would provide for a more balanced allocation of capacity charge costs, based on the average numbers of occupants per household type.  </w:t>
      </w:r>
    </w:p>
    <w:p w:rsidR="005C48C7" w:rsidRDefault="005C48C7" w:rsidP="00F566D9">
      <w:pPr>
        <w:spacing w:line="264" w:lineRule="auto"/>
        <w:jc w:val="both"/>
        <w:rPr>
          <w:rFonts w:ascii="Arial" w:hAnsi="Arial" w:cs="Arial"/>
        </w:rPr>
      </w:pPr>
    </w:p>
    <w:p w:rsidR="005C48C7" w:rsidRDefault="005C48C7" w:rsidP="00F566D9">
      <w:pPr>
        <w:spacing w:line="264" w:lineRule="auto"/>
        <w:jc w:val="both"/>
        <w:rPr>
          <w:rFonts w:ascii="Arial" w:hAnsi="Arial" w:cs="Arial"/>
        </w:rPr>
      </w:pPr>
      <w:r>
        <w:rPr>
          <w:rFonts w:ascii="Arial" w:hAnsi="Arial" w:cs="Arial"/>
        </w:rPr>
        <w:t>The Metropolitan Water Pollution Abatement Advisory Committee (MWPAAC) has indicated its support for the legislation, in a letter dated December 11, 2019 (</w:t>
      </w:r>
      <w:r w:rsidR="00FC773A">
        <w:rPr>
          <w:rFonts w:ascii="Arial" w:hAnsi="Arial" w:cs="Arial"/>
        </w:rPr>
        <w:t>Attachment 9 to this staff report</w:t>
      </w:r>
      <w:r>
        <w:rPr>
          <w:rFonts w:ascii="Arial" w:hAnsi="Arial" w:cs="Arial"/>
        </w:rPr>
        <w:t xml:space="preserve">).  </w:t>
      </w:r>
    </w:p>
    <w:p w:rsidR="005C48C7" w:rsidRDefault="005C48C7" w:rsidP="00F566D9">
      <w:pPr>
        <w:spacing w:line="264" w:lineRule="auto"/>
        <w:jc w:val="both"/>
        <w:rPr>
          <w:rFonts w:ascii="Arial" w:hAnsi="Arial" w:cs="Arial"/>
        </w:rPr>
      </w:pPr>
    </w:p>
    <w:p w:rsidR="00FC773A" w:rsidRDefault="00FC773A" w:rsidP="00FC773A">
      <w:pPr>
        <w:spacing w:line="264" w:lineRule="auto"/>
        <w:jc w:val="both"/>
        <w:rPr>
          <w:rFonts w:ascii="Arial" w:hAnsi="Arial" w:cs="Arial"/>
          <w:b/>
          <w:u w:val="single"/>
        </w:rPr>
      </w:pPr>
      <w:r>
        <w:rPr>
          <w:rFonts w:ascii="Arial" w:hAnsi="Arial" w:cs="Arial"/>
          <w:b/>
          <w:u w:val="single"/>
        </w:rPr>
        <w:t>AMENDMENTS</w:t>
      </w:r>
    </w:p>
    <w:p w:rsidR="005C48C7" w:rsidRDefault="005C48C7" w:rsidP="00F566D9">
      <w:pPr>
        <w:spacing w:line="264" w:lineRule="auto"/>
        <w:jc w:val="both"/>
        <w:rPr>
          <w:rFonts w:ascii="Arial" w:hAnsi="Arial" w:cs="Arial"/>
          <w:u w:val="single"/>
        </w:rPr>
      </w:pPr>
    </w:p>
    <w:p w:rsidR="00FC773A" w:rsidRDefault="005C48C7" w:rsidP="00F566D9">
      <w:pPr>
        <w:spacing w:line="264" w:lineRule="auto"/>
        <w:jc w:val="both"/>
        <w:rPr>
          <w:rFonts w:ascii="Arial" w:hAnsi="Arial" w:cs="Arial"/>
        </w:rPr>
      </w:pPr>
      <w:r>
        <w:rPr>
          <w:rFonts w:ascii="Arial" w:hAnsi="Arial" w:cs="Arial"/>
        </w:rPr>
        <w:t>The Council’s legal counsel,</w:t>
      </w:r>
      <w:r w:rsidR="00DD3372">
        <w:rPr>
          <w:rFonts w:ascii="Arial" w:hAnsi="Arial" w:cs="Arial"/>
        </w:rPr>
        <w:t xml:space="preserve"> together with the </w:t>
      </w:r>
      <w:r w:rsidR="00FC773A">
        <w:rPr>
          <w:rFonts w:ascii="Arial" w:hAnsi="Arial" w:cs="Arial"/>
        </w:rPr>
        <w:t>Prosecuting Attorney Office (</w:t>
      </w:r>
      <w:r w:rsidR="00DD3372">
        <w:rPr>
          <w:rFonts w:ascii="Arial" w:hAnsi="Arial" w:cs="Arial"/>
        </w:rPr>
        <w:t>PAO</w:t>
      </w:r>
      <w:r w:rsidR="00FC773A">
        <w:rPr>
          <w:rFonts w:ascii="Arial" w:hAnsi="Arial" w:cs="Arial"/>
        </w:rPr>
        <w:t xml:space="preserve">), </w:t>
      </w:r>
      <w:r w:rsidR="00DD3372">
        <w:rPr>
          <w:rFonts w:ascii="Arial" w:hAnsi="Arial" w:cs="Arial"/>
        </w:rPr>
        <w:t xml:space="preserve">and the Code </w:t>
      </w:r>
      <w:r w:rsidR="00FC773A">
        <w:rPr>
          <w:rFonts w:ascii="Arial" w:hAnsi="Arial" w:cs="Arial"/>
        </w:rPr>
        <w:t>Reviser</w:t>
      </w:r>
      <w:r w:rsidR="00DD3372">
        <w:rPr>
          <w:rFonts w:ascii="Arial" w:hAnsi="Arial" w:cs="Arial"/>
        </w:rPr>
        <w:t>, have</w:t>
      </w:r>
      <w:r>
        <w:rPr>
          <w:rFonts w:ascii="Arial" w:hAnsi="Arial" w:cs="Arial"/>
        </w:rPr>
        <w:t xml:space="preserve"> </w:t>
      </w:r>
      <w:r w:rsidR="00A4055B">
        <w:rPr>
          <w:rFonts w:ascii="Arial" w:hAnsi="Arial" w:cs="Arial"/>
        </w:rPr>
        <w:t>recommended</w:t>
      </w:r>
      <w:r w:rsidR="00DD3372">
        <w:rPr>
          <w:rFonts w:ascii="Arial" w:hAnsi="Arial" w:cs="Arial"/>
        </w:rPr>
        <w:t xml:space="preserve"> </w:t>
      </w:r>
      <w:r w:rsidR="00FC773A">
        <w:rPr>
          <w:rFonts w:ascii="Arial" w:hAnsi="Arial" w:cs="Arial"/>
        </w:rPr>
        <w:t xml:space="preserve">the following two technical changes </w:t>
      </w:r>
      <w:r w:rsidR="00DD3372">
        <w:rPr>
          <w:rFonts w:ascii="Arial" w:hAnsi="Arial" w:cs="Arial"/>
        </w:rPr>
        <w:t>to Proposed Ordinance 2020-0101</w:t>
      </w:r>
      <w:r w:rsidR="00A4055B">
        <w:rPr>
          <w:rFonts w:ascii="Arial" w:hAnsi="Arial" w:cs="Arial"/>
        </w:rPr>
        <w:t>, as follows:</w:t>
      </w:r>
    </w:p>
    <w:p w:rsidR="00A4055B" w:rsidRPr="002C66D1" w:rsidRDefault="00A4055B" w:rsidP="002C66D1">
      <w:pPr>
        <w:pStyle w:val="ListParagraph"/>
        <w:numPr>
          <w:ilvl w:val="0"/>
          <w:numId w:val="6"/>
        </w:numPr>
        <w:spacing w:line="264" w:lineRule="auto"/>
        <w:jc w:val="both"/>
        <w:rPr>
          <w:rFonts w:ascii="Arial" w:hAnsi="Arial" w:cs="Arial"/>
        </w:rPr>
      </w:pPr>
      <w:r w:rsidRPr="002C66D1">
        <w:rPr>
          <w:rFonts w:ascii="Arial" w:hAnsi="Arial" w:cs="Arial"/>
        </w:rPr>
        <w:t>The definition of “</w:t>
      </w:r>
      <w:r w:rsidR="007C7128">
        <w:rPr>
          <w:rFonts w:ascii="Arial" w:hAnsi="Arial" w:cs="Arial"/>
        </w:rPr>
        <w:t>a</w:t>
      </w:r>
      <w:r w:rsidR="007C7128" w:rsidRPr="002C66D1">
        <w:rPr>
          <w:rFonts w:ascii="Arial" w:hAnsi="Arial" w:cs="Arial"/>
        </w:rPr>
        <w:t xml:space="preserve">ttached </w:t>
      </w:r>
      <w:r w:rsidRPr="002C66D1">
        <w:rPr>
          <w:rFonts w:ascii="Arial" w:hAnsi="Arial" w:cs="Arial"/>
        </w:rPr>
        <w:t>accessory dwelling unit” and “</w:t>
      </w:r>
      <w:r w:rsidR="007C7128">
        <w:rPr>
          <w:rFonts w:ascii="Arial" w:hAnsi="Arial" w:cs="Arial"/>
        </w:rPr>
        <w:t>d</w:t>
      </w:r>
      <w:r w:rsidRPr="002C66D1">
        <w:rPr>
          <w:rFonts w:ascii="Arial" w:hAnsi="Arial" w:cs="Arial"/>
        </w:rPr>
        <w:t>etached accessory dwelling unit” would be revised to refer to units that are properly permit</w:t>
      </w:r>
      <w:r w:rsidR="00B50319" w:rsidRPr="002C66D1">
        <w:rPr>
          <w:rFonts w:ascii="Arial" w:hAnsi="Arial" w:cs="Arial"/>
        </w:rPr>
        <w:t>ted or approved, rather than designated as accessory dwelling units by local jurisdictions as the transmitted language provides, noting that local jurisdictions may or may not specifically designate units as accessory dwelling units, even where they meet size and other qualifications</w:t>
      </w:r>
      <w:r w:rsidR="007C7128">
        <w:rPr>
          <w:rFonts w:ascii="Arial" w:hAnsi="Arial" w:cs="Arial"/>
        </w:rPr>
        <w:t>; and</w:t>
      </w:r>
    </w:p>
    <w:p w:rsidR="00B50319" w:rsidRDefault="00B50319" w:rsidP="00F566D9">
      <w:pPr>
        <w:spacing w:line="264" w:lineRule="auto"/>
        <w:jc w:val="both"/>
        <w:rPr>
          <w:rFonts w:ascii="Arial" w:hAnsi="Arial" w:cs="Arial"/>
        </w:rPr>
      </w:pPr>
    </w:p>
    <w:p w:rsidR="00B50319" w:rsidRPr="002C66D1" w:rsidRDefault="007C7128" w:rsidP="002C66D1">
      <w:pPr>
        <w:pStyle w:val="ListParagraph"/>
        <w:numPr>
          <w:ilvl w:val="0"/>
          <w:numId w:val="6"/>
        </w:numPr>
        <w:spacing w:line="264" w:lineRule="auto"/>
        <w:jc w:val="both"/>
        <w:rPr>
          <w:rFonts w:ascii="Arial" w:hAnsi="Arial" w:cs="Arial"/>
        </w:rPr>
      </w:pPr>
      <w:r>
        <w:rPr>
          <w:rFonts w:ascii="Arial" w:hAnsi="Arial" w:cs="Arial"/>
        </w:rPr>
        <w:t>C</w:t>
      </w:r>
      <w:r w:rsidR="00B50319" w:rsidRPr="002C66D1">
        <w:rPr>
          <w:rFonts w:ascii="Arial" w:hAnsi="Arial" w:cs="Arial"/>
        </w:rPr>
        <w:t xml:space="preserve">hange to the definition of Microhousing </w:t>
      </w:r>
      <w:r>
        <w:rPr>
          <w:rFonts w:ascii="Arial" w:hAnsi="Arial" w:cs="Arial"/>
        </w:rPr>
        <w:t>s</w:t>
      </w:r>
      <w:r w:rsidR="00B50319" w:rsidRPr="002C66D1">
        <w:rPr>
          <w:rFonts w:ascii="Arial" w:hAnsi="Arial" w:cs="Arial"/>
        </w:rPr>
        <w:t xml:space="preserve">tructures to clarify that the number of plumbing fixture units that are an element of the definition, would be determined by a fixture units table that is posted online on the </w:t>
      </w:r>
      <w:r w:rsidR="004663AC">
        <w:rPr>
          <w:rFonts w:ascii="Arial" w:hAnsi="Arial" w:cs="Arial"/>
        </w:rPr>
        <w:t>W</w:t>
      </w:r>
      <w:r w:rsidR="00B50319" w:rsidRPr="002C66D1">
        <w:rPr>
          <w:rFonts w:ascii="Arial" w:hAnsi="Arial" w:cs="Arial"/>
        </w:rPr>
        <w:t xml:space="preserve">astewater </w:t>
      </w:r>
      <w:r w:rsidR="004663AC">
        <w:rPr>
          <w:rFonts w:ascii="Arial" w:hAnsi="Arial" w:cs="Arial"/>
        </w:rPr>
        <w:t>T</w:t>
      </w:r>
      <w:r w:rsidR="00B50319" w:rsidRPr="002C66D1">
        <w:rPr>
          <w:rFonts w:ascii="Arial" w:hAnsi="Arial" w:cs="Arial"/>
        </w:rPr>
        <w:t xml:space="preserve">reatment </w:t>
      </w:r>
      <w:r w:rsidR="004663AC">
        <w:rPr>
          <w:rFonts w:ascii="Arial" w:hAnsi="Arial" w:cs="Arial"/>
        </w:rPr>
        <w:t>D</w:t>
      </w:r>
      <w:r w:rsidR="00B50319" w:rsidRPr="002C66D1">
        <w:rPr>
          <w:rFonts w:ascii="Arial" w:hAnsi="Arial" w:cs="Arial"/>
        </w:rPr>
        <w:t xml:space="preserve">ivision’s website, in addition to being simply maintained by the </w:t>
      </w:r>
      <w:r w:rsidR="004663AC">
        <w:rPr>
          <w:rFonts w:ascii="Arial" w:hAnsi="Arial" w:cs="Arial"/>
        </w:rPr>
        <w:t>W</w:t>
      </w:r>
      <w:r w:rsidR="00B50319" w:rsidRPr="002C66D1">
        <w:rPr>
          <w:rFonts w:ascii="Arial" w:hAnsi="Arial" w:cs="Arial"/>
        </w:rPr>
        <w:t xml:space="preserve">astewater </w:t>
      </w:r>
      <w:r w:rsidR="004663AC">
        <w:rPr>
          <w:rFonts w:ascii="Arial" w:hAnsi="Arial" w:cs="Arial"/>
        </w:rPr>
        <w:t>T</w:t>
      </w:r>
      <w:r w:rsidR="00B50319" w:rsidRPr="002C66D1">
        <w:rPr>
          <w:rFonts w:ascii="Arial" w:hAnsi="Arial" w:cs="Arial"/>
        </w:rPr>
        <w:t xml:space="preserve">reatment </w:t>
      </w:r>
      <w:r w:rsidR="004663AC">
        <w:rPr>
          <w:rFonts w:ascii="Arial" w:hAnsi="Arial" w:cs="Arial"/>
        </w:rPr>
        <w:t>D</w:t>
      </w:r>
      <w:r w:rsidR="00B50319" w:rsidRPr="002C66D1">
        <w:rPr>
          <w:rFonts w:ascii="Arial" w:hAnsi="Arial" w:cs="Arial"/>
        </w:rPr>
        <w:t xml:space="preserve">ivision, as provided in the </w:t>
      </w:r>
      <w:r>
        <w:rPr>
          <w:rFonts w:ascii="Arial" w:hAnsi="Arial" w:cs="Arial"/>
        </w:rPr>
        <w:t>proposed</w:t>
      </w:r>
      <w:r w:rsidRPr="002C66D1">
        <w:rPr>
          <w:rFonts w:ascii="Arial" w:hAnsi="Arial" w:cs="Arial"/>
        </w:rPr>
        <w:t xml:space="preserve"> </w:t>
      </w:r>
      <w:r w:rsidR="00B50319" w:rsidRPr="002C66D1">
        <w:rPr>
          <w:rFonts w:ascii="Arial" w:hAnsi="Arial" w:cs="Arial"/>
        </w:rPr>
        <w:t xml:space="preserve">language.  </w:t>
      </w:r>
    </w:p>
    <w:p w:rsidR="00B50319" w:rsidRDefault="00B50319" w:rsidP="00F566D9">
      <w:pPr>
        <w:spacing w:line="264" w:lineRule="auto"/>
        <w:jc w:val="both"/>
        <w:rPr>
          <w:rFonts w:ascii="Arial" w:hAnsi="Arial" w:cs="Arial"/>
        </w:rPr>
      </w:pPr>
    </w:p>
    <w:p w:rsidR="00B50319" w:rsidRDefault="007C7128" w:rsidP="007C7128">
      <w:pPr>
        <w:spacing w:line="264" w:lineRule="auto"/>
        <w:jc w:val="both"/>
        <w:rPr>
          <w:rFonts w:ascii="Arial" w:hAnsi="Arial" w:cs="Arial"/>
        </w:rPr>
      </w:pPr>
      <w:r>
        <w:rPr>
          <w:rFonts w:ascii="Arial" w:hAnsi="Arial" w:cs="Arial"/>
        </w:rPr>
        <w:lastRenderedPageBreak/>
        <w:t>S</w:t>
      </w:r>
      <w:r w:rsidR="00B50319">
        <w:rPr>
          <w:rFonts w:ascii="Arial" w:hAnsi="Arial" w:cs="Arial"/>
        </w:rPr>
        <w:t xml:space="preserve">triking </w:t>
      </w:r>
      <w:r>
        <w:rPr>
          <w:rFonts w:ascii="Arial" w:hAnsi="Arial" w:cs="Arial"/>
        </w:rPr>
        <w:t>A</w:t>
      </w:r>
      <w:r w:rsidR="00B50319">
        <w:rPr>
          <w:rFonts w:ascii="Arial" w:hAnsi="Arial" w:cs="Arial"/>
        </w:rPr>
        <w:t>mendment</w:t>
      </w:r>
      <w:r w:rsidR="00DD3372">
        <w:rPr>
          <w:rFonts w:ascii="Arial" w:hAnsi="Arial" w:cs="Arial"/>
        </w:rPr>
        <w:t xml:space="preserve"> </w:t>
      </w:r>
      <w:r>
        <w:rPr>
          <w:rFonts w:ascii="Arial" w:hAnsi="Arial" w:cs="Arial"/>
        </w:rPr>
        <w:t xml:space="preserve">S2 </w:t>
      </w:r>
      <w:r w:rsidR="00DD3372">
        <w:rPr>
          <w:rFonts w:ascii="Arial" w:hAnsi="Arial" w:cs="Arial"/>
        </w:rPr>
        <w:t>to Proposed Ordinance 2020-0101</w:t>
      </w:r>
      <w:r w:rsidR="00B50319">
        <w:rPr>
          <w:rFonts w:ascii="Arial" w:hAnsi="Arial" w:cs="Arial"/>
        </w:rPr>
        <w:t xml:space="preserve"> has been prepared to address the </w:t>
      </w:r>
      <w:r>
        <w:rPr>
          <w:rFonts w:ascii="Arial" w:hAnsi="Arial" w:cs="Arial"/>
        </w:rPr>
        <w:t xml:space="preserve">above technical </w:t>
      </w:r>
      <w:r w:rsidR="00B50319">
        <w:rPr>
          <w:rFonts w:ascii="Arial" w:hAnsi="Arial" w:cs="Arial"/>
        </w:rPr>
        <w:t>changes</w:t>
      </w:r>
      <w:r>
        <w:rPr>
          <w:rFonts w:ascii="Arial" w:hAnsi="Arial" w:cs="Arial"/>
        </w:rPr>
        <w:t>.</w:t>
      </w:r>
    </w:p>
    <w:p w:rsidR="007C7128" w:rsidRDefault="007C7128" w:rsidP="007C7128">
      <w:pPr>
        <w:spacing w:line="264" w:lineRule="auto"/>
        <w:jc w:val="both"/>
        <w:rPr>
          <w:rFonts w:ascii="Arial" w:hAnsi="Arial" w:cs="Arial"/>
        </w:rPr>
      </w:pPr>
    </w:p>
    <w:p w:rsidR="007C7128" w:rsidRDefault="007C7128">
      <w:pPr>
        <w:spacing w:line="264" w:lineRule="auto"/>
        <w:jc w:val="both"/>
        <w:rPr>
          <w:rFonts w:ascii="Arial" w:hAnsi="Arial" w:cs="Arial"/>
        </w:rPr>
      </w:pPr>
      <w:r>
        <w:rPr>
          <w:rFonts w:ascii="Arial" w:hAnsi="Arial" w:cs="Arial"/>
        </w:rPr>
        <w:t xml:space="preserve">Striking Amendment S1 </w:t>
      </w:r>
      <w:r w:rsidR="00A44965">
        <w:rPr>
          <w:rFonts w:ascii="Arial" w:hAnsi="Arial" w:cs="Arial"/>
        </w:rPr>
        <w:t xml:space="preserve">has also been prepared to </w:t>
      </w:r>
      <w:r>
        <w:rPr>
          <w:rFonts w:ascii="Arial" w:hAnsi="Arial" w:cs="Arial"/>
        </w:rPr>
        <w:t>include the above technical changes and also the following changes:</w:t>
      </w:r>
    </w:p>
    <w:p w:rsidR="007C7128" w:rsidRPr="002C66D1" w:rsidRDefault="007C7128" w:rsidP="002C66D1">
      <w:pPr>
        <w:pStyle w:val="ListParagraph"/>
        <w:numPr>
          <w:ilvl w:val="0"/>
          <w:numId w:val="7"/>
        </w:numPr>
        <w:jc w:val="both"/>
        <w:rPr>
          <w:rFonts w:ascii="Arial" w:hAnsi="Arial" w:cs="Arial"/>
        </w:rPr>
      </w:pPr>
      <w:r w:rsidRPr="007C7128">
        <w:rPr>
          <w:rFonts w:ascii="Arial" w:hAnsi="Arial" w:cs="Arial"/>
        </w:rPr>
        <w:t xml:space="preserve">Provides that customers connecting to the system after January 1, 2019 who meet the low income housing definition are eligible for the low income </w:t>
      </w:r>
      <w:r>
        <w:rPr>
          <w:rFonts w:ascii="Arial" w:hAnsi="Arial" w:cs="Arial"/>
        </w:rPr>
        <w:t>RCE</w:t>
      </w:r>
      <w:r w:rsidRPr="007C7128">
        <w:rPr>
          <w:rFonts w:ascii="Arial" w:hAnsi="Arial" w:cs="Arial"/>
        </w:rPr>
        <w:t xml:space="preserve"> assessment, to be applied to the remaining capacity charge due from those customers.  Customers must apply within one year of the effective date of this measure, and meet all applicable requirements.  </w:t>
      </w:r>
      <w:r>
        <w:rPr>
          <w:rFonts w:ascii="Arial" w:hAnsi="Arial" w:cs="Arial"/>
        </w:rPr>
        <w:t>In addition, t</w:t>
      </w:r>
      <w:r w:rsidRPr="007C7128">
        <w:rPr>
          <w:rFonts w:ascii="Arial" w:hAnsi="Arial" w:cs="Arial"/>
        </w:rPr>
        <w:t xml:space="preserve">he revised </w:t>
      </w:r>
      <w:r>
        <w:rPr>
          <w:rFonts w:ascii="Arial" w:hAnsi="Arial" w:cs="Arial"/>
        </w:rPr>
        <w:t>RCE</w:t>
      </w:r>
      <w:r w:rsidRPr="007C7128">
        <w:rPr>
          <w:rFonts w:ascii="Arial" w:hAnsi="Arial" w:cs="Arial"/>
        </w:rPr>
        <w:t xml:space="preserve"> calculation will apply from the date of a wr</w:t>
      </w:r>
      <w:r>
        <w:rPr>
          <w:rFonts w:ascii="Arial" w:hAnsi="Arial" w:cs="Arial"/>
        </w:rPr>
        <w:t xml:space="preserve">itten request to the Wastewater Treatment Division. </w:t>
      </w:r>
    </w:p>
    <w:p w:rsidR="005C48C7" w:rsidRDefault="005C48C7" w:rsidP="00F566D9">
      <w:pPr>
        <w:spacing w:line="264" w:lineRule="auto"/>
        <w:jc w:val="both"/>
        <w:rPr>
          <w:rFonts w:ascii="Arial" w:hAnsi="Arial" w:cs="Arial"/>
          <w:b/>
          <w:u w:val="single"/>
        </w:rPr>
      </w:pPr>
    </w:p>
    <w:p w:rsidR="005C48C7" w:rsidRDefault="005C48C7" w:rsidP="00F566D9">
      <w:pPr>
        <w:spacing w:line="264" w:lineRule="auto"/>
        <w:jc w:val="both"/>
        <w:rPr>
          <w:rFonts w:ascii="Arial" w:hAnsi="Arial" w:cs="Arial"/>
          <w:b/>
          <w:u w:val="single"/>
        </w:rPr>
      </w:pPr>
      <w:r>
        <w:rPr>
          <w:rFonts w:ascii="Arial" w:hAnsi="Arial" w:cs="Arial"/>
          <w:b/>
          <w:u w:val="single"/>
        </w:rPr>
        <w:t>INVITED</w:t>
      </w:r>
    </w:p>
    <w:p w:rsidR="005C48C7" w:rsidRDefault="005C48C7" w:rsidP="002C66D1">
      <w:pPr>
        <w:pStyle w:val="ListParagraph"/>
        <w:numPr>
          <w:ilvl w:val="0"/>
          <w:numId w:val="5"/>
        </w:numPr>
        <w:spacing w:line="264" w:lineRule="auto"/>
        <w:jc w:val="both"/>
        <w:rPr>
          <w:rFonts w:ascii="Arial" w:hAnsi="Arial" w:cs="Arial"/>
        </w:rPr>
      </w:pPr>
      <w:r>
        <w:rPr>
          <w:rFonts w:ascii="Arial" w:hAnsi="Arial" w:cs="Arial"/>
        </w:rPr>
        <w:t>Hiedi Popochock, Financial Services Manager, Wastewater Treatment Division</w:t>
      </w:r>
    </w:p>
    <w:p w:rsidR="005C48C7" w:rsidRDefault="005C48C7" w:rsidP="002C66D1">
      <w:pPr>
        <w:pStyle w:val="ListParagraph"/>
        <w:numPr>
          <w:ilvl w:val="0"/>
          <w:numId w:val="5"/>
        </w:numPr>
        <w:spacing w:line="264" w:lineRule="auto"/>
        <w:jc w:val="both"/>
        <w:rPr>
          <w:rFonts w:ascii="Arial" w:hAnsi="Arial" w:cs="Arial"/>
        </w:rPr>
      </w:pPr>
      <w:r>
        <w:rPr>
          <w:rFonts w:ascii="Arial" w:hAnsi="Arial" w:cs="Arial"/>
        </w:rPr>
        <w:t>David Clark, Utilities Economist, Wastewater Treatment Division</w:t>
      </w:r>
    </w:p>
    <w:p w:rsidR="005C48C7" w:rsidRPr="001C0EE4" w:rsidRDefault="005C48C7" w:rsidP="00F566D9">
      <w:pPr>
        <w:pStyle w:val="ListParagraph"/>
        <w:spacing w:line="264" w:lineRule="auto"/>
        <w:ind w:left="1080"/>
        <w:jc w:val="both"/>
        <w:rPr>
          <w:rFonts w:ascii="Arial" w:hAnsi="Arial" w:cs="Arial"/>
        </w:rPr>
      </w:pPr>
    </w:p>
    <w:p w:rsidR="005C48C7" w:rsidRDefault="005C48C7" w:rsidP="00F566D9">
      <w:pPr>
        <w:spacing w:line="264" w:lineRule="auto"/>
        <w:jc w:val="both"/>
        <w:rPr>
          <w:rFonts w:ascii="Arial" w:hAnsi="Arial" w:cs="Arial"/>
          <w:b/>
          <w:u w:val="single"/>
        </w:rPr>
      </w:pPr>
      <w:r>
        <w:rPr>
          <w:rFonts w:ascii="Arial" w:hAnsi="Arial" w:cs="Arial"/>
          <w:b/>
          <w:u w:val="single"/>
        </w:rPr>
        <w:t>ATTACHMENTS</w:t>
      </w:r>
    </w:p>
    <w:p w:rsidR="00B50319" w:rsidRDefault="005C48C7" w:rsidP="00F566D9">
      <w:pPr>
        <w:pStyle w:val="ListParagraph"/>
        <w:numPr>
          <w:ilvl w:val="0"/>
          <w:numId w:val="3"/>
        </w:numPr>
        <w:spacing w:line="264" w:lineRule="auto"/>
        <w:contextualSpacing/>
        <w:jc w:val="both"/>
        <w:rPr>
          <w:rFonts w:ascii="Arial" w:hAnsi="Arial" w:cs="Arial"/>
        </w:rPr>
      </w:pPr>
      <w:r>
        <w:rPr>
          <w:rFonts w:ascii="Arial" w:hAnsi="Arial" w:cs="Arial"/>
        </w:rPr>
        <w:t>Proposed Ordina</w:t>
      </w:r>
      <w:r w:rsidR="006F2D57">
        <w:rPr>
          <w:rFonts w:ascii="Arial" w:hAnsi="Arial" w:cs="Arial"/>
        </w:rPr>
        <w:t>nce 2020-0101</w:t>
      </w:r>
    </w:p>
    <w:p w:rsidR="006F2D57" w:rsidRDefault="006F2D57" w:rsidP="00F566D9">
      <w:pPr>
        <w:pStyle w:val="ListParagraph"/>
        <w:numPr>
          <w:ilvl w:val="0"/>
          <w:numId w:val="3"/>
        </w:numPr>
        <w:spacing w:line="264" w:lineRule="auto"/>
        <w:contextualSpacing/>
        <w:jc w:val="both"/>
        <w:rPr>
          <w:rFonts w:ascii="Arial" w:hAnsi="Arial" w:cs="Arial"/>
        </w:rPr>
      </w:pPr>
      <w:r>
        <w:rPr>
          <w:rFonts w:ascii="Arial" w:hAnsi="Arial" w:cs="Arial"/>
        </w:rPr>
        <w:t xml:space="preserve">Striking </w:t>
      </w:r>
      <w:r w:rsidR="00F566D9">
        <w:rPr>
          <w:rFonts w:ascii="Arial" w:hAnsi="Arial" w:cs="Arial"/>
        </w:rPr>
        <w:t>A</w:t>
      </w:r>
      <w:r>
        <w:rPr>
          <w:rFonts w:ascii="Arial" w:hAnsi="Arial" w:cs="Arial"/>
        </w:rPr>
        <w:t xml:space="preserve">mendment </w:t>
      </w:r>
      <w:r w:rsidR="00F566D9">
        <w:rPr>
          <w:rFonts w:ascii="Arial" w:hAnsi="Arial" w:cs="Arial"/>
        </w:rPr>
        <w:t xml:space="preserve">S1 </w:t>
      </w:r>
      <w:r>
        <w:rPr>
          <w:rFonts w:ascii="Arial" w:hAnsi="Arial" w:cs="Arial"/>
        </w:rPr>
        <w:t>to Proposed Ordinance 2020-0101</w:t>
      </w:r>
    </w:p>
    <w:p w:rsidR="00F566D9" w:rsidRDefault="00F566D9" w:rsidP="00F566D9">
      <w:pPr>
        <w:pStyle w:val="ListParagraph"/>
        <w:numPr>
          <w:ilvl w:val="0"/>
          <w:numId w:val="3"/>
        </w:numPr>
        <w:spacing w:line="264" w:lineRule="auto"/>
        <w:contextualSpacing/>
        <w:jc w:val="both"/>
        <w:rPr>
          <w:rFonts w:ascii="Arial" w:hAnsi="Arial" w:cs="Arial"/>
        </w:rPr>
      </w:pPr>
      <w:r>
        <w:rPr>
          <w:rFonts w:ascii="Arial" w:hAnsi="Arial" w:cs="Arial"/>
        </w:rPr>
        <w:t>Striking Amendment S2 to Proposed Ordinance 2020-0101</w:t>
      </w:r>
    </w:p>
    <w:p w:rsidR="00F566D9" w:rsidRDefault="00F566D9" w:rsidP="00F566D9">
      <w:pPr>
        <w:pStyle w:val="ListParagraph"/>
        <w:numPr>
          <w:ilvl w:val="0"/>
          <w:numId w:val="3"/>
        </w:numPr>
        <w:spacing w:line="264" w:lineRule="auto"/>
        <w:contextualSpacing/>
        <w:jc w:val="both"/>
        <w:rPr>
          <w:rFonts w:ascii="Arial" w:hAnsi="Arial" w:cs="Arial"/>
        </w:rPr>
      </w:pPr>
      <w:r>
        <w:rPr>
          <w:rFonts w:ascii="Arial" w:hAnsi="Arial" w:cs="Arial"/>
        </w:rPr>
        <w:t>PO 2020-0101 Transmittal Letter</w:t>
      </w:r>
    </w:p>
    <w:p w:rsidR="00F566D9" w:rsidRDefault="00F566D9" w:rsidP="00F566D9">
      <w:pPr>
        <w:pStyle w:val="ListParagraph"/>
        <w:numPr>
          <w:ilvl w:val="0"/>
          <w:numId w:val="3"/>
        </w:numPr>
        <w:spacing w:line="264" w:lineRule="auto"/>
        <w:contextualSpacing/>
        <w:jc w:val="both"/>
        <w:rPr>
          <w:rFonts w:ascii="Arial" w:hAnsi="Arial" w:cs="Arial"/>
        </w:rPr>
      </w:pPr>
      <w:r>
        <w:rPr>
          <w:rFonts w:ascii="Arial" w:hAnsi="Arial" w:cs="Arial"/>
        </w:rPr>
        <w:t>PO 2020-0101 Fiscal Note</w:t>
      </w:r>
    </w:p>
    <w:p w:rsidR="005C48C7" w:rsidRPr="006F2D57" w:rsidRDefault="00B50319" w:rsidP="00F566D9">
      <w:pPr>
        <w:pStyle w:val="ListParagraph"/>
        <w:numPr>
          <w:ilvl w:val="0"/>
          <w:numId w:val="3"/>
        </w:numPr>
        <w:spacing w:line="264" w:lineRule="auto"/>
        <w:contextualSpacing/>
        <w:jc w:val="both"/>
        <w:rPr>
          <w:rFonts w:ascii="Arial" w:hAnsi="Arial" w:cs="Arial"/>
        </w:rPr>
      </w:pPr>
      <w:r>
        <w:rPr>
          <w:rFonts w:ascii="Arial" w:hAnsi="Arial" w:cs="Arial"/>
        </w:rPr>
        <w:t>Proposed Ordinance 2020</w:t>
      </w:r>
      <w:r w:rsidR="006F2D57">
        <w:rPr>
          <w:rFonts w:ascii="Arial" w:hAnsi="Arial" w:cs="Arial"/>
        </w:rPr>
        <w:t>-0102</w:t>
      </w:r>
    </w:p>
    <w:p w:rsidR="005C48C7" w:rsidRDefault="00F566D9" w:rsidP="00F566D9">
      <w:pPr>
        <w:pStyle w:val="ListParagraph"/>
        <w:numPr>
          <w:ilvl w:val="0"/>
          <w:numId w:val="3"/>
        </w:numPr>
        <w:spacing w:line="264" w:lineRule="auto"/>
        <w:contextualSpacing/>
        <w:jc w:val="both"/>
        <w:rPr>
          <w:rFonts w:ascii="Arial" w:hAnsi="Arial" w:cs="Arial"/>
        </w:rPr>
      </w:pPr>
      <w:r>
        <w:rPr>
          <w:rFonts w:ascii="Arial" w:hAnsi="Arial" w:cs="Arial"/>
        </w:rPr>
        <w:t xml:space="preserve">PO 2020-0102 </w:t>
      </w:r>
      <w:r w:rsidR="005C48C7">
        <w:rPr>
          <w:rFonts w:ascii="Arial" w:hAnsi="Arial" w:cs="Arial"/>
        </w:rPr>
        <w:t>Transmittal Letter</w:t>
      </w:r>
    </w:p>
    <w:p w:rsidR="00F566D9" w:rsidRDefault="00F566D9" w:rsidP="00F566D9">
      <w:pPr>
        <w:pStyle w:val="ListParagraph"/>
        <w:numPr>
          <w:ilvl w:val="0"/>
          <w:numId w:val="3"/>
        </w:numPr>
        <w:spacing w:line="264" w:lineRule="auto"/>
        <w:contextualSpacing/>
        <w:jc w:val="both"/>
        <w:rPr>
          <w:rFonts w:ascii="Arial" w:hAnsi="Arial" w:cs="Arial"/>
        </w:rPr>
      </w:pPr>
      <w:r>
        <w:rPr>
          <w:rFonts w:ascii="Arial" w:hAnsi="Arial" w:cs="Arial"/>
        </w:rPr>
        <w:t>PO 2020-0102 Fiscal Note</w:t>
      </w:r>
    </w:p>
    <w:p w:rsidR="005C48C7" w:rsidRDefault="005C48C7" w:rsidP="00F566D9">
      <w:pPr>
        <w:pStyle w:val="ListParagraph"/>
        <w:numPr>
          <w:ilvl w:val="0"/>
          <w:numId w:val="3"/>
        </w:numPr>
        <w:spacing w:line="264" w:lineRule="auto"/>
        <w:contextualSpacing/>
        <w:jc w:val="both"/>
        <w:rPr>
          <w:rFonts w:ascii="Arial" w:hAnsi="Arial" w:cs="Arial"/>
        </w:rPr>
      </w:pPr>
      <w:r>
        <w:rPr>
          <w:rFonts w:ascii="Arial" w:hAnsi="Arial" w:cs="Arial"/>
        </w:rPr>
        <w:t>Letter from the Metropolitan Water Polluti</w:t>
      </w:r>
      <w:bookmarkStart w:id="0" w:name="_GoBack"/>
      <w:bookmarkEnd w:id="0"/>
      <w:r>
        <w:rPr>
          <w:rFonts w:ascii="Arial" w:hAnsi="Arial" w:cs="Arial"/>
        </w:rPr>
        <w:t>on Abatement Advisory Committee</w:t>
      </w:r>
    </w:p>
    <w:p w:rsidR="005C48C7" w:rsidRDefault="005C48C7" w:rsidP="00F566D9">
      <w:pPr>
        <w:spacing w:line="264" w:lineRule="auto"/>
        <w:contextualSpacing/>
        <w:jc w:val="both"/>
      </w:pPr>
    </w:p>
    <w:p w:rsidR="008C4AFA" w:rsidRDefault="00311284"/>
    <w:sectPr w:rsidR="008C4AFA" w:rsidSect="001C0EE4">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DB" w:rsidRDefault="00BC6EDB" w:rsidP="00BC6EDB">
      <w:r>
        <w:separator/>
      </w:r>
    </w:p>
  </w:endnote>
  <w:endnote w:type="continuationSeparator" w:id="0">
    <w:p w:rsidR="00BC6EDB" w:rsidRDefault="00BC6EDB" w:rsidP="00BC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DB" w:rsidRDefault="00BC6EDB" w:rsidP="00BC6EDB">
      <w:r>
        <w:separator/>
      </w:r>
    </w:p>
  </w:footnote>
  <w:footnote w:type="continuationSeparator" w:id="0">
    <w:p w:rsidR="00BC6EDB" w:rsidRDefault="00BC6EDB" w:rsidP="00BC6EDB">
      <w:r>
        <w:continuationSeparator/>
      </w:r>
    </w:p>
  </w:footnote>
  <w:footnote w:id="1">
    <w:p w:rsidR="00BC6EDB" w:rsidRPr="00771B8D" w:rsidRDefault="00BC6EDB" w:rsidP="00BC6EDB">
      <w:pPr>
        <w:pStyle w:val="BodyText"/>
        <w:tabs>
          <w:tab w:val="clear" w:pos="480"/>
          <w:tab w:val="clear" w:pos="600"/>
          <w:tab w:val="clear" w:pos="840"/>
          <w:tab w:val="clear" w:pos="1800"/>
          <w:tab w:val="clear" w:pos="2040"/>
          <w:tab w:val="clear" w:pos="2280"/>
          <w:tab w:val="clear" w:pos="2520"/>
          <w:tab w:val="clear" w:pos="2760"/>
          <w:tab w:val="clear" w:pos="3000"/>
          <w:tab w:val="clear" w:pos="3240"/>
          <w:tab w:val="clear" w:pos="3480"/>
          <w:tab w:val="clear" w:pos="4320"/>
          <w:tab w:val="clear" w:pos="5040"/>
        </w:tabs>
        <w:rPr>
          <w:sz w:val="24"/>
          <w:szCs w:val="24"/>
        </w:rPr>
      </w:pPr>
      <w:r>
        <w:rPr>
          <w:rStyle w:val="FootnoteReference"/>
        </w:rPr>
        <w:footnoteRef/>
      </w:r>
      <w:r>
        <w:t xml:space="preserve"> </w:t>
      </w:r>
      <w:r w:rsidRPr="00771B8D">
        <w:rPr>
          <w:sz w:val="24"/>
          <w:szCs w:val="24"/>
        </w:rPr>
        <w:t xml:space="preserve"> </w:t>
      </w:r>
      <w:r w:rsidRPr="00BC6EDB">
        <w:rPr>
          <w:sz w:val="18"/>
          <w:szCs w:val="18"/>
        </w:rPr>
        <w:t>K.C.C.</w:t>
      </w:r>
      <w:r>
        <w:rPr>
          <w:sz w:val="18"/>
          <w:szCs w:val="18"/>
        </w:rPr>
        <w:t>28.</w:t>
      </w:r>
      <w:r w:rsidRPr="00BC6EDB">
        <w:rPr>
          <w:sz w:val="18"/>
          <w:szCs w:val="18"/>
        </w:rPr>
        <w:t>86.160.C.FP15.4</w:t>
      </w:r>
      <w:r w:rsidRPr="00771B8D">
        <w:rPr>
          <w:sz w:val="24"/>
          <w:szCs w:val="24"/>
        </w:rPr>
        <w:t xml:space="preserve"> </w:t>
      </w:r>
      <w:r w:rsidRPr="00BC6EDB">
        <w:rPr>
          <w:sz w:val="18"/>
          <w:szCs w:val="18"/>
        </w:rPr>
        <w:t>Based on an analysis of residential water consumption, as of December 13, 1999, King County uses a factor of seven hundred fifty cubic feet per month to convert water consumption of volume-based customers to residential customer equivalents for billing purposes.  King County shall periodically review the appropriateness of this factor to ensure that all accounts pay their fair share of the cost of the wastewater system.</w:t>
      </w:r>
    </w:p>
    <w:p w:rsidR="00BC6EDB" w:rsidRDefault="00BC6E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DD3372" w:rsidP="00C75025">
    <w:pPr>
      <w:jc w:val="center"/>
    </w:pPr>
    <w:r>
      <w:rPr>
        <w:noProof/>
        <w:lang w:eastAsia="ko-KR"/>
      </w:rPr>
      <w:drawing>
        <wp:inline distT="0" distB="0" distL="0" distR="0" wp14:anchorId="6685994A" wp14:editId="2E5699F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311284" w:rsidP="00C75025">
    <w:pPr>
      <w:jc w:val="center"/>
      <w:rPr>
        <w:rFonts w:ascii="Arial" w:hAnsi="Arial"/>
        <w:szCs w:val="22"/>
      </w:rPr>
    </w:pPr>
  </w:p>
  <w:p w:rsidR="00C75025" w:rsidRDefault="00DD3372" w:rsidP="00C75025">
    <w:pPr>
      <w:jc w:val="center"/>
      <w:rPr>
        <w:rFonts w:ascii="Verdana" w:hAnsi="Verdana"/>
        <w:b/>
        <w:sz w:val="28"/>
        <w:szCs w:val="28"/>
      </w:rPr>
    </w:pPr>
    <w:r>
      <w:rPr>
        <w:rFonts w:ascii="Verdana" w:hAnsi="Verdana"/>
        <w:b/>
        <w:sz w:val="28"/>
        <w:szCs w:val="28"/>
      </w:rPr>
      <w:t>Metropolitan King County Council</w:t>
    </w:r>
  </w:p>
  <w:p w:rsidR="00C75025" w:rsidRDefault="006F2D57" w:rsidP="00050B5E">
    <w:pPr>
      <w:jc w:val="center"/>
      <w:rPr>
        <w:rFonts w:ascii="Verdana" w:hAnsi="Verdana"/>
        <w:b/>
        <w:sz w:val="28"/>
        <w:szCs w:val="28"/>
      </w:rPr>
    </w:pPr>
    <w:r>
      <w:rPr>
        <w:rFonts w:ascii="Verdana" w:hAnsi="Verdana"/>
        <w:b/>
        <w:sz w:val="28"/>
        <w:szCs w:val="28"/>
      </w:rPr>
      <w:t>Budget and Fiscal Management Committee</w:t>
    </w:r>
  </w:p>
  <w:p w:rsidR="002C3B29" w:rsidRPr="004A1D48" w:rsidRDefault="00311284"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4819"/>
    <w:multiLevelType w:val="hybridMultilevel"/>
    <w:tmpl w:val="28B4F6B0"/>
    <w:lvl w:ilvl="0" w:tplc="EFB49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C6099"/>
    <w:multiLevelType w:val="hybridMultilevel"/>
    <w:tmpl w:val="B2C26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EE3F59"/>
    <w:multiLevelType w:val="hybridMultilevel"/>
    <w:tmpl w:val="F2B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91420"/>
    <w:multiLevelType w:val="hybridMultilevel"/>
    <w:tmpl w:val="7D6C09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1106FF"/>
    <w:multiLevelType w:val="hybridMultilevel"/>
    <w:tmpl w:val="781C60F2"/>
    <w:lvl w:ilvl="0" w:tplc="AAC6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CD2AD8"/>
    <w:multiLevelType w:val="hybridMultilevel"/>
    <w:tmpl w:val="C75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61DE6"/>
    <w:multiLevelType w:val="hybridMultilevel"/>
    <w:tmpl w:val="5D4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C7"/>
    <w:rsid w:val="001224A6"/>
    <w:rsid w:val="001A4EB5"/>
    <w:rsid w:val="002C66D1"/>
    <w:rsid w:val="00311284"/>
    <w:rsid w:val="004663AC"/>
    <w:rsid w:val="00467AEE"/>
    <w:rsid w:val="00523F6D"/>
    <w:rsid w:val="005C48C7"/>
    <w:rsid w:val="006A2E1C"/>
    <w:rsid w:val="006F2D57"/>
    <w:rsid w:val="007006B0"/>
    <w:rsid w:val="00784340"/>
    <w:rsid w:val="007C7128"/>
    <w:rsid w:val="007F4423"/>
    <w:rsid w:val="00827F57"/>
    <w:rsid w:val="008D0923"/>
    <w:rsid w:val="008E553F"/>
    <w:rsid w:val="009D3C0A"/>
    <w:rsid w:val="00A4055B"/>
    <w:rsid w:val="00A44965"/>
    <w:rsid w:val="00B50319"/>
    <w:rsid w:val="00BC6EDB"/>
    <w:rsid w:val="00C154BD"/>
    <w:rsid w:val="00CE175A"/>
    <w:rsid w:val="00D0660F"/>
    <w:rsid w:val="00D91A9E"/>
    <w:rsid w:val="00DD3372"/>
    <w:rsid w:val="00DF1A5E"/>
    <w:rsid w:val="00E1268B"/>
    <w:rsid w:val="00E64500"/>
    <w:rsid w:val="00E74997"/>
    <w:rsid w:val="00EA01D7"/>
    <w:rsid w:val="00F566D9"/>
    <w:rsid w:val="00F93199"/>
    <w:rsid w:val="00F96BCC"/>
    <w:rsid w:val="00FC77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B225"/>
  <w15:chartTrackingRefBased/>
  <w15:docId w15:val="{A5FC4D37-57CE-4136-B3E8-0A2D6615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C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C48C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8C7"/>
    <w:rPr>
      <w:rFonts w:ascii="Times New Roman" w:eastAsia="Times New Roman" w:hAnsi="Times New Roman" w:cs="Times New Roman"/>
      <w:b/>
      <w:sz w:val="32"/>
      <w:szCs w:val="20"/>
      <w:u w:val="single"/>
    </w:rPr>
  </w:style>
  <w:style w:type="paragraph" w:styleId="ListParagraph">
    <w:name w:val="List Paragraph"/>
    <w:basedOn w:val="Normal"/>
    <w:uiPriority w:val="34"/>
    <w:qFormat/>
    <w:rsid w:val="005C48C7"/>
    <w:pPr>
      <w:spacing w:line="300" w:lineRule="exact"/>
      <w:ind w:left="720"/>
    </w:pPr>
    <w:rPr>
      <w:szCs w:val="24"/>
    </w:rPr>
  </w:style>
  <w:style w:type="paragraph" w:styleId="FootnoteText">
    <w:name w:val="footnote text"/>
    <w:basedOn w:val="Normal"/>
    <w:link w:val="FootnoteTextChar"/>
    <w:uiPriority w:val="99"/>
    <w:semiHidden/>
    <w:unhideWhenUsed/>
    <w:rsid w:val="00BC6EDB"/>
    <w:rPr>
      <w:sz w:val="20"/>
    </w:rPr>
  </w:style>
  <w:style w:type="character" w:customStyle="1" w:styleId="FootnoteTextChar">
    <w:name w:val="Footnote Text Char"/>
    <w:basedOn w:val="DefaultParagraphFont"/>
    <w:link w:val="FootnoteText"/>
    <w:uiPriority w:val="99"/>
    <w:semiHidden/>
    <w:rsid w:val="00BC6E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6EDB"/>
    <w:rPr>
      <w:vertAlign w:val="superscript"/>
    </w:rPr>
  </w:style>
  <w:style w:type="paragraph" w:styleId="BodyText">
    <w:name w:val="Body Text"/>
    <w:basedOn w:val="Normal"/>
    <w:link w:val="BodyTextChar"/>
    <w:rsid w:val="00BC6EDB"/>
    <w:pPr>
      <w:tabs>
        <w:tab w:val="left" w:pos="480"/>
        <w:tab w:val="left" w:pos="600"/>
        <w:tab w:val="left" w:pos="840"/>
        <w:tab w:val="left" w:pos="1080"/>
        <w:tab w:val="left" w:pos="1440"/>
        <w:tab w:val="left" w:pos="1800"/>
        <w:tab w:val="left" w:pos="2040"/>
        <w:tab w:val="left" w:pos="2280"/>
        <w:tab w:val="left" w:pos="2520"/>
        <w:tab w:val="left" w:pos="2760"/>
        <w:tab w:val="left" w:pos="3000"/>
        <w:tab w:val="left" w:pos="3240"/>
        <w:tab w:val="left" w:pos="3480"/>
        <w:tab w:val="left" w:pos="4320"/>
        <w:tab w:val="left" w:pos="5040"/>
        <w:tab w:val="left" w:pos="5760"/>
        <w:tab w:val="left" w:pos="6480"/>
        <w:tab w:val="left" w:pos="7200"/>
        <w:tab w:val="left" w:pos="7920"/>
        <w:tab w:val="left" w:pos="8640"/>
        <w:tab w:val="left" w:pos="9360"/>
      </w:tabs>
      <w:jc w:val="both"/>
    </w:pPr>
    <w:rPr>
      <w:rFonts w:ascii="Arial" w:hAnsi="Arial"/>
      <w:sz w:val="20"/>
    </w:rPr>
  </w:style>
  <w:style w:type="character" w:customStyle="1" w:styleId="BodyTextChar">
    <w:name w:val="Body Text Char"/>
    <w:basedOn w:val="DefaultParagraphFont"/>
    <w:link w:val="BodyText"/>
    <w:rsid w:val="00BC6EDB"/>
    <w:rPr>
      <w:rFonts w:ascii="Arial" w:eastAsia="Times New Roman" w:hAnsi="Arial" w:cs="Times New Roman"/>
      <w:sz w:val="20"/>
      <w:szCs w:val="20"/>
    </w:rPr>
  </w:style>
  <w:style w:type="paragraph" w:styleId="Header">
    <w:name w:val="header"/>
    <w:basedOn w:val="Normal"/>
    <w:link w:val="HeaderChar"/>
    <w:uiPriority w:val="99"/>
    <w:unhideWhenUsed/>
    <w:rsid w:val="006F2D57"/>
    <w:pPr>
      <w:tabs>
        <w:tab w:val="center" w:pos="4680"/>
        <w:tab w:val="right" w:pos="9360"/>
      </w:tabs>
    </w:pPr>
  </w:style>
  <w:style w:type="character" w:customStyle="1" w:styleId="HeaderChar">
    <w:name w:val="Header Char"/>
    <w:basedOn w:val="DefaultParagraphFont"/>
    <w:link w:val="Header"/>
    <w:uiPriority w:val="99"/>
    <w:rsid w:val="006F2D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2D57"/>
    <w:pPr>
      <w:tabs>
        <w:tab w:val="center" w:pos="4680"/>
        <w:tab w:val="right" w:pos="9360"/>
      </w:tabs>
    </w:pPr>
  </w:style>
  <w:style w:type="character" w:customStyle="1" w:styleId="FooterChar">
    <w:name w:val="Footer Char"/>
    <w:basedOn w:val="DefaultParagraphFont"/>
    <w:link w:val="Footer"/>
    <w:uiPriority w:val="99"/>
    <w:rsid w:val="006F2D5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56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53566">
      <w:bodyDiv w:val="1"/>
      <w:marLeft w:val="0"/>
      <w:marRight w:val="0"/>
      <w:marTop w:val="0"/>
      <w:marBottom w:val="0"/>
      <w:divBdr>
        <w:top w:val="none" w:sz="0" w:space="0" w:color="auto"/>
        <w:left w:val="none" w:sz="0" w:space="0" w:color="auto"/>
        <w:bottom w:val="none" w:sz="0" w:space="0" w:color="auto"/>
        <w:right w:val="none" w:sz="0" w:space="0" w:color="auto"/>
      </w:divBdr>
    </w:div>
    <w:div w:id="1752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806-3D5A-4260-9A6D-55780019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13</cp:revision>
  <dcterms:created xsi:type="dcterms:W3CDTF">2020-08-20T18:27:00Z</dcterms:created>
  <dcterms:modified xsi:type="dcterms:W3CDTF">2020-08-23T23:41:00Z</dcterms:modified>
</cp:coreProperties>
</file>