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2826"/>
        <w:gridCol w:w="6524"/>
      </w:tblGrid>
      <w:tr w:rsidR="00AA5D98" w:rsidRPr="009043B6" w14:paraId="5DA46DAF" w14:textId="77777777" w:rsidTr="00B629A9">
        <w:tc>
          <w:tcPr>
            <w:tcW w:w="2848" w:type="dxa"/>
          </w:tcPr>
          <w:p w14:paraId="083E4227" w14:textId="77777777" w:rsidR="00AA5D98" w:rsidRPr="00B629A9" w:rsidRDefault="00AA5D98">
            <w:pPr>
              <w:rPr>
                <w:b/>
              </w:rPr>
            </w:pPr>
            <w:r w:rsidRPr="00B629A9">
              <w:rPr>
                <w:b/>
              </w:rPr>
              <w:t>County Department(s):</w:t>
            </w:r>
          </w:p>
        </w:tc>
        <w:tc>
          <w:tcPr>
            <w:tcW w:w="6628" w:type="dxa"/>
          </w:tcPr>
          <w:p w14:paraId="577C7BC1" w14:textId="25174DA5" w:rsidR="00AA5D98" w:rsidRPr="00B629A9" w:rsidRDefault="00C22648">
            <w:pPr>
              <w:rPr>
                <w:b/>
              </w:rPr>
            </w:pPr>
            <w:r>
              <w:rPr>
                <w:b/>
              </w:rPr>
              <w:t>King County Sheriff’s Office</w:t>
            </w:r>
          </w:p>
        </w:tc>
      </w:tr>
      <w:tr w:rsidR="00AA5D98" w:rsidRPr="009043B6" w14:paraId="3AF3C0B3" w14:textId="77777777" w:rsidTr="00B629A9">
        <w:tc>
          <w:tcPr>
            <w:tcW w:w="2848" w:type="dxa"/>
          </w:tcPr>
          <w:p w14:paraId="0810B2DC" w14:textId="77777777" w:rsidR="00AA5D98" w:rsidRPr="00B629A9" w:rsidRDefault="00AA5D98">
            <w:pPr>
              <w:rPr>
                <w:b/>
              </w:rPr>
            </w:pPr>
            <w:r w:rsidRPr="00B629A9">
              <w:rPr>
                <w:b/>
              </w:rPr>
              <w:t>Term of Contract:</w:t>
            </w:r>
          </w:p>
        </w:tc>
        <w:tc>
          <w:tcPr>
            <w:tcW w:w="6628" w:type="dxa"/>
          </w:tcPr>
          <w:p w14:paraId="03AA6510" w14:textId="2E03F539" w:rsidR="00AA5D98" w:rsidRPr="00B629A9" w:rsidRDefault="00C90A0F">
            <w:pPr>
              <w:rPr>
                <w:b/>
              </w:rPr>
            </w:pPr>
            <w:r>
              <w:rPr>
                <w:b/>
              </w:rPr>
              <w:t>January 1, 2017</w:t>
            </w:r>
            <w:r w:rsidR="006559CB">
              <w:rPr>
                <w:b/>
              </w:rPr>
              <w:t>,</w:t>
            </w:r>
            <w:bookmarkStart w:id="0" w:name="_GoBack"/>
            <w:bookmarkEnd w:id="0"/>
            <w:r>
              <w:rPr>
                <w:b/>
              </w:rPr>
              <w:t xml:space="preserve"> through and including December 31, 2021</w:t>
            </w:r>
          </w:p>
        </w:tc>
      </w:tr>
      <w:tr w:rsidR="00AA5D98" w:rsidRPr="009043B6" w14:paraId="7FCFE516" w14:textId="77777777" w:rsidTr="00B629A9">
        <w:tc>
          <w:tcPr>
            <w:tcW w:w="2848" w:type="dxa"/>
          </w:tcPr>
          <w:p w14:paraId="34345B1C" w14:textId="77777777" w:rsidR="00AA5D98" w:rsidRPr="00B629A9" w:rsidRDefault="00AA5D98">
            <w:pPr>
              <w:rPr>
                <w:b/>
              </w:rPr>
            </w:pPr>
            <w:smartTag w:uri="urn:schemas-microsoft-com:office:smarttags" w:element="place">
              <w:smartTag w:uri="urn:schemas-microsoft-com:office:smarttags" w:element="PlaceType">
                <w:r w:rsidRPr="00B629A9">
                  <w:rPr>
                    <w:b/>
                  </w:rPr>
                  <w:t>County</w:t>
                </w:r>
              </w:smartTag>
              <w:r w:rsidRPr="00B629A9">
                <w:rPr>
                  <w:b/>
                </w:rPr>
                <w:t xml:space="preserve"> </w:t>
              </w:r>
              <w:smartTag w:uri="urn:schemas-microsoft-com:office:smarttags" w:element="PlaceName">
                <w:r w:rsidRPr="00B629A9">
                  <w:rPr>
                    <w:b/>
                  </w:rPr>
                  <w:t>Negotiator</w:t>
                </w:r>
              </w:smartTag>
            </w:smartTag>
            <w:r w:rsidRPr="00B629A9">
              <w:rPr>
                <w:b/>
              </w:rPr>
              <w:t>:</w:t>
            </w:r>
          </w:p>
        </w:tc>
        <w:tc>
          <w:tcPr>
            <w:tcW w:w="6628" w:type="dxa"/>
          </w:tcPr>
          <w:p w14:paraId="579810F8" w14:textId="77777777" w:rsidR="00AA5D98" w:rsidRPr="00B629A9" w:rsidRDefault="00015750">
            <w:pPr>
              <w:rPr>
                <w:b/>
              </w:rPr>
            </w:pPr>
            <w:r>
              <w:rPr>
                <w:b/>
              </w:rPr>
              <w:t>Robert Railton</w:t>
            </w:r>
          </w:p>
        </w:tc>
      </w:tr>
    </w:tbl>
    <w:p w14:paraId="65948BE1" w14:textId="77777777" w:rsidR="00AA5D98" w:rsidRDefault="00AA5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3383"/>
        <w:gridCol w:w="5967"/>
      </w:tblGrid>
      <w:tr w:rsidR="00AA5D98" w:rsidRPr="00E46AC1" w14:paraId="50CC8F35" w14:textId="77777777" w:rsidTr="00C22648">
        <w:trPr>
          <w:cantSplit/>
          <w:tblHeader/>
        </w:trPr>
        <w:tc>
          <w:tcPr>
            <w:tcW w:w="3383" w:type="dxa"/>
            <w:shd w:val="clear" w:color="auto" w:fill="B9B9B9"/>
            <w:vAlign w:val="center"/>
          </w:tcPr>
          <w:p w14:paraId="0EC71F91" w14:textId="77777777" w:rsidR="00AA5D98" w:rsidRPr="00B629A9" w:rsidRDefault="00AA5D98" w:rsidP="00B629A9">
            <w:pPr>
              <w:jc w:val="center"/>
              <w:rPr>
                <w:b/>
                <w:sz w:val="24"/>
                <w:szCs w:val="24"/>
              </w:rPr>
            </w:pPr>
            <w:r w:rsidRPr="00B629A9">
              <w:rPr>
                <w:b/>
                <w:sz w:val="24"/>
                <w:szCs w:val="24"/>
              </w:rPr>
              <w:t>Labor Policy</w:t>
            </w:r>
          </w:p>
        </w:tc>
        <w:tc>
          <w:tcPr>
            <w:tcW w:w="5967" w:type="dxa"/>
            <w:shd w:val="clear" w:color="auto" w:fill="B9B9B9"/>
            <w:vAlign w:val="center"/>
          </w:tcPr>
          <w:p w14:paraId="0812B593" w14:textId="77777777" w:rsidR="00AA5D98" w:rsidRPr="00B629A9" w:rsidRDefault="00AA5D98" w:rsidP="00B629A9">
            <w:pPr>
              <w:jc w:val="center"/>
              <w:rPr>
                <w:b/>
                <w:sz w:val="24"/>
                <w:szCs w:val="24"/>
              </w:rPr>
            </w:pPr>
            <w:r w:rsidRPr="00B629A9">
              <w:rPr>
                <w:b/>
                <w:sz w:val="24"/>
                <w:szCs w:val="24"/>
              </w:rPr>
              <w:t>Is Contract Consistent with Adopted Labor Policies? If not, please explain.</w:t>
            </w:r>
          </w:p>
        </w:tc>
      </w:tr>
      <w:tr w:rsidR="00AA5D98" w14:paraId="244F434F" w14:textId="77777777" w:rsidTr="00C22648">
        <w:trPr>
          <w:cantSplit/>
        </w:trPr>
        <w:tc>
          <w:tcPr>
            <w:tcW w:w="3383" w:type="dxa"/>
          </w:tcPr>
          <w:p w14:paraId="529ED70B" w14:textId="77777777" w:rsidR="00AA5D98" w:rsidRPr="00145D39" w:rsidRDefault="00AA5D98" w:rsidP="00145D39">
            <w:pPr>
              <w:rPr>
                <w:rFonts w:cs="Arial"/>
                <w:sz w:val="24"/>
                <w:szCs w:val="24"/>
              </w:rPr>
            </w:pPr>
            <w:r w:rsidRPr="00145D39">
              <w:rPr>
                <w:rFonts w:cs="Arial"/>
                <w:sz w:val="24"/>
                <w:szCs w:val="24"/>
              </w:rPr>
              <w:t>Contract Consolidation</w:t>
            </w:r>
          </w:p>
        </w:tc>
        <w:tc>
          <w:tcPr>
            <w:tcW w:w="5967" w:type="dxa"/>
          </w:tcPr>
          <w:p w14:paraId="32ACA554" w14:textId="77777777" w:rsidR="00AA5D98" w:rsidRPr="00145D39" w:rsidRDefault="00C90A0F" w:rsidP="00145D39">
            <w:pPr>
              <w:rPr>
                <w:rFonts w:cs="Arial"/>
                <w:sz w:val="24"/>
                <w:szCs w:val="24"/>
              </w:rPr>
            </w:pPr>
            <w:r>
              <w:rPr>
                <w:rFonts w:cs="Arial"/>
                <w:sz w:val="24"/>
                <w:szCs w:val="24"/>
              </w:rPr>
              <w:t>N/A</w:t>
            </w:r>
          </w:p>
        </w:tc>
      </w:tr>
      <w:tr w:rsidR="00DD24D5" w14:paraId="67409911" w14:textId="77777777" w:rsidTr="00C22648">
        <w:trPr>
          <w:cantSplit/>
        </w:trPr>
        <w:tc>
          <w:tcPr>
            <w:tcW w:w="3383" w:type="dxa"/>
          </w:tcPr>
          <w:p w14:paraId="0FD60598" w14:textId="77777777" w:rsidR="00DD24D5" w:rsidRPr="00145D39" w:rsidRDefault="00DD24D5" w:rsidP="00145D39">
            <w:pPr>
              <w:rPr>
                <w:rFonts w:cs="Arial"/>
                <w:sz w:val="24"/>
                <w:szCs w:val="24"/>
              </w:rPr>
            </w:pPr>
            <w:r w:rsidRPr="00145D39">
              <w:rPr>
                <w:rFonts w:cs="Arial"/>
                <w:sz w:val="24"/>
                <w:szCs w:val="24"/>
              </w:rPr>
              <w:t>Diversity</w:t>
            </w:r>
          </w:p>
        </w:tc>
        <w:tc>
          <w:tcPr>
            <w:tcW w:w="5967" w:type="dxa"/>
          </w:tcPr>
          <w:p w14:paraId="20A14E2B" w14:textId="77777777" w:rsidR="00DD24D5" w:rsidRPr="00145D39" w:rsidRDefault="00C90A0F" w:rsidP="00145D39">
            <w:pPr>
              <w:rPr>
                <w:rFonts w:cs="Arial"/>
                <w:sz w:val="24"/>
                <w:szCs w:val="24"/>
              </w:rPr>
            </w:pPr>
            <w:r>
              <w:rPr>
                <w:rFonts w:cs="Arial"/>
                <w:sz w:val="24"/>
                <w:szCs w:val="24"/>
              </w:rPr>
              <w:t>Yes</w:t>
            </w:r>
          </w:p>
        </w:tc>
      </w:tr>
      <w:tr w:rsidR="00DD24D5" w14:paraId="03737C33" w14:textId="77777777" w:rsidTr="00C22648">
        <w:trPr>
          <w:cantSplit/>
        </w:trPr>
        <w:tc>
          <w:tcPr>
            <w:tcW w:w="3383" w:type="dxa"/>
          </w:tcPr>
          <w:p w14:paraId="343D0C06" w14:textId="77777777" w:rsidR="00DD24D5" w:rsidRPr="00145D39" w:rsidRDefault="00DD24D5" w:rsidP="00145D39">
            <w:pPr>
              <w:rPr>
                <w:rFonts w:cs="Arial"/>
                <w:sz w:val="24"/>
                <w:szCs w:val="24"/>
              </w:rPr>
            </w:pPr>
            <w:r w:rsidRPr="00145D39">
              <w:rPr>
                <w:rFonts w:cs="Arial"/>
                <w:sz w:val="24"/>
                <w:szCs w:val="24"/>
              </w:rPr>
              <w:t>Project Labor Agreements</w:t>
            </w:r>
          </w:p>
        </w:tc>
        <w:tc>
          <w:tcPr>
            <w:tcW w:w="5967" w:type="dxa"/>
          </w:tcPr>
          <w:p w14:paraId="25031CC5" w14:textId="77777777" w:rsidR="00DD24D5" w:rsidRPr="00145D39" w:rsidRDefault="004D0B8A" w:rsidP="00145D39">
            <w:pPr>
              <w:rPr>
                <w:rFonts w:cs="Arial"/>
                <w:sz w:val="24"/>
                <w:szCs w:val="24"/>
              </w:rPr>
            </w:pPr>
            <w:r>
              <w:rPr>
                <w:rFonts w:cs="Arial"/>
                <w:sz w:val="24"/>
                <w:szCs w:val="24"/>
              </w:rPr>
              <w:t>N/A</w:t>
            </w:r>
          </w:p>
        </w:tc>
      </w:tr>
      <w:tr w:rsidR="00DD24D5" w14:paraId="558C9B78" w14:textId="77777777" w:rsidTr="00C22648">
        <w:trPr>
          <w:cantSplit/>
        </w:trPr>
        <w:tc>
          <w:tcPr>
            <w:tcW w:w="3383" w:type="dxa"/>
          </w:tcPr>
          <w:p w14:paraId="007060B6" w14:textId="77777777" w:rsidR="00DD24D5" w:rsidRPr="00145D39" w:rsidRDefault="00DD24D5" w:rsidP="00145D39">
            <w:pPr>
              <w:rPr>
                <w:rFonts w:cs="Arial"/>
                <w:sz w:val="24"/>
                <w:szCs w:val="24"/>
              </w:rPr>
            </w:pPr>
            <w:r w:rsidRPr="00145D39">
              <w:rPr>
                <w:rFonts w:cs="Arial"/>
                <w:sz w:val="24"/>
                <w:szCs w:val="24"/>
              </w:rPr>
              <w:t>Performance Evaluations</w:t>
            </w:r>
          </w:p>
        </w:tc>
        <w:tc>
          <w:tcPr>
            <w:tcW w:w="5967" w:type="dxa"/>
          </w:tcPr>
          <w:p w14:paraId="723AD1B9" w14:textId="77777777" w:rsidR="00DD24D5" w:rsidRPr="00145D39" w:rsidRDefault="00C90A0F" w:rsidP="00145D39">
            <w:pPr>
              <w:rPr>
                <w:rFonts w:cs="Arial"/>
                <w:sz w:val="24"/>
                <w:szCs w:val="24"/>
              </w:rPr>
            </w:pPr>
            <w:r>
              <w:rPr>
                <w:rFonts w:cs="Arial"/>
                <w:sz w:val="24"/>
                <w:szCs w:val="24"/>
              </w:rPr>
              <w:t>Yes</w:t>
            </w:r>
          </w:p>
        </w:tc>
      </w:tr>
      <w:tr w:rsidR="00DD24D5" w14:paraId="5B95E319" w14:textId="77777777" w:rsidTr="00C22648">
        <w:trPr>
          <w:cantSplit/>
        </w:trPr>
        <w:tc>
          <w:tcPr>
            <w:tcW w:w="3383" w:type="dxa"/>
          </w:tcPr>
          <w:p w14:paraId="0E353A51" w14:textId="77777777" w:rsidR="00DD24D5" w:rsidRPr="00145D39" w:rsidRDefault="00DD24D5" w:rsidP="00145D39">
            <w:pPr>
              <w:rPr>
                <w:rFonts w:cs="Arial"/>
                <w:sz w:val="24"/>
                <w:szCs w:val="24"/>
              </w:rPr>
            </w:pPr>
            <w:r w:rsidRPr="00145D39">
              <w:rPr>
                <w:rFonts w:cs="Arial"/>
                <w:sz w:val="24"/>
                <w:szCs w:val="24"/>
              </w:rPr>
              <w:t>Continuous Improvement</w:t>
            </w:r>
          </w:p>
        </w:tc>
        <w:tc>
          <w:tcPr>
            <w:tcW w:w="5967" w:type="dxa"/>
          </w:tcPr>
          <w:p w14:paraId="2B0AE23C" w14:textId="77777777" w:rsidR="00DD24D5" w:rsidRPr="00145D39" w:rsidRDefault="00C90A0F" w:rsidP="00145D39">
            <w:pPr>
              <w:rPr>
                <w:rFonts w:cs="Arial"/>
                <w:sz w:val="24"/>
                <w:szCs w:val="24"/>
              </w:rPr>
            </w:pPr>
            <w:r>
              <w:rPr>
                <w:rFonts w:cs="Arial"/>
                <w:sz w:val="24"/>
                <w:szCs w:val="24"/>
              </w:rPr>
              <w:t>Yes</w:t>
            </w:r>
          </w:p>
        </w:tc>
      </w:tr>
      <w:tr w:rsidR="00DD24D5" w14:paraId="12668473" w14:textId="77777777" w:rsidTr="00C22648">
        <w:trPr>
          <w:cantSplit/>
        </w:trPr>
        <w:tc>
          <w:tcPr>
            <w:tcW w:w="3383" w:type="dxa"/>
          </w:tcPr>
          <w:p w14:paraId="203624FA" w14:textId="77777777" w:rsidR="00DD24D5" w:rsidRPr="00145D39" w:rsidRDefault="00DD24D5" w:rsidP="00145D39">
            <w:pPr>
              <w:rPr>
                <w:rFonts w:cs="Arial"/>
                <w:sz w:val="24"/>
                <w:szCs w:val="24"/>
              </w:rPr>
            </w:pPr>
            <w:r w:rsidRPr="00145D39">
              <w:rPr>
                <w:rFonts w:cs="Arial"/>
                <w:sz w:val="24"/>
                <w:szCs w:val="24"/>
              </w:rPr>
              <w:t>Labor-Management Committees</w:t>
            </w:r>
          </w:p>
        </w:tc>
        <w:tc>
          <w:tcPr>
            <w:tcW w:w="5967" w:type="dxa"/>
          </w:tcPr>
          <w:p w14:paraId="58355E11" w14:textId="77777777" w:rsidR="00DD24D5" w:rsidRPr="00145D39" w:rsidRDefault="00C90A0F" w:rsidP="00145D39">
            <w:pPr>
              <w:rPr>
                <w:rFonts w:cs="Arial"/>
                <w:sz w:val="24"/>
                <w:szCs w:val="24"/>
              </w:rPr>
            </w:pPr>
            <w:r>
              <w:rPr>
                <w:rFonts w:cs="Arial"/>
                <w:sz w:val="24"/>
                <w:szCs w:val="24"/>
              </w:rPr>
              <w:t>Yes</w:t>
            </w:r>
          </w:p>
        </w:tc>
      </w:tr>
      <w:tr w:rsidR="00DD24D5" w14:paraId="19C17334" w14:textId="77777777" w:rsidTr="00C22648">
        <w:trPr>
          <w:cantSplit/>
        </w:trPr>
        <w:tc>
          <w:tcPr>
            <w:tcW w:w="3383" w:type="dxa"/>
          </w:tcPr>
          <w:p w14:paraId="01F3F431" w14:textId="77777777" w:rsidR="00DD24D5" w:rsidRPr="00145D39" w:rsidRDefault="00DD24D5" w:rsidP="00145D39">
            <w:pPr>
              <w:rPr>
                <w:rFonts w:cs="Arial"/>
                <w:sz w:val="24"/>
                <w:szCs w:val="24"/>
              </w:rPr>
            </w:pPr>
            <w:r w:rsidRPr="00145D39">
              <w:rPr>
                <w:rFonts w:cs="Arial"/>
                <w:sz w:val="24"/>
                <w:szCs w:val="24"/>
              </w:rPr>
              <w:t>Labor-Management Partnerships</w:t>
            </w:r>
          </w:p>
        </w:tc>
        <w:tc>
          <w:tcPr>
            <w:tcW w:w="5967" w:type="dxa"/>
          </w:tcPr>
          <w:p w14:paraId="06EBA910" w14:textId="77777777" w:rsidR="00DD24D5" w:rsidRPr="00145D39" w:rsidRDefault="00C90A0F" w:rsidP="00145D39">
            <w:pPr>
              <w:rPr>
                <w:rFonts w:cs="Arial"/>
                <w:sz w:val="24"/>
                <w:szCs w:val="24"/>
              </w:rPr>
            </w:pPr>
            <w:r>
              <w:rPr>
                <w:rFonts w:cs="Arial"/>
                <w:sz w:val="24"/>
                <w:szCs w:val="24"/>
              </w:rPr>
              <w:t>N/A</w:t>
            </w:r>
          </w:p>
        </w:tc>
      </w:tr>
      <w:tr w:rsidR="00DD24D5" w14:paraId="260DC081" w14:textId="77777777" w:rsidTr="00C22648">
        <w:trPr>
          <w:cantSplit/>
        </w:trPr>
        <w:tc>
          <w:tcPr>
            <w:tcW w:w="3383" w:type="dxa"/>
          </w:tcPr>
          <w:p w14:paraId="3C431DED" w14:textId="77777777" w:rsidR="00DD24D5" w:rsidRPr="00145D39" w:rsidRDefault="00DD24D5" w:rsidP="00145D39">
            <w:pPr>
              <w:rPr>
                <w:rFonts w:cs="Arial"/>
                <w:sz w:val="24"/>
                <w:szCs w:val="24"/>
              </w:rPr>
            </w:pPr>
            <w:r w:rsidRPr="00145D39">
              <w:rPr>
                <w:rFonts w:cs="Arial"/>
                <w:sz w:val="24"/>
                <w:szCs w:val="24"/>
              </w:rPr>
              <w:t>Mediation</w:t>
            </w:r>
          </w:p>
        </w:tc>
        <w:tc>
          <w:tcPr>
            <w:tcW w:w="5967" w:type="dxa"/>
          </w:tcPr>
          <w:p w14:paraId="75DFCECF" w14:textId="77777777" w:rsidR="00DD24D5" w:rsidRPr="00145D39" w:rsidRDefault="00C90A0F" w:rsidP="00145D39">
            <w:pPr>
              <w:rPr>
                <w:rFonts w:cs="Arial"/>
                <w:sz w:val="24"/>
                <w:szCs w:val="24"/>
              </w:rPr>
            </w:pPr>
            <w:r>
              <w:rPr>
                <w:rFonts w:cs="Arial"/>
                <w:sz w:val="24"/>
                <w:szCs w:val="24"/>
              </w:rPr>
              <w:t>Yes</w:t>
            </w:r>
          </w:p>
        </w:tc>
      </w:tr>
      <w:tr w:rsidR="00DD24D5" w14:paraId="71BB83F7" w14:textId="77777777" w:rsidTr="00C22648">
        <w:trPr>
          <w:cantSplit/>
        </w:trPr>
        <w:tc>
          <w:tcPr>
            <w:tcW w:w="3383" w:type="dxa"/>
          </w:tcPr>
          <w:p w14:paraId="789EDE84" w14:textId="77777777" w:rsidR="00DD24D5" w:rsidRPr="00145D39" w:rsidRDefault="00DD24D5" w:rsidP="00145D39">
            <w:pPr>
              <w:rPr>
                <w:rFonts w:cs="Arial"/>
                <w:sz w:val="24"/>
                <w:szCs w:val="24"/>
              </w:rPr>
            </w:pPr>
            <w:r w:rsidRPr="00145D39">
              <w:rPr>
                <w:rFonts w:cs="Arial"/>
                <w:sz w:val="24"/>
                <w:szCs w:val="24"/>
              </w:rPr>
              <w:t>Binding Interest Arbitration</w:t>
            </w:r>
          </w:p>
        </w:tc>
        <w:tc>
          <w:tcPr>
            <w:tcW w:w="5967" w:type="dxa"/>
          </w:tcPr>
          <w:p w14:paraId="01CB5D00" w14:textId="77777777" w:rsidR="00DD24D5" w:rsidRPr="00145D39" w:rsidRDefault="00C90A0F" w:rsidP="00145D39">
            <w:pPr>
              <w:rPr>
                <w:rFonts w:cs="Arial"/>
                <w:sz w:val="24"/>
                <w:szCs w:val="24"/>
              </w:rPr>
            </w:pPr>
            <w:r>
              <w:rPr>
                <w:rFonts w:cs="Arial"/>
                <w:sz w:val="24"/>
                <w:szCs w:val="24"/>
              </w:rPr>
              <w:t>Yes</w:t>
            </w:r>
          </w:p>
        </w:tc>
      </w:tr>
      <w:tr w:rsidR="00DD24D5" w14:paraId="0D457D42" w14:textId="77777777" w:rsidTr="00C22648">
        <w:trPr>
          <w:cantSplit/>
        </w:trPr>
        <w:tc>
          <w:tcPr>
            <w:tcW w:w="3383" w:type="dxa"/>
          </w:tcPr>
          <w:p w14:paraId="69458B85" w14:textId="77777777" w:rsidR="00DD24D5" w:rsidRPr="00145D39" w:rsidRDefault="00DD24D5" w:rsidP="00145D39">
            <w:pPr>
              <w:rPr>
                <w:rFonts w:cs="Arial"/>
                <w:sz w:val="24"/>
                <w:szCs w:val="24"/>
              </w:rPr>
            </w:pPr>
            <w:r w:rsidRPr="00145D39">
              <w:rPr>
                <w:rFonts w:cs="Arial"/>
                <w:sz w:val="24"/>
                <w:szCs w:val="24"/>
              </w:rPr>
              <w:t>Interest-based Bargaining</w:t>
            </w:r>
          </w:p>
        </w:tc>
        <w:tc>
          <w:tcPr>
            <w:tcW w:w="5967" w:type="dxa"/>
          </w:tcPr>
          <w:p w14:paraId="2C066B0C" w14:textId="77777777" w:rsidR="00DD24D5" w:rsidRPr="00145D39" w:rsidRDefault="00C90A0F" w:rsidP="00145D39">
            <w:pPr>
              <w:rPr>
                <w:rFonts w:cs="Arial"/>
                <w:sz w:val="24"/>
                <w:szCs w:val="24"/>
              </w:rPr>
            </w:pPr>
            <w:r>
              <w:rPr>
                <w:rFonts w:cs="Arial"/>
                <w:sz w:val="24"/>
                <w:szCs w:val="24"/>
              </w:rPr>
              <w:t>Yes</w:t>
            </w:r>
          </w:p>
        </w:tc>
      </w:tr>
      <w:tr w:rsidR="00DD24D5" w14:paraId="29158A03" w14:textId="77777777" w:rsidTr="00C22648">
        <w:trPr>
          <w:cantSplit/>
        </w:trPr>
        <w:tc>
          <w:tcPr>
            <w:tcW w:w="3383" w:type="dxa"/>
          </w:tcPr>
          <w:p w14:paraId="43C85BA9" w14:textId="77777777" w:rsidR="00DD24D5" w:rsidRPr="00145D39" w:rsidRDefault="00DD24D5" w:rsidP="00145D39">
            <w:pPr>
              <w:rPr>
                <w:rFonts w:cs="Arial"/>
                <w:sz w:val="24"/>
                <w:szCs w:val="24"/>
              </w:rPr>
            </w:pPr>
            <w:r w:rsidRPr="00145D39">
              <w:rPr>
                <w:rFonts w:cs="Arial"/>
                <w:sz w:val="24"/>
                <w:szCs w:val="24"/>
              </w:rPr>
              <w:t>Reduction-in-Force</w:t>
            </w:r>
          </w:p>
        </w:tc>
        <w:tc>
          <w:tcPr>
            <w:tcW w:w="5967" w:type="dxa"/>
          </w:tcPr>
          <w:p w14:paraId="78712E99" w14:textId="77777777" w:rsidR="00DD24D5" w:rsidRPr="00145D39" w:rsidRDefault="00C90A0F" w:rsidP="00145D39">
            <w:pPr>
              <w:rPr>
                <w:rFonts w:cs="Arial"/>
                <w:sz w:val="24"/>
                <w:szCs w:val="24"/>
              </w:rPr>
            </w:pPr>
            <w:r>
              <w:rPr>
                <w:rFonts w:cs="Arial"/>
                <w:sz w:val="24"/>
                <w:szCs w:val="24"/>
              </w:rPr>
              <w:t>Yes</w:t>
            </w:r>
          </w:p>
        </w:tc>
      </w:tr>
      <w:tr w:rsidR="00DD24D5" w14:paraId="6F69BCD0" w14:textId="77777777" w:rsidTr="00C22648">
        <w:trPr>
          <w:cantSplit/>
        </w:trPr>
        <w:tc>
          <w:tcPr>
            <w:tcW w:w="3383" w:type="dxa"/>
          </w:tcPr>
          <w:p w14:paraId="30AFCE11" w14:textId="77777777" w:rsidR="00DD24D5" w:rsidRPr="00145D39" w:rsidRDefault="00DD24D5" w:rsidP="00145D39">
            <w:pPr>
              <w:rPr>
                <w:rFonts w:cs="Arial"/>
                <w:sz w:val="24"/>
                <w:szCs w:val="24"/>
              </w:rPr>
            </w:pPr>
            <w:r w:rsidRPr="00145D39">
              <w:rPr>
                <w:rFonts w:cs="Arial"/>
                <w:sz w:val="24"/>
                <w:szCs w:val="24"/>
              </w:rPr>
              <w:t>Contracting Out of Work</w:t>
            </w:r>
          </w:p>
        </w:tc>
        <w:tc>
          <w:tcPr>
            <w:tcW w:w="5967" w:type="dxa"/>
          </w:tcPr>
          <w:p w14:paraId="638138B7" w14:textId="77777777" w:rsidR="00DD24D5" w:rsidRPr="00145D39" w:rsidRDefault="00F167C6" w:rsidP="00145D39">
            <w:pPr>
              <w:rPr>
                <w:rFonts w:cs="Arial"/>
                <w:sz w:val="24"/>
                <w:szCs w:val="24"/>
              </w:rPr>
            </w:pPr>
            <w:r>
              <w:rPr>
                <w:rFonts w:cs="Arial"/>
                <w:sz w:val="24"/>
                <w:szCs w:val="24"/>
              </w:rPr>
              <w:t>N/A</w:t>
            </w:r>
          </w:p>
        </w:tc>
      </w:tr>
      <w:tr w:rsidR="00DD24D5" w14:paraId="2AFE747D" w14:textId="77777777" w:rsidTr="00C22648">
        <w:trPr>
          <w:cantSplit/>
        </w:trPr>
        <w:tc>
          <w:tcPr>
            <w:tcW w:w="3383" w:type="dxa"/>
          </w:tcPr>
          <w:p w14:paraId="2F7E5EB7" w14:textId="77777777" w:rsidR="00DD24D5" w:rsidRPr="00145D39" w:rsidRDefault="00DD24D5" w:rsidP="00145D39">
            <w:pPr>
              <w:rPr>
                <w:rFonts w:cs="Arial"/>
                <w:sz w:val="24"/>
                <w:szCs w:val="24"/>
              </w:rPr>
            </w:pPr>
            <w:r w:rsidRPr="00145D39">
              <w:rPr>
                <w:rFonts w:cs="Arial"/>
                <w:sz w:val="24"/>
                <w:szCs w:val="24"/>
              </w:rPr>
              <w:t>Use of Temporary and Part-time Employees</w:t>
            </w:r>
          </w:p>
        </w:tc>
        <w:tc>
          <w:tcPr>
            <w:tcW w:w="5967" w:type="dxa"/>
          </w:tcPr>
          <w:p w14:paraId="1E046E0C" w14:textId="77777777" w:rsidR="00DD24D5" w:rsidRPr="00145D39" w:rsidRDefault="00F167C6" w:rsidP="00145D39">
            <w:pPr>
              <w:rPr>
                <w:rFonts w:cs="Arial"/>
                <w:sz w:val="24"/>
                <w:szCs w:val="24"/>
              </w:rPr>
            </w:pPr>
            <w:r>
              <w:rPr>
                <w:rFonts w:cs="Arial"/>
                <w:sz w:val="24"/>
                <w:szCs w:val="24"/>
              </w:rPr>
              <w:t>N/A</w:t>
            </w:r>
          </w:p>
        </w:tc>
      </w:tr>
      <w:tr w:rsidR="00DD24D5" w14:paraId="0BF53DC0" w14:textId="77777777" w:rsidTr="00C22648">
        <w:trPr>
          <w:cantSplit/>
        </w:trPr>
        <w:tc>
          <w:tcPr>
            <w:tcW w:w="3383" w:type="dxa"/>
          </w:tcPr>
          <w:p w14:paraId="0218F0B7" w14:textId="77777777" w:rsidR="00DD24D5" w:rsidRPr="00B629A9" w:rsidRDefault="00DD24D5">
            <w:pPr>
              <w:rPr>
                <w:sz w:val="24"/>
                <w:szCs w:val="24"/>
              </w:rPr>
            </w:pPr>
            <w:r w:rsidRPr="00B629A9">
              <w:rPr>
                <w:sz w:val="24"/>
                <w:szCs w:val="24"/>
              </w:rPr>
              <w:t>Civilian Oversight of Sheriff’s Office</w:t>
            </w:r>
          </w:p>
        </w:tc>
        <w:tc>
          <w:tcPr>
            <w:tcW w:w="5967" w:type="dxa"/>
          </w:tcPr>
          <w:p w14:paraId="11D74EC3" w14:textId="77777777" w:rsidR="00DD24D5" w:rsidRPr="00B629A9" w:rsidRDefault="00F167C6" w:rsidP="00DE3FDF">
            <w:pPr>
              <w:rPr>
                <w:sz w:val="24"/>
                <w:szCs w:val="24"/>
              </w:rPr>
            </w:pPr>
            <w:r>
              <w:rPr>
                <w:sz w:val="24"/>
                <w:szCs w:val="24"/>
              </w:rPr>
              <w:t xml:space="preserve">The county’s negotiating team followed the Council’s </w:t>
            </w:r>
            <w:r w:rsidR="00DE3FDF">
              <w:rPr>
                <w:sz w:val="24"/>
                <w:szCs w:val="24"/>
              </w:rPr>
              <w:t>April 18, 2017</w:t>
            </w:r>
            <w:r>
              <w:rPr>
                <w:sz w:val="24"/>
                <w:szCs w:val="24"/>
              </w:rPr>
              <w:t xml:space="preserve"> labor policy</w:t>
            </w:r>
            <w:r w:rsidR="00DE3FDF">
              <w:rPr>
                <w:sz w:val="24"/>
                <w:szCs w:val="24"/>
              </w:rPr>
              <w:t xml:space="preserve"> for OLEO</w:t>
            </w:r>
          </w:p>
        </w:tc>
      </w:tr>
      <w:tr w:rsidR="00DD24D5" w14:paraId="1B6DC504" w14:textId="77777777" w:rsidTr="00C22648">
        <w:trPr>
          <w:cantSplit/>
        </w:trPr>
        <w:tc>
          <w:tcPr>
            <w:tcW w:w="3383" w:type="dxa"/>
          </w:tcPr>
          <w:p w14:paraId="7C0EE690" w14:textId="77777777" w:rsidR="00DD24D5" w:rsidRPr="00B629A9" w:rsidRDefault="00DD24D5">
            <w:pPr>
              <w:rPr>
                <w:sz w:val="24"/>
                <w:szCs w:val="24"/>
              </w:rPr>
            </w:pPr>
            <w:r w:rsidRPr="00B629A9">
              <w:rPr>
                <w:sz w:val="24"/>
                <w:szCs w:val="24"/>
              </w:rPr>
              <w:t>Sheriff’s Office Implementation of Report Recommendations</w:t>
            </w:r>
          </w:p>
        </w:tc>
        <w:tc>
          <w:tcPr>
            <w:tcW w:w="5967" w:type="dxa"/>
          </w:tcPr>
          <w:p w14:paraId="62B02AFB" w14:textId="77777777" w:rsidR="00DD24D5" w:rsidRPr="00B629A9" w:rsidRDefault="00A247F4" w:rsidP="00A247F4">
            <w:pPr>
              <w:rPr>
                <w:sz w:val="24"/>
                <w:szCs w:val="24"/>
              </w:rPr>
            </w:pPr>
            <w:r>
              <w:rPr>
                <w:sz w:val="24"/>
                <w:szCs w:val="24"/>
              </w:rPr>
              <w:t>No. KCSO determined that the current 180-day restriction on investigations can be managed by timely requests for additional time when warranted. The OLEO director cannot require KCSO to conduct additional investigation, but can conduct its own investigation after KCSO has completed its investigation and any discipline has been adjudicated.</w:t>
            </w:r>
          </w:p>
        </w:tc>
      </w:tr>
      <w:tr w:rsidR="00DD24D5" w14:paraId="54F7F26B" w14:textId="77777777" w:rsidTr="00C22648">
        <w:trPr>
          <w:cantSplit/>
        </w:trPr>
        <w:tc>
          <w:tcPr>
            <w:tcW w:w="3383" w:type="dxa"/>
          </w:tcPr>
          <w:p w14:paraId="02A061A4" w14:textId="77777777" w:rsidR="00DD24D5" w:rsidRPr="00B629A9" w:rsidRDefault="00DD24D5">
            <w:pPr>
              <w:rPr>
                <w:sz w:val="24"/>
                <w:szCs w:val="24"/>
              </w:rPr>
            </w:pPr>
            <w:r w:rsidRPr="00B629A9">
              <w:rPr>
                <w:sz w:val="24"/>
                <w:szCs w:val="24"/>
              </w:rPr>
              <w:t>Legislative Branch Employees and Officials</w:t>
            </w:r>
          </w:p>
        </w:tc>
        <w:tc>
          <w:tcPr>
            <w:tcW w:w="5967" w:type="dxa"/>
          </w:tcPr>
          <w:p w14:paraId="5DCE78AA" w14:textId="77777777" w:rsidR="00DD24D5" w:rsidRPr="00B629A9" w:rsidRDefault="00F167C6">
            <w:pPr>
              <w:rPr>
                <w:sz w:val="24"/>
                <w:szCs w:val="24"/>
              </w:rPr>
            </w:pPr>
            <w:r>
              <w:rPr>
                <w:sz w:val="24"/>
                <w:szCs w:val="24"/>
              </w:rPr>
              <w:t>N/A</w:t>
            </w:r>
          </w:p>
        </w:tc>
      </w:tr>
    </w:tbl>
    <w:p w14:paraId="471BC97D" w14:textId="77777777" w:rsidR="00AA5D98" w:rsidRDefault="00AA5D98"/>
    <w:sectPr w:rsidR="00AA5D98" w:rsidSect="00E46AC1">
      <w:headerReference w:type="default" r:id="rId7"/>
      <w:footerReference w:type="default" r:id="rId8"/>
      <w:pgSz w:w="12240" w:h="15840"/>
      <w:pgMar w:top="1440" w:right="1440" w:bottom="1440" w:left="144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5A57" w14:textId="77777777" w:rsidR="00A57327" w:rsidRDefault="00A57327">
      <w:r>
        <w:separator/>
      </w:r>
    </w:p>
  </w:endnote>
  <w:endnote w:type="continuationSeparator" w:id="0">
    <w:p w14:paraId="24D0EDFF" w14:textId="77777777" w:rsidR="00A57327" w:rsidRDefault="00A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10BB" w14:textId="77777777" w:rsidR="00AA5D98" w:rsidRDefault="00015750">
    <w:pPr>
      <w:pStyle w:val="Footer"/>
      <w:rPr>
        <w:i/>
        <w:sz w:val="18"/>
      </w:rPr>
    </w:pPr>
    <w:r>
      <w:rPr>
        <w:i/>
        <w:sz w:val="18"/>
      </w:rPr>
      <w:t>290P01</w:t>
    </w:r>
    <w:r w:rsidR="003D7A37">
      <w:rPr>
        <w:i/>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B645" w14:textId="77777777" w:rsidR="00A57327" w:rsidRDefault="00A57327">
      <w:r>
        <w:separator/>
      </w:r>
    </w:p>
  </w:footnote>
  <w:footnote w:type="continuationSeparator" w:id="0">
    <w:p w14:paraId="07A507E4" w14:textId="77777777" w:rsidR="00A57327" w:rsidRDefault="00A5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2343" w14:textId="77777777" w:rsidR="00AA5D98" w:rsidRPr="00C22F10" w:rsidRDefault="00AA5D98">
    <w:pPr>
      <w:jc w:val="center"/>
      <w:rPr>
        <w:b/>
        <w:sz w:val="28"/>
        <w:szCs w:val="28"/>
      </w:rPr>
    </w:pPr>
    <w:r w:rsidRPr="00C22F10">
      <w:rPr>
        <w:b/>
        <w:sz w:val="28"/>
        <w:szCs w:val="28"/>
      </w:rPr>
      <w:t xml:space="preserve">Contract </w:t>
    </w:r>
    <w:r>
      <w:rPr>
        <w:b/>
        <w:sz w:val="28"/>
        <w:szCs w:val="28"/>
      </w:rPr>
      <w:t>Consistency</w:t>
    </w:r>
    <w:r w:rsidRPr="00C22F10">
      <w:rPr>
        <w:b/>
        <w:sz w:val="28"/>
        <w:szCs w:val="28"/>
      </w:rPr>
      <w:t xml:space="preserve"> with Adopted Labor Policies</w:t>
    </w:r>
  </w:p>
  <w:p w14:paraId="22458959" w14:textId="77777777" w:rsidR="00AA5D98" w:rsidRDefault="00AA5D98">
    <w:pPr>
      <w:pStyle w:val="Header"/>
    </w:pPr>
  </w:p>
  <w:tbl>
    <w:tblPr>
      <w:tblW w:w="0" w:type="auto"/>
      <w:tblLayout w:type="fixed"/>
      <w:tblLook w:val="0000" w:firstRow="0" w:lastRow="0" w:firstColumn="0" w:lastColumn="0" w:noHBand="0" w:noVBand="0"/>
    </w:tblPr>
    <w:tblGrid>
      <w:gridCol w:w="2898"/>
      <w:gridCol w:w="6678"/>
    </w:tblGrid>
    <w:tr w:rsidR="00AA5D98" w:rsidRPr="00C22F10" w14:paraId="60BCA33D" w14:textId="77777777" w:rsidTr="003B1AA1">
      <w:trPr>
        <w:cantSplit/>
        <w:tblHeader/>
      </w:trPr>
      <w:tc>
        <w:tcPr>
          <w:tcW w:w="2898" w:type="dxa"/>
        </w:tcPr>
        <w:p w14:paraId="60B2E429" w14:textId="77777777" w:rsidR="00AA5D98" w:rsidRPr="00C22F10" w:rsidRDefault="00AA5D98" w:rsidP="00D64267">
          <w:pPr>
            <w:rPr>
              <w:b/>
              <w:bCs/>
              <w:i/>
              <w:sz w:val="24"/>
              <w:szCs w:val="24"/>
            </w:rPr>
          </w:pPr>
          <w:r w:rsidRPr="00C22F10">
            <w:rPr>
              <w:b/>
              <w:bCs/>
              <w:sz w:val="24"/>
              <w:szCs w:val="24"/>
            </w:rPr>
            <w:t>Contract:</w:t>
          </w:r>
        </w:p>
      </w:tc>
      <w:tc>
        <w:tcPr>
          <w:tcW w:w="6678" w:type="dxa"/>
        </w:tcPr>
        <w:p w14:paraId="49E7E803" w14:textId="77777777" w:rsidR="00AA5D98" w:rsidRPr="00C22F10" w:rsidRDefault="00015750" w:rsidP="009043B6">
          <w:pPr>
            <w:rPr>
              <w:b/>
              <w:bCs/>
              <w:sz w:val="24"/>
              <w:szCs w:val="24"/>
            </w:rPr>
          </w:pPr>
          <w:r w:rsidRPr="00015750">
            <w:rPr>
              <w:b/>
              <w:bCs/>
              <w:sz w:val="24"/>
              <w:szCs w:val="24"/>
            </w:rPr>
            <w:t>King County Police Officers Guild (King County Sheriff's Office)</w:t>
          </w:r>
          <w:r>
            <w:rPr>
              <w:b/>
              <w:bCs/>
              <w:sz w:val="24"/>
              <w:szCs w:val="24"/>
            </w:rPr>
            <w:t xml:space="preserve"> [290]</w:t>
          </w:r>
        </w:p>
      </w:tc>
    </w:tr>
    <w:tr w:rsidR="00AA5D98" w14:paraId="6C4FEAF9" w14:textId="77777777" w:rsidTr="003B1AA1">
      <w:trPr>
        <w:cantSplit/>
        <w:trHeight w:hRule="exact" w:val="216"/>
        <w:tblHeader/>
      </w:trPr>
      <w:tc>
        <w:tcPr>
          <w:tcW w:w="2898" w:type="dxa"/>
        </w:tcPr>
        <w:p w14:paraId="3FCF476F" w14:textId="77777777" w:rsidR="00AA5D98" w:rsidRDefault="00AA5D98">
          <w:pPr>
            <w:rPr>
              <w:bCs/>
              <w:smallCaps/>
            </w:rPr>
          </w:pPr>
        </w:p>
      </w:tc>
      <w:tc>
        <w:tcPr>
          <w:tcW w:w="6678" w:type="dxa"/>
        </w:tcPr>
        <w:p w14:paraId="0DF432DC" w14:textId="77777777" w:rsidR="00AA5D98" w:rsidRDefault="00AA5D98">
          <w:pPr>
            <w:rPr>
              <w:bCs/>
            </w:rPr>
          </w:pPr>
        </w:p>
      </w:tc>
    </w:tr>
  </w:tbl>
  <w:p w14:paraId="50F6567B" w14:textId="77777777" w:rsidR="00AA5D98" w:rsidRDefault="00AA5D98">
    <w:pPr>
      <w:pStyle w:val="Header"/>
      <w:spacing w:line="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114129"/>
    <w:multiLevelType w:val="hybridMultilevel"/>
    <w:tmpl w:val="1E34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C3767"/>
    <w:multiLevelType w:val="hybridMultilevel"/>
    <w:tmpl w:val="F0D236CC"/>
    <w:lvl w:ilvl="0" w:tplc="A03CA5F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443A82"/>
    <w:multiLevelType w:val="multilevel"/>
    <w:tmpl w:val="1E3402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32"/>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55"/>
    <w:rsid w:val="00015750"/>
    <w:rsid w:val="00084729"/>
    <w:rsid w:val="00115226"/>
    <w:rsid w:val="00131447"/>
    <w:rsid w:val="00145D39"/>
    <w:rsid w:val="00173343"/>
    <w:rsid w:val="00173A85"/>
    <w:rsid w:val="001C78A7"/>
    <w:rsid w:val="001F3A69"/>
    <w:rsid w:val="0027024C"/>
    <w:rsid w:val="002B1011"/>
    <w:rsid w:val="00357396"/>
    <w:rsid w:val="00394406"/>
    <w:rsid w:val="003B1AA1"/>
    <w:rsid w:val="003D7A37"/>
    <w:rsid w:val="003E13E7"/>
    <w:rsid w:val="0046547F"/>
    <w:rsid w:val="00481746"/>
    <w:rsid w:val="004D0B8A"/>
    <w:rsid w:val="004E698D"/>
    <w:rsid w:val="00580B6D"/>
    <w:rsid w:val="00583502"/>
    <w:rsid w:val="005879FB"/>
    <w:rsid w:val="005B67AB"/>
    <w:rsid w:val="005E5874"/>
    <w:rsid w:val="006224B2"/>
    <w:rsid w:val="00626508"/>
    <w:rsid w:val="00646DB0"/>
    <w:rsid w:val="006559CB"/>
    <w:rsid w:val="00687E6C"/>
    <w:rsid w:val="006C0774"/>
    <w:rsid w:val="006C1461"/>
    <w:rsid w:val="006F4B9E"/>
    <w:rsid w:val="00722ECF"/>
    <w:rsid w:val="00735794"/>
    <w:rsid w:val="00747955"/>
    <w:rsid w:val="007F1389"/>
    <w:rsid w:val="007F7590"/>
    <w:rsid w:val="008A6DDD"/>
    <w:rsid w:val="008E06E4"/>
    <w:rsid w:val="008E3802"/>
    <w:rsid w:val="008E7A5B"/>
    <w:rsid w:val="008F2AE5"/>
    <w:rsid w:val="009043B6"/>
    <w:rsid w:val="009416A0"/>
    <w:rsid w:val="009C2895"/>
    <w:rsid w:val="00A214AA"/>
    <w:rsid w:val="00A247F4"/>
    <w:rsid w:val="00A57327"/>
    <w:rsid w:val="00A852DF"/>
    <w:rsid w:val="00A92288"/>
    <w:rsid w:val="00AA5D98"/>
    <w:rsid w:val="00AC6BA8"/>
    <w:rsid w:val="00AF4BD6"/>
    <w:rsid w:val="00B207C0"/>
    <w:rsid w:val="00B629A9"/>
    <w:rsid w:val="00BC5E85"/>
    <w:rsid w:val="00BD1B39"/>
    <w:rsid w:val="00BE5B8E"/>
    <w:rsid w:val="00C02998"/>
    <w:rsid w:val="00C22648"/>
    <w:rsid w:val="00C22F10"/>
    <w:rsid w:val="00C35737"/>
    <w:rsid w:val="00C86F21"/>
    <w:rsid w:val="00C90A0F"/>
    <w:rsid w:val="00CA5519"/>
    <w:rsid w:val="00CA70EB"/>
    <w:rsid w:val="00D61F15"/>
    <w:rsid w:val="00D64267"/>
    <w:rsid w:val="00D6573F"/>
    <w:rsid w:val="00D73893"/>
    <w:rsid w:val="00D77D12"/>
    <w:rsid w:val="00DD24D5"/>
    <w:rsid w:val="00DD2A27"/>
    <w:rsid w:val="00DE3FDF"/>
    <w:rsid w:val="00DF7ED1"/>
    <w:rsid w:val="00E46AC1"/>
    <w:rsid w:val="00E70E7E"/>
    <w:rsid w:val="00EA3AB1"/>
    <w:rsid w:val="00EB131F"/>
    <w:rsid w:val="00F152A6"/>
    <w:rsid w:val="00F167C6"/>
    <w:rsid w:val="00F35973"/>
    <w:rsid w:val="00F517BF"/>
    <w:rsid w:val="00F76DF3"/>
    <w:rsid w:val="00FA12C3"/>
    <w:rsid w:val="00FC1A5F"/>
    <w:rsid w:val="00FC3DEB"/>
    <w:rsid w:val="00FF1B4C"/>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1700FA8"/>
  <w15:docId w15:val="{2B87072D-F88B-4E3C-A887-FEF75F4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472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84729"/>
    <w:pPr>
      <w:framePr w:w="7920" w:h="1980" w:hRule="exact" w:hSpace="180" w:wrap="auto" w:hAnchor="page" w:xAlign="center" w:yAlign="bottom"/>
      <w:ind w:left="2880"/>
    </w:pPr>
    <w:rPr>
      <w:sz w:val="24"/>
    </w:rPr>
  </w:style>
  <w:style w:type="paragraph" w:styleId="Header">
    <w:name w:val="header"/>
    <w:basedOn w:val="Normal"/>
    <w:rsid w:val="00084729"/>
    <w:pPr>
      <w:tabs>
        <w:tab w:val="center" w:pos="4320"/>
        <w:tab w:val="right" w:pos="8640"/>
      </w:tabs>
    </w:pPr>
  </w:style>
  <w:style w:type="paragraph" w:styleId="Footer">
    <w:name w:val="footer"/>
    <w:basedOn w:val="Normal"/>
    <w:rsid w:val="00084729"/>
    <w:pPr>
      <w:tabs>
        <w:tab w:val="center" w:pos="4320"/>
        <w:tab w:val="right" w:pos="8640"/>
      </w:tabs>
    </w:pPr>
  </w:style>
  <w:style w:type="character" w:styleId="PageNumber">
    <w:name w:val="page number"/>
    <w:basedOn w:val="DefaultParagraphFont"/>
    <w:rsid w:val="00084729"/>
    <w:rPr>
      <w:rFonts w:cs="Times New Roman"/>
    </w:rPr>
  </w:style>
  <w:style w:type="table" w:styleId="TableGrid">
    <w:name w:val="Table Grid"/>
    <w:basedOn w:val="TableNormal"/>
    <w:rsid w:val="00E46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F359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MANAGEMENT, LABOR AND CUSTOMER SERVICES</vt:lpstr>
    </vt:vector>
  </TitlesOfParts>
  <Company>King County Council</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LABOR AND CUSTOMER SERVICES</dc:title>
  <dc:creator>Microsoft Corporation</dc:creator>
  <cp:lastModifiedBy>Burgert, Carolyn</cp:lastModifiedBy>
  <cp:revision>7</cp:revision>
  <cp:lastPrinted>2020-02-06T17:33:00Z</cp:lastPrinted>
  <dcterms:created xsi:type="dcterms:W3CDTF">2020-01-29T01:15:00Z</dcterms:created>
  <dcterms:modified xsi:type="dcterms:W3CDTF">2020-02-06T17:43:00Z</dcterms:modified>
</cp:coreProperties>
</file>