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9413" w14:textId="77777777" w:rsidR="00666F53" w:rsidRPr="00A46A5D" w:rsidRDefault="00666F53" w:rsidP="00666F53">
      <w:pPr>
        <w:pStyle w:val="Heading2"/>
        <w:rPr>
          <w:b w:val="0"/>
          <w:sz w:val="24"/>
          <w:u w:val="none"/>
        </w:rPr>
      </w:pPr>
    </w:p>
    <w:p w14:paraId="51856176" w14:textId="77777777" w:rsidR="00666F53" w:rsidRPr="00F71F8C" w:rsidRDefault="00666F53" w:rsidP="00666F53">
      <w:pPr>
        <w:pStyle w:val="Heading2"/>
        <w:rPr>
          <w:rFonts w:ascii="Arial" w:hAnsi="Arial" w:cs="Arial"/>
          <w:sz w:val="24"/>
        </w:rPr>
      </w:pPr>
      <w:r w:rsidRPr="00F71F8C">
        <w:rPr>
          <w:rFonts w:ascii="Arial" w:hAnsi="Arial" w:cs="Arial"/>
          <w:sz w:val="24"/>
        </w:rPr>
        <w:t>STAFF REPORT</w:t>
      </w:r>
    </w:p>
    <w:p w14:paraId="04F8CD6E" w14:textId="77777777" w:rsidR="00666F53" w:rsidRPr="00F3508D" w:rsidRDefault="00666F53" w:rsidP="00666F5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666F53" w:rsidRPr="009349D6" w14:paraId="2006D4F0" w14:textId="77777777" w:rsidTr="004805E9">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7ED951B" w14:textId="77777777" w:rsidR="00666F53" w:rsidRPr="009349D6" w:rsidRDefault="00666F53" w:rsidP="004805E9">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07E03BA" w14:textId="77777777" w:rsidR="00666F53" w:rsidRPr="009349D6" w:rsidRDefault="002C3360" w:rsidP="004805E9">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0D61C506" w14:textId="77777777" w:rsidR="00666F53" w:rsidRPr="009349D6" w:rsidRDefault="00666F53" w:rsidP="004805E9">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AD03178" w14:textId="77777777" w:rsidR="00666F53" w:rsidRPr="009349D6" w:rsidRDefault="00020159" w:rsidP="00CE5B50">
            <w:pPr>
              <w:spacing w:before="40" w:after="40"/>
              <w:rPr>
                <w:rFonts w:ascii="Arial" w:hAnsi="Arial" w:cs="Arial"/>
              </w:rPr>
            </w:pPr>
            <w:r>
              <w:rPr>
                <w:rFonts w:ascii="Arial" w:hAnsi="Arial" w:cs="Arial"/>
              </w:rPr>
              <w:t>Mike Reed</w:t>
            </w:r>
          </w:p>
        </w:tc>
      </w:tr>
      <w:tr w:rsidR="00666F53" w:rsidRPr="009349D6" w14:paraId="1D18D814" w14:textId="77777777" w:rsidTr="004805E9">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23B6E8" w14:textId="77777777" w:rsidR="00666F53" w:rsidRPr="009349D6" w:rsidRDefault="00666F53" w:rsidP="004805E9">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122CB335" w14:textId="77777777" w:rsidR="00666F53" w:rsidRPr="009349D6" w:rsidRDefault="008251AB" w:rsidP="004805E9">
            <w:pPr>
              <w:spacing w:before="40" w:after="40"/>
              <w:rPr>
                <w:rFonts w:ascii="Arial" w:hAnsi="Arial" w:cs="Arial"/>
              </w:rPr>
            </w:pPr>
            <w:r>
              <w:rPr>
                <w:rFonts w:ascii="Arial" w:hAnsi="Arial" w:cs="Arial"/>
              </w:rPr>
              <w:t>2019-0396</w:t>
            </w:r>
          </w:p>
        </w:tc>
        <w:tc>
          <w:tcPr>
            <w:tcW w:w="1170" w:type="dxa"/>
            <w:tcBorders>
              <w:top w:val="single" w:sz="4" w:space="0" w:color="auto"/>
              <w:left w:val="single" w:sz="4" w:space="0" w:color="auto"/>
              <w:bottom w:val="single" w:sz="4" w:space="0" w:color="auto"/>
              <w:right w:val="single" w:sz="4" w:space="0" w:color="auto"/>
            </w:tcBorders>
            <w:vAlign w:val="center"/>
          </w:tcPr>
          <w:p w14:paraId="57E3B252" w14:textId="77777777" w:rsidR="00666F53" w:rsidRPr="009349D6" w:rsidRDefault="00666F53" w:rsidP="004805E9">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53CEB39" w14:textId="77777777" w:rsidR="00666F53" w:rsidRPr="009349D6" w:rsidRDefault="008251AB" w:rsidP="004805E9">
            <w:pPr>
              <w:spacing w:before="40" w:after="40"/>
              <w:rPr>
                <w:rFonts w:ascii="Arial" w:hAnsi="Arial" w:cs="Arial"/>
              </w:rPr>
            </w:pPr>
            <w:r>
              <w:rPr>
                <w:rFonts w:ascii="Arial" w:hAnsi="Arial" w:cs="Arial"/>
              </w:rPr>
              <w:t>November 12, 2019</w:t>
            </w:r>
          </w:p>
        </w:tc>
      </w:tr>
    </w:tbl>
    <w:p w14:paraId="5D264018" w14:textId="77777777" w:rsidR="00666F53" w:rsidRDefault="00666F53" w:rsidP="00666F53">
      <w:pPr>
        <w:jc w:val="both"/>
        <w:rPr>
          <w:rFonts w:ascii="Arial" w:hAnsi="Arial" w:cs="Arial"/>
          <w:b/>
          <w:szCs w:val="24"/>
          <w:u w:val="single"/>
        </w:rPr>
      </w:pPr>
    </w:p>
    <w:p w14:paraId="1F75C7D7" w14:textId="77777777" w:rsidR="00666F53" w:rsidRPr="009349D6" w:rsidRDefault="00666F53" w:rsidP="00666F53">
      <w:pPr>
        <w:jc w:val="both"/>
        <w:rPr>
          <w:rFonts w:ascii="Arial" w:hAnsi="Arial" w:cs="Arial"/>
          <w:b/>
          <w:u w:val="single"/>
        </w:rPr>
      </w:pPr>
      <w:r w:rsidRPr="009349D6">
        <w:rPr>
          <w:rFonts w:ascii="Arial" w:hAnsi="Arial" w:cs="Arial"/>
          <w:b/>
          <w:u w:val="single"/>
        </w:rPr>
        <w:t>SUBJECT</w:t>
      </w:r>
    </w:p>
    <w:p w14:paraId="048044E5" w14:textId="77777777" w:rsidR="00666F53" w:rsidRDefault="00666F53" w:rsidP="00666F53">
      <w:pPr>
        <w:rPr>
          <w:rFonts w:ascii="Arial" w:hAnsi="Arial" w:cs="Arial"/>
        </w:rPr>
      </w:pPr>
    </w:p>
    <w:p w14:paraId="47DFCB19" w14:textId="77777777" w:rsidR="00666F53" w:rsidRPr="00C75025" w:rsidRDefault="00FC14CF" w:rsidP="00666F53">
      <w:pPr>
        <w:jc w:val="both"/>
        <w:rPr>
          <w:rFonts w:ascii="Arial" w:hAnsi="Arial" w:cs="Arial"/>
          <w:b/>
          <w:u w:val="single"/>
        </w:rPr>
      </w:pPr>
      <w:r>
        <w:rPr>
          <w:rFonts w:ascii="Arial" w:hAnsi="Arial" w:cs="Arial"/>
        </w:rPr>
        <w:t xml:space="preserve">Lease agreement with International Gateway East for lease of telecommunications rack space in the </w:t>
      </w:r>
      <w:proofErr w:type="spellStart"/>
      <w:r>
        <w:rPr>
          <w:rFonts w:ascii="Arial" w:hAnsi="Arial" w:cs="Arial"/>
        </w:rPr>
        <w:t>Sabey</w:t>
      </w:r>
      <w:proofErr w:type="spellEnd"/>
      <w:r>
        <w:rPr>
          <w:rFonts w:ascii="Arial" w:hAnsi="Arial" w:cs="Arial"/>
        </w:rPr>
        <w:t xml:space="preserve"> </w:t>
      </w:r>
      <w:proofErr w:type="spellStart"/>
      <w:r w:rsidR="002C3360">
        <w:rPr>
          <w:rFonts w:ascii="Arial" w:hAnsi="Arial" w:cs="Arial"/>
        </w:rPr>
        <w:t>Intergate</w:t>
      </w:r>
      <w:proofErr w:type="spellEnd"/>
      <w:r w:rsidR="002C3360">
        <w:rPr>
          <w:rFonts w:ascii="Arial" w:hAnsi="Arial" w:cs="Arial"/>
        </w:rPr>
        <w:t xml:space="preserve"> Exchange </w:t>
      </w:r>
      <w:r>
        <w:rPr>
          <w:rFonts w:ascii="Arial" w:hAnsi="Arial" w:cs="Arial"/>
        </w:rPr>
        <w:t>Building #2 in south Seattle.</w:t>
      </w:r>
    </w:p>
    <w:p w14:paraId="6F7F69FA" w14:textId="77777777" w:rsidR="00666F53" w:rsidRDefault="00666F53" w:rsidP="00666F53">
      <w:pPr>
        <w:rPr>
          <w:rFonts w:ascii="Arial" w:hAnsi="Arial" w:cs="Arial"/>
          <w:b/>
          <w:smallCaps/>
          <w:szCs w:val="24"/>
          <w:u w:val="single"/>
        </w:rPr>
      </w:pPr>
    </w:p>
    <w:p w14:paraId="06118B3E" w14:textId="77777777" w:rsidR="00666F53" w:rsidRDefault="00666F53" w:rsidP="00666F53">
      <w:pPr>
        <w:rPr>
          <w:rFonts w:ascii="Arial" w:hAnsi="Arial" w:cs="Arial"/>
          <w:b/>
          <w:smallCaps/>
          <w:szCs w:val="24"/>
          <w:u w:val="single"/>
        </w:rPr>
      </w:pPr>
      <w:r w:rsidRPr="009864F8">
        <w:rPr>
          <w:rFonts w:ascii="Arial" w:hAnsi="Arial" w:cs="Arial"/>
          <w:b/>
          <w:smallCaps/>
          <w:szCs w:val="24"/>
          <w:u w:val="single"/>
        </w:rPr>
        <w:t>SUMMARY</w:t>
      </w:r>
    </w:p>
    <w:p w14:paraId="6A1780E5" w14:textId="77777777" w:rsidR="00666F53" w:rsidRDefault="00666F53" w:rsidP="00666F53">
      <w:pPr>
        <w:rPr>
          <w:rFonts w:ascii="Arial" w:hAnsi="Arial" w:cs="Arial"/>
        </w:rPr>
      </w:pPr>
    </w:p>
    <w:p w14:paraId="22B8B3F3" w14:textId="679099EE" w:rsidR="00666F53" w:rsidRDefault="00020159" w:rsidP="00666F53">
      <w:pPr>
        <w:jc w:val="both"/>
        <w:rPr>
          <w:rFonts w:ascii="Arial" w:hAnsi="Arial" w:cs="Arial"/>
          <w:szCs w:val="24"/>
        </w:rPr>
      </w:pPr>
      <w:r>
        <w:rPr>
          <w:rFonts w:ascii="Arial" w:hAnsi="Arial" w:cs="Arial"/>
        </w:rPr>
        <w:t>King County manages telecommunications equipment that provides redundancy for telecommunications services utilized by the County</w:t>
      </w:r>
      <w:r w:rsidR="002C3360">
        <w:rPr>
          <w:rFonts w:ascii="Arial" w:hAnsi="Arial" w:cs="Arial"/>
        </w:rPr>
        <w:t xml:space="preserve"> and</w:t>
      </w:r>
      <w:r>
        <w:rPr>
          <w:rFonts w:ascii="Arial" w:hAnsi="Arial" w:cs="Arial"/>
        </w:rPr>
        <w:t xml:space="preserve"> KCIT leases space in the </w:t>
      </w:r>
      <w:proofErr w:type="spellStart"/>
      <w:r>
        <w:rPr>
          <w:rFonts w:ascii="Arial" w:hAnsi="Arial" w:cs="Arial"/>
        </w:rPr>
        <w:t>Sabey</w:t>
      </w:r>
      <w:proofErr w:type="spellEnd"/>
      <w:r>
        <w:rPr>
          <w:rFonts w:ascii="Arial" w:hAnsi="Arial" w:cs="Arial"/>
        </w:rPr>
        <w:t xml:space="preserve"> </w:t>
      </w:r>
      <w:proofErr w:type="spellStart"/>
      <w:r w:rsidR="002C3360">
        <w:rPr>
          <w:rFonts w:ascii="Arial" w:hAnsi="Arial" w:cs="Arial"/>
        </w:rPr>
        <w:t>Intergate</w:t>
      </w:r>
      <w:proofErr w:type="spellEnd"/>
      <w:r w:rsidR="002C3360">
        <w:rPr>
          <w:rFonts w:ascii="Arial" w:hAnsi="Arial" w:cs="Arial"/>
        </w:rPr>
        <w:t xml:space="preserve"> Exchange </w:t>
      </w:r>
      <w:r>
        <w:rPr>
          <w:rFonts w:ascii="Arial" w:hAnsi="Arial" w:cs="Arial"/>
        </w:rPr>
        <w:t>Building #2</w:t>
      </w:r>
      <w:r w:rsidR="002C3360">
        <w:rPr>
          <w:rFonts w:ascii="Arial" w:hAnsi="Arial" w:cs="Arial"/>
        </w:rPr>
        <w:t xml:space="preserve"> (3311 S. 120</w:t>
      </w:r>
      <w:r w:rsidR="002C3360" w:rsidRPr="002C3360">
        <w:rPr>
          <w:rFonts w:ascii="Arial" w:hAnsi="Arial" w:cs="Arial"/>
          <w:vertAlign w:val="superscript"/>
        </w:rPr>
        <w:t>th</w:t>
      </w:r>
      <w:r w:rsidR="002C3360" w:rsidRPr="002C3360">
        <w:rPr>
          <w:rFonts w:ascii="Arial" w:hAnsi="Arial" w:cs="Arial"/>
        </w:rPr>
        <w:t xml:space="preserve"> Place</w:t>
      </w:r>
      <w:r w:rsidR="002C3360">
        <w:rPr>
          <w:rFonts w:ascii="Arial" w:hAnsi="Arial" w:cs="Arial"/>
        </w:rPr>
        <w:t>)</w:t>
      </w:r>
      <w:r>
        <w:rPr>
          <w:rFonts w:ascii="Arial" w:hAnsi="Arial" w:cs="Arial"/>
        </w:rPr>
        <w:t xml:space="preserve"> in south Seattle to house the </w:t>
      </w:r>
      <w:r w:rsidR="003A7D69">
        <w:rPr>
          <w:rFonts w:ascii="Arial" w:hAnsi="Arial" w:cs="Arial"/>
        </w:rPr>
        <w:t xml:space="preserve">required </w:t>
      </w:r>
      <w:r>
        <w:rPr>
          <w:rFonts w:ascii="Arial" w:hAnsi="Arial" w:cs="Arial"/>
        </w:rPr>
        <w:t xml:space="preserve">equipment.  </w:t>
      </w:r>
      <w:r w:rsidR="00FC14CF">
        <w:rPr>
          <w:rFonts w:ascii="Arial" w:hAnsi="Arial" w:cs="Arial"/>
        </w:rPr>
        <w:t xml:space="preserve">The lease has expired, and the parties have negotiated a proposed new lease agreement.  </w:t>
      </w:r>
      <w:r w:rsidR="002C3360">
        <w:rPr>
          <w:rFonts w:ascii="Arial" w:hAnsi="Arial" w:cs="Arial"/>
        </w:rPr>
        <w:t xml:space="preserve">The proposed ordinance </w:t>
      </w:r>
      <w:r w:rsidR="00FC14CF">
        <w:rPr>
          <w:rFonts w:ascii="Arial" w:hAnsi="Arial" w:cs="Arial"/>
        </w:rPr>
        <w:t xml:space="preserve">would authorize the Executive to execute the proposed lease agreement.  </w:t>
      </w:r>
      <w:r>
        <w:rPr>
          <w:rFonts w:ascii="Arial" w:hAnsi="Arial" w:cs="Arial"/>
        </w:rPr>
        <w:t xml:space="preserve"> </w:t>
      </w:r>
    </w:p>
    <w:p w14:paraId="22DC3431" w14:textId="77777777" w:rsidR="009A1669" w:rsidRDefault="009A1669" w:rsidP="009A1669">
      <w:pPr>
        <w:rPr>
          <w:rFonts w:ascii="Arial" w:hAnsi="Arial" w:cs="Arial"/>
          <w:szCs w:val="24"/>
        </w:rPr>
      </w:pPr>
    </w:p>
    <w:p w14:paraId="74CAF724" w14:textId="77777777" w:rsidR="00666F53" w:rsidRDefault="00666F53" w:rsidP="009A1669">
      <w:pPr>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29781AE3" w14:textId="77777777" w:rsidR="00666F53" w:rsidRDefault="00666F53" w:rsidP="00666F53">
      <w:pPr>
        <w:jc w:val="both"/>
        <w:rPr>
          <w:rFonts w:ascii="Arial" w:hAnsi="Arial" w:cs="Arial"/>
        </w:rPr>
      </w:pPr>
    </w:p>
    <w:p w14:paraId="7FAC4536" w14:textId="316E212B" w:rsidR="00D95B87" w:rsidRDefault="00F3508B" w:rsidP="00666F53">
      <w:pPr>
        <w:jc w:val="both"/>
        <w:rPr>
          <w:rFonts w:ascii="Arial" w:hAnsi="Arial" w:cs="Arial"/>
        </w:rPr>
      </w:pPr>
      <w:r>
        <w:rPr>
          <w:rFonts w:ascii="Arial" w:hAnsi="Arial" w:cs="Arial"/>
        </w:rPr>
        <w:t xml:space="preserve">King County Information Technology Services manages </w:t>
      </w:r>
      <w:r w:rsidR="00020159">
        <w:rPr>
          <w:rFonts w:ascii="Arial" w:hAnsi="Arial" w:cs="Arial"/>
        </w:rPr>
        <w:t>tele</w:t>
      </w:r>
      <w:r>
        <w:rPr>
          <w:rFonts w:ascii="Arial" w:hAnsi="Arial" w:cs="Arial"/>
        </w:rPr>
        <w:t xml:space="preserve">communications </w:t>
      </w:r>
      <w:r w:rsidR="00D95B87">
        <w:rPr>
          <w:rFonts w:ascii="Arial" w:hAnsi="Arial" w:cs="Arial"/>
        </w:rPr>
        <w:t>equipment</w:t>
      </w:r>
      <w:r>
        <w:rPr>
          <w:rFonts w:ascii="Arial" w:hAnsi="Arial" w:cs="Arial"/>
        </w:rPr>
        <w:t xml:space="preserve"> that provide</w:t>
      </w:r>
      <w:r w:rsidR="00D95B87">
        <w:rPr>
          <w:rFonts w:ascii="Arial" w:hAnsi="Arial" w:cs="Arial"/>
        </w:rPr>
        <w:t>s</w:t>
      </w:r>
      <w:r>
        <w:rPr>
          <w:rFonts w:ascii="Arial" w:hAnsi="Arial" w:cs="Arial"/>
        </w:rPr>
        <w:t xml:space="preserve"> redundant fiber internet connection for King County</w:t>
      </w:r>
      <w:r w:rsidR="00D95B87">
        <w:rPr>
          <w:rFonts w:ascii="Arial" w:hAnsi="Arial" w:cs="Arial"/>
        </w:rPr>
        <w:t xml:space="preserve"> in the </w:t>
      </w:r>
      <w:proofErr w:type="spellStart"/>
      <w:r w:rsidR="00D95B87">
        <w:rPr>
          <w:rFonts w:ascii="Arial" w:hAnsi="Arial" w:cs="Arial"/>
        </w:rPr>
        <w:t>Sabey</w:t>
      </w:r>
      <w:proofErr w:type="spellEnd"/>
      <w:r w:rsidR="00D95B87">
        <w:rPr>
          <w:rFonts w:ascii="Arial" w:hAnsi="Arial" w:cs="Arial"/>
        </w:rPr>
        <w:t xml:space="preserve"> </w:t>
      </w:r>
      <w:proofErr w:type="spellStart"/>
      <w:r w:rsidR="00D95B87">
        <w:rPr>
          <w:rFonts w:ascii="Arial" w:hAnsi="Arial" w:cs="Arial"/>
        </w:rPr>
        <w:t>Intergate</w:t>
      </w:r>
      <w:proofErr w:type="spellEnd"/>
      <w:r w:rsidR="00D95B87">
        <w:rPr>
          <w:rFonts w:ascii="Arial" w:hAnsi="Arial" w:cs="Arial"/>
        </w:rPr>
        <w:t xml:space="preserve"> Exchange Building #2 in </w:t>
      </w:r>
      <w:r w:rsidR="002C3360">
        <w:rPr>
          <w:rFonts w:ascii="Arial" w:hAnsi="Arial" w:cs="Arial"/>
        </w:rPr>
        <w:t>south Seattle</w:t>
      </w:r>
      <w:r>
        <w:rPr>
          <w:rFonts w:ascii="Arial" w:hAnsi="Arial" w:cs="Arial"/>
        </w:rPr>
        <w:t>; this connection is subordinate to the County’s fiber connection at the Westin Building in downtown Seattle.</w:t>
      </w:r>
      <w:r w:rsidR="00D95B87">
        <w:rPr>
          <w:rFonts w:ascii="Arial" w:hAnsi="Arial" w:cs="Arial"/>
        </w:rPr>
        <w:t xml:space="preserve">  The County leases network rack space to </w:t>
      </w:r>
      <w:r w:rsidR="003A7D69">
        <w:rPr>
          <w:rFonts w:ascii="Arial" w:hAnsi="Arial" w:cs="Arial"/>
        </w:rPr>
        <w:t>house</w:t>
      </w:r>
      <w:r w:rsidR="00D95B87">
        <w:rPr>
          <w:rFonts w:ascii="Arial" w:hAnsi="Arial" w:cs="Arial"/>
        </w:rPr>
        <w:t xml:space="preserve"> the </w:t>
      </w:r>
      <w:r w:rsidR="003A7D69">
        <w:rPr>
          <w:rFonts w:ascii="Arial" w:hAnsi="Arial" w:cs="Arial"/>
        </w:rPr>
        <w:t>tele</w:t>
      </w:r>
      <w:r w:rsidR="00D95B87">
        <w:rPr>
          <w:rFonts w:ascii="Arial" w:hAnsi="Arial" w:cs="Arial"/>
        </w:rPr>
        <w:t xml:space="preserve">communications equipment in Building #2, which is </w:t>
      </w:r>
      <w:r w:rsidR="00FC14CF">
        <w:rPr>
          <w:rFonts w:ascii="Arial" w:hAnsi="Arial" w:cs="Arial"/>
        </w:rPr>
        <w:t>accessible</w:t>
      </w:r>
      <w:r w:rsidR="00D95B87">
        <w:rPr>
          <w:rFonts w:ascii="Arial" w:hAnsi="Arial" w:cs="Arial"/>
        </w:rPr>
        <w:t xml:space="preserve"> to the </w:t>
      </w:r>
      <w:r w:rsidR="0004035C">
        <w:rPr>
          <w:rFonts w:ascii="Arial" w:hAnsi="Arial" w:cs="Arial"/>
        </w:rPr>
        <w:t>County</w:t>
      </w:r>
      <w:r w:rsidR="00D95B87">
        <w:rPr>
          <w:rFonts w:ascii="Arial" w:hAnsi="Arial" w:cs="Arial"/>
        </w:rPr>
        <w:t xml:space="preserve">’s primary data center in Building #5 within the </w:t>
      </w:r>
      <w:proofErr w:type="spellStart"/>
      <w:r w:rsidR="00D95B87">
        <w:rPr>
          <w:rFonts w:ascii="Arial" w:hAnsi="Arial" w:cs="Arial"/>
        </w:rPr>
        <w:t>Sabey</w:t>
      </w:r>
      <w:proofErr w:type="spellEnd"/>
      <w:r w:rsidR="00D95B87">
        <w:rPr>
          <w:rFonts w:ascii="Arial" w:hAnsi="Arial" w:cs="Arial"/>
        </w:rPr>
        <w:t xml:space="preserve"> property.  </w:t>
      </w:r>
      <w:r w:rsidR="009E43C1">
        <w:rPr>
          <w:rFonts w:ascii="Arial" w:hAnsi="Arial" w:cs="Arial"/>
        </w:rPr>
        <w:t xml:space="preserve">The landlord is International Gateway East, LLC; the governing entity for this LLC is </w:t>
      </w:r>
      <w:proofErr w:type="spellStart"/>
      <w:r w:rsidR="009E43C1">
        <w:rPr>
          <w:rFonts w:ascii="Arial" w:hAnsi="Arial" w:cs="Arial"/>
        </w:rPr>
        <w:t>Sabey</w:t>
      </w:r>
      <w:proofErr w:type="spellEnd"/>
      <w:r w:rsidR="009E43C1">
        <w:rPr>
          <w:rFonts w:ascii="Arial" w:hAnsi="Arial" w:cs="Arial"/>
        </w:rPr>
        <w:t xml:space="preserve"> Properties, LLC.</w:t>
      </w:r>
    </w:p>
    <w:p w14:paraId="0EE82527" w14:textId="77777777" w:rsidR="00D95B87" w:rsidRDefault="00D95B87" w:rsidP="00666F53">
      <w:pPr>
        <w:jc w:val="both"/>
        <w:rPr>
          <w:rFonts w:ascii="Arial" w:hAnsi="Arial" w:cs="Arial"/>
        </w:rPr>
      </w:pPr>
    </w:p>
    <w:p w14:paraId="7AE5F872" w14:textId="77777777" w:rsidR="00F3508B" w:rsidRDefault="00D95B87" w:rsidP="00666F53">
      <w:pPr>
        <w:jc w:val="both"/>
        <w:rPr>
          <w:rFonts w:ascii="Arial" w:hAnsi="Arial" w:cs="Arial"/>
        </w:rPr>
      </w:pPr>
      <w:r>
        <w:rPr>
          <w:rFonts w:ascii="Arial" w:hAnsi="Arial" w:cs="Arial"/>
        </w:rPr>
        <w:t xml:space="preserve">The lease for this rack space expired in 2013.  The lease contained “holdover” penalties that would have subjected the County to increased rent for continued use of the space; however, the </w:t>
      </w:r>
      <w:r w:rsidR="009E43C1">
        <w:rPr>
          <w:rFonts w:ascii="Arial" w:hAnsi="Arial" w:cs="Arial"/>
        </w:rPr>
        <w:t>landlord</w:t>
      </w:r>
      <w:r>
        <w:rPr>
          <w:rFonts w:ascii="Arial" w:hAnsi="Arial" w:cs="Arial"/>
        </w:rPr>
        <w:t xml:space="preserve">, International Gateway East, LLC, opted to suspend holdover </w:t>
      </w:r>
      <w:proofErr w:type="gramStart"/>
      <w:r>
        <w:rPr>
          <w:rFonts w:ascii="Arial" w:hAnsi="Arial" w:cs="Arial"/>
        </w:rPr>
        <w:t>penalties</w:t>
      </w:r>
      <w:proofErr w:type="gramEnd"/>
      <w:r>
        <w:rPr>
          <w:rFonts w:ascii="Arial" w:hAnsi="Arial" w:cs="Arial"/>
        </w:rPr>
        <w:t xml:space="preserve"> while working with the County to establish a new lease agreement.  </w:t>
      </w:r>
    </w:p>
    <w:p w14:paraId="63791EDB" w14:textId="77777777" w:rsidR="005C7B92" w:rsidRDefault="005C7B92" w:rsidP="00666F53">
      <w:pPr>
        <w:jc w:val="both"/>
        <w:rPr>
          <w:rFonts w:ascii="Arial" w:hAnsi="Arial" w:cs="Arial"/>
        </w:rPr>
      </w:pPr>
    </w:p>
    <w:p w14:paraId="38A191B3" w14:textId="77777777" w:rsidR="00612881" w:rsidRDefault="005C7B92" w:rsidP="00666F53">
      <w:pPr>
        <w:jc w:val="both"/>
        <w:rPr>
          <w:rFonts w:ascii="Arial" w:hAnsi="Arial" w:cs="Arial"/>
        </w:rPr>
      </w:pPr>
      <w:r>
        <w:rPr>
          <w:rFonts w:ascii="Arial" w:hAnsi="Arial" w:cs="Arial"/>
        </w:rPr>
        <w:t xml:space="preserve">The Executive notes that the communications facilities supported by this lease are critical to county telecommunications services.  </w:t>
      </w:r>
      <w:r w:rsidR="00612881">
        <w:rPr>
          <w:rFonts w:ascii="Arial" w:hAnsi="Arial" w:cs="Arial"/>
        </w:rPr>
        <w:t>In response to a staff inquiry, the Executive stated that:</w:t>
      </w:r>
    </w:p>
    <w:p w14:paraId="295F4736" w14:textId="77777777" w:rsidR="005C7B92" w:rsidRDefault="00612881" w:rsidP="00612881">
      <w:pPr>
        <w:ind w:left="720"/>
        <w:jc w:val="both"/>
        <w:rPr>
          <w:rFonts w:ascii="Arial" w:hAnsi="Arial" w:cs="Arial"/>
        </w:rPr>
      </w:pPr>
      <w:r>
        <w:rPr>
          <w:rFonts w:ascii="Arial" w:hAnsi="Arial" w:cs="Arial"/>
        </w:rPr>
        <w:t xml:space="preserve">“Building </w:t>
      </w:r>
      <w:r w:rsidR="002C3360">
        <w:rPr>
          <w:rFonts w:ascii="Arial" w:hAnsi="Arial" w:cs="Arial"/>
        </w:rPr>
        <w:t>#</w:t>
      </w:r>
      <w:r>
        <w:rPr>
          <w:rFonts w:ascii="Arial" w:hAnsi="Arial" w:cs="Arial"/>
        </w:rPr>
        <w:t xml:space="preserve">2 is King County’s redundant Point of Presence that is critical to providing connectivity to the </w:t>
      </w:r>
      <w:proofErr w:type="spellStart"/>
      <w:r>
        <w:rPr>
          <w:rFonts w:ascii="Arial" w:hAnsi="Arial" w:cs="Arial"/>
        </w:rPr>
        <w:t>Sabey</w:t>
      </w:r>
      <w:proofErr w:type="spellEnd"/>
      <w:r>
        <w:rPr>
          <w:rFonts w:ascii="Arial" w:hAnsi="Arial" w:cs="Arial"/>
        </w:rPr>
        <w:t xml:space="preserve"> Data Center and to Interne</w:t>
      </w:r>
      <w:r w:rsidR="002C3360">
        <w:rPr>
          <w:rFonts w:ascii="Arial" w:hAnsi="Arial" w:cs="Arial"/>
        </w:rPr>
        <w:t>t</w:t>
      </w:r>
      <w:r>
        <w:rPr>
          <w:rFonts w:ascii="Arial" w:hAnsi="Arial" w:cs="Arial"/>
        </w:rPr>
        <w:t xml:space="preserve"> providers.  Without this location, the </w:t>
      </w:r>
      <w:proofErr w:type="spellStart"/>
      <w:r>
        <w:rPr>
          <w:rFonts w:ascii="Arial" w:hAnsi="Arial" w:cs="Arial"/>
        </w:rPr>
        <w:t>Sabey</w:t>
      </w:r>
      <w:proofErr w:type="spellEnd"/>
      <w:r>
        <w:rPr>
          <w:rFonts w:ascii="Arial" w:hAnsi="Arial" w:cs="Arial"/>
        </w:rPr>
        <w:t xml:space="preserve"> Data Center would not have connectivity to the King </w:t>
      </w:r>
      <w:r>
        <w:rPr>
          <w:rFonts w:ascii="Arial" w:hAnsi="Arial" w:cs="Arial"/>
        </w:rPr>
        <w:lastRenderedPageBreak/>
        <w:t>County Network.  In addition, all internet connections would be provided by a single location, eliminating redundancy and continuity of service in the event of a service disruption at the Westin Building.”</w:t>
      </w:r>
    </w:p>
    <w:p w14:paraId="473BAB86" w14:textId="77777777" w:rsidR="00666F53" w:rsidRDefault="00666F53" w:rsidP="00666F53">
      <w:pPr>
        <w:jc w:val="both"/>
        <w:rPr>
          <w:rFonts w:ascii="Arial" w:hAnsi="Arial" w:cs="Arial"/>
        </w:rPr>
      </w:pPr>
    </w:p>
    <w:p w14:paraId="67FF6A72" w14:textId="77777777" w:rsidR="000F47BE" w:rsidRDefault="0089297C" w:rsidP="00666F53">
      <w:pPr>
        <w:jc w:val="both"/>
        <w:rPr>
          <w:rFonts w:ascii="Arial" w:hAnsi="Arial" w:cs="Arial"/>
        </w:rPr>
      </w:pPr>
      <w:r>
        <w:rPr>
          <w:rFonts w:ascii="Arial" w:hAnsi="Arial" w:cs="Arial"/>
        </w:rPr>
        <w:t xml:space="preserve">The </w:t>
      </w:r>
      <w:r w:rsidR="009E43C1">
        <w:rPr>
          <w:rFonts w:ascii="Arial" w:hAnsi="Arial" w:cs="Arial"/>
        </w:rPr>
        <w:t xml:space="preserve">County and International Gateway East, LLC </w:t>
      </w:r>
      <w:r>
        <w:rPr>
          <w:rFonts w:ascii="Arial" w:hAnsi="Arial" w:cs="Arial"/>
        </w:rPr>
        <w:t xml:space="preserve">have negotiated a new lease agreement that provides for continued use of the rack space at the </w:t>
      </w:r>
      <w:r w:rsidR="00612881">
        <w:rPr>
          <w:rFonts w:ascii="Arial" w:hAnsi="Arial" w:cs="Arial"/>
        </w:rPr>
        <w:t xml:space="preserve">facility (Attachment A: Lease Agreement).  </w:t>
      </w:r>
      <w:r w:rsidR="00FC14CF">
        <w:rPr>
          <w:rFonts w:ascii="Arial" w:hAnsi="Arial" w:cs="Arial"/>
        </w:rPr>
        <w:t>The lease would expire on January 31, 2027, with two 2-year extension options.  Initial monthly rental is $4</w:t>
      </w:r>
      <w:r w:rsidR="002C3360">
        <w:rPr>
          <w:rFonts w:ascii="Arial" w:hAnsi="Arial" w:cs="Arial"/>
        </w:rPr>
        <w:t>,</w:t>
      </w:r>
      <w:r w:rsidR="00FC14CF">
        <w:rPr>
          <w:rFonts w:ascii="Arial" w:hAnsi="Arial" w:cs="Arial"/>
        </w:rPr>
        <w:t xml:space="preserve">700 per month, increasing at 2.5% annually. </w:t>
      </w:r>
    </w:p>
    <w:p w14:paraId="4CA3840F" w14:textId="77777777" w:rsidR="000F47BE" w:rsidRDefault="000F47BE" w:rsidP="00666F53">
      <w:pPr>
        <w:jc w:val="both"/>
        <w:rPr>
          <w:rFonts w:ascii="Arial" w:hAnsi="Arial" w:cs="Arial"/>
        </w:rPr>
      </w:pPr>
    </w:p>
    <w:p w14:paraId="380E1BD3" w14:textId="77777777" w:rsidR="00612881" w:rsidRDefault="00612881" w:rsidP="00666F53">
      <w:pPr>
        <w:jc w:val="both"/>
        <w:rPr>
          <w:rFonts w:ascii="Arial" w:hAnsi="Arial" w:cs="Arial"/>
        </w:rPr>
      </w:pPr>
      <w:r>
        <w:rPr>
          <w:rFonts w:ascii="Arial" w:hAnsi="Arial" w:cs="Arial"/>
        </w:rPr>
        <w:t xml:space="preserve">Key provisions of the proposed agreement are as follows:  </w:t>
      </w:r>
    </w:p>
    <w:p w14:paraId="104E4878" w14:textId="77777777" w:rsidR="00612881" w:rsidRDefault="00612881" w:rsidP="00666F53">
      <w:pPr>
        <w:jc w:val="both"/>
        <w:rPr>
          <w:rFonts w:ascii="Arial" w:hAnsi="Arial" w:cs="Arial"/>
        </w:rPr>
      </w:pPr>
    </w:p>
    <w:p w14:paraId="263EDCC4" w14:textId="77777777" w:rsidR="00612881" w:rsidRDefault="00612881" w:rsidP="00612881">
      <w:pPr>
        <w:pStyle w:val="ListParagraph"/>
        <w:numPr>
          <w:ilvl w:val="0"/>
          <w:numId w:val="9"/>
        </w:numPr>
        <w:jc w:val="both"/>
        <w:rPr>
          <w:rFonts w:ascii="Arial" w:hAnsi="Arial" w:cs="Arial"/>
        </w:rPr>
      </w:pPr>
      <w:r w:rsidRPr="003A7D69">
        <w:rPr>
          <w:rFonts w:ascii="Arial" w:hAnsi="Arial" w:cs="Arial"/>
          <w:b/>
        </w:rPr>
        <w:t>Building location:</w:t>
      </w:r>
      <w:r>
        <w:rPr>
          <w:rFonts w:ascii="Arial" w:hAnsi="Arial" w:cs="Arial"/>
        </w:rPr>
        <w:t xml:space="preserve">  3311 S. 12</w:t>
      </w:r>
      <w:r w:rsidR="00020159">
        <w:rPr>
          <w:rFonts w:ascii="Arial" w:hAnsi="Arial" w:cs="Arial"/>
        </w:rPr>
        <w:t>0</w:t>
      </w:r>
      <w:r w:rsidRPr="00612881">
        <w:rPr>
          <w:rFonts w:ascii="Arial" w:hAnsi="Arial" w:cs="Arial"/>
          <w:vertAlign w:val="superscript"/>
        </w:rPr>
        <w:t>th</w:t>
      </w:r>
      <w:r>
        <w:rPr>
          <w:rFonts w:ascii="Arial" w:hAnsi="Arial" w:cs="Arial"/>
        </w:rPr>
        <w:t xml:space="preserve"> Place, Seattle, Washington 98168</w:t>
      </w:r>
    </w:p>
    <w:p w14:paraId="54A81562" w14:textId="77777777" w:rsidR="002C3360" w:rsidRPr="002C3360" w:rsidRDefault="002C3360" w:rsidP="002C3360">
      <w:pPr>
        <w:jc w:val="both"/>
        <w:rPr>
          <w:rFonts w:ascii="Arial" w:hAnsi="Arial" w:cs="Arial"/>
        </w:rPr>
      </w:pPr>
    </w:p>
    <w:p w14:paraId="4F4923B2" w14:textId="77777777" w:rsidR="00612881" w:rsidRDefault="00612881" w:rsidP="00612881">
      <w:pPr>
        <w:pStyle w:val="ListParagraph"/>
        <w:numPr>
          <w:ilvl w:val="0"/>
          <w:numId w:val="9"/>
        </w:numPr>
        <w:jc w:val="both"/>
        <w:rPr>
          <w:rFonts w:ascii="Arial" w:hAnsi="Arial" w:cs="Arial"/>
        </w:rPr>
      </w:pPr>
      <w:r w:rsidRPr="003A7D69">
        <w:rPr>
          <w:rFonts w:ascii="Arial" w:hAnsi="Arial" w:cs="Arial"/>
          <w:b/>
        </w:rPr>
        <w:t>Space lease:</w:t>
      </w:r>
      <w:r>
        <w:rPr>
          <w:rFonts w:ascii="Arial" w:hAnsi="Arial" w:cs="Arial"/>
        </w:rPr>
        <w:t xml:space="preserve"> </w:t>
      </w:r>
      <w:r w:rsidR="003A7D69">
        <w:rPr>
          <w:rFonts w:ascii="Arial" w:hAnsi="Arial" w:cs="Arial"/>
        </w:rPr>
        <w:t xml:space="preserve">County agrees to lease </w:t>
      </w:r>
      <w:r>
        <w:rPr>
          <w:rFonts w:ascii="Arial" w:hAnsi="Arial" w:cs="Arial"/>
        </w:rPr>
        <w:t>space sufficient for three telecommunications racks in the Building’</w:t>
      </w:r>
      <w:r w:rsidR="00503606">
        <w:rPr>
          <w:rFonts w:ascii="Arial" w:hAnsi="Arial" w:cs="Arial"/>
        </w:rPr>
        <w:t>s NODE room, as well as access to the “minimum point of entry” within the premises.  Also granted is the right to install, maintain, and operate the equipment, appurtenances and related equipment. Installation of any equipment is to be without cost to the landlord, except as provided in the lease.</w:t>
      </w:r>
    </w:p>
    <w:p w14:paraId="43EB4E5D" w14:textId="77777777" w:rsidR="002C3360" w:rsidRPr="002C3360" w:rsidRDefault="002C3360" w:rsidP="002C3360">
      <w:pPr>
        <w:jc w:val="both"/>
        <w:rPr>
          <w:rFonts w:ascii="Arial" w:hAnsi="Arial" w:cs="Arial"/>
        </w:rPr>
      </w:pPr>
    </w:p>
    <w:p w14:paraId="352A1270" w14:textId="68FB4310" w:rsidR="00503606" w:rsidRDefault="00503606" w:rsidP="00612881">
      <w:pPr>
        <w:pStyle w:val="ListParagraph"/>
        <w:numPr>
          <w:ilvl w:val="0"/>
          <w:numId w:val="9"/>
        </w:numPr>
        <w:jc w:val="both"/>
        <w:rPr>
          <w:rFonts w:ascii="Arial" w:hAnsi="Arial" w:cs="Arial"/>
        </w:rPr>
      </w:pPr>
      <w:r w:rsidRPr="003A7D69">
        <w:rPr>
          <w:rFonts w:ascii="Arial" w:hAnsi="Arial" w:cs="Arial"/>
          <w:b/>
        </w:rPr>
        <w:t>Term:</w:t>
      </w:r>
      <w:r w:rsidR="002C3360">
        <w:rPr>
          <w:rFonts w:ascii="Arial" w:hAnsi="Arial" w:cs="Arial"/>
        </w:rPr>
        <w:t xml:space="preserve">  T</w:t>
      </w:r>
      <w:r>
        <w:rPr>
          <w:rFonts w:ascii="Arial" w:hAnsi="Arial" w:cs="Arial"/>
        </w:rPr>
        <w:t xml:space="preserve">he lease will begin on the Commencement Date—the first day of the month after the tenant executes the lease.  The lease will expire on January 31, 2027.  The County has the right to extend the lease for two additional terms of </w:t>
      </w:r>
      <w:r w:rsidR="002C3360">
        <w:rPr>
          <w:rFonts w:ascii="Arial" w:hAnsi="Arial" w:cs="Arial"/>
        </w:rPr>
        <w:t xml:space="preserve">two </w:t>
      </w:r>
      <w:r>
        <w:rPr>
          <w:rFonts w:ascii="Arial" w:hAnsi="Arial" w:cs="Arial"/>
        </w:rPr>
        <w:t xml:space="preserve">years each, on the same terms and conditions as provided in the lease agreement.  </w:t>
      </w:r>
    </w:p>
    <w:p w14:paraId="2A12258F" w14:textId="77777777" w:rsidR="002C3360" w:rsidRPr="002C3360" w:rsidRDefault="002C3360" w:rsidP="002C3360">
      <w:pPr>
        <w:jc w:val="both"/>
        <w:rPr>
          <w:rFonts w:ascii="Arial" w:hAnsi="Arial" w:cs="Arial"/>
        </w:rPr>
      </w:pPr>
    </w:p>
    <w:p w14:paraId="1537B4BF" w14:textId="77777777" w:rsidR="00503606" w:rsidRDefault="00503606" w:rsidP="00612881">
      <w:pPr>
        <w:pStyle w:val="ListParagraph"/>
        <w:numPr>
          <w:ilvl w:val="0"/>
          <w:numId w:val="9"/>
        </w:numPr>
        <w:jc w:val="both"/>
        <w:rPr>
          <w:rFonts w:ascii="Arial" w:hAnsi="Arial" w:cs="Arial"/>
        </w:rPr>
      </w:pPr>
      <w:r w:rsidRPr="003A7D69">
        <w:rPr>
          <w:rFonts w:ascii="Arial" w:hAnsi="Arial" w:cs="Arial"/>
          <w:b/>
        </w:rPr>
        <w:t>Holdover:</w:t>
      </w:r>
      <w:r>
        <w:rPr>
          <w:rFonts w:ascii="Arial" w:hAnsi="Arial" w:cs="Arial"/>
        </w:rPr>
        <w:t xml:space="preserve">  Any holdover after the lease term is considered a month-to-month tenancy; if the County holds over after </w:t>
      </w:r>
      <w:r w:rsidR="003A7D69">
        <w:rPr>
          <w:rFonts w:ascii="Arial" w:hAnsi="Arial" w:cs="Arial"/>
        </w:rPr>
        <w:t>termination</w:t>
      </w:r>
      <w:r>
        <w:rPr>
          <w:rFonts w:ascii="Arial" w:hAnsi="Arial" w:cs="Arial"/>
        </w:rPr>
        <w:t xml:space="preserve"> with the Landlord’s prior written consent, the rent is invoiced at the last monthly rental rate for sixty days, and thereafter at 125% of total monthly rent.  If the County holds over without prior written consent, rent is to be invoiced at 150% of total</w:t>
      </w:r>
      <w:r w:rsidR="00665980">
        <w:rPr>
          <w:rFonts w:ascii="Arial" w:hAnsi="Arial" w:cs="Arial"/>
        </w:rPr>
        <w:t xml:space="preserve"> monthly rent, and County is subject to indemnification and hold harmless provision against loss and liability, including any claim made by any succeeding tenant, resulting from failure to surrender or vacate, including attorney’s fees.  </w:t>
      </w:r>
    </w:p>
    <w:p w14:paraId="151DB60B" w14:textId="77777777" w:rsidR="002C3360" w:rsidRPr="002C3360" w:rsidRDefault="002C3360" w:rsidP="002C3360">
      <w:pPr>
        <w:jc w:val="both"/>
        <w:rPr>
          <w:rFonts w:ascii="Arial" w:hAnsi="Arial" w:cs="Arial"/>
        </w:rPr>
      </w:pPr>
    </w:p>
    <w:p w14:paraId="2FDD6F62" w14:textId="77777777" w:rsidR="00665980" w:rsidRDefault="003A7D69" w:rsidP="00612881">
      <w:pPr>
        <w:pStyle w:val="ListParagraph"/>
        <w:numPr>
          <w:ilvl w:val="0"/>
          <w:numId w:val="9"/>
        </w:numPr>
        <w:jc w:val="both"/>
        <w:rPr>
          <w:rFonts w:ascii="Arial" w:hAnsi="Arial" w:cs="Arial"/>
        </w:rPr>
      </w:pPr>
      <w:r>
        <w:rPr>
          <w:rFonts w:ascii="Arial" w:hAnsi="Arial" w:cs="Arial"/>
          <w:b/>
        </w:rPr>
        <w:t xml:space="preserve">Landlord Cancellation Option:  </w:t>
      </w:r>
      <w:r w:rsidR="00665980">
        <w:rPr>
          <w:rFonts w:ascii="Arial" w:hAnsi="Arial" w:cs="Arial"/>
        </w:rPr>
        <w:t xml:space="preserve">If the Landlord has executed the lease, but the County has not executed the lease by December 31, 2019, the Landlord has the option to cancel the lease, rendering the lease void and of no further force and effect. </w:t>
      </w:r>
    </w:p>
    <w:p w14:paraId="5D06BC98" w14:textId="77777777" w:rsidR="007523CF" w:rsidRPr="007523CF" w:rsidRDefault="007523CF" w:rsidP="007523CF">
      <w:pPr>
        <w:jc w:val="both"/>
        <w:rPr>
          <w:rFonts w:ascii="Arial" w:hAnsi="Arial" w:cs="Arial"/>
        </w:rPr>
      </w:pPr>
    </w:p>
    <w:p w14:paraId="667E03AF" w14:textId="10C3C082" w:rsidR="00665980" w:rsidRDefault="00665980" w:rsidP="00612881">
      <w:pPr>
        <w:pStyle w:val="ListParagraph"/>
        <w:numPr>
          <w:ilvl w:val="0"/>
          <w:numId w:val="9"/>
        </w:numPr>
        <w:jc w:val="both"/>
        <w:rPr>
          <w:rFonts w:ascii="Arial" w:hAnsi="Arial" w:cs="Arial"/>
        </w:rPr>
      </w:pPr>
      <w:r w:rsidRPr="003A7D69">
        <w:rPr>
          <w:rFonts w:ascii="Arial" w:hAnsi="Arial" w:cs="Arial"/>
          <w:b/>
        </w:rPr>
        <w:t>Rent:</w:t>
      </w:r>
      <w:r>
        <w:rPr>
          <w:rFonts w:ascii="Arial" w:hAnsi="Arial" w:cs="Arial"/>
        </w:rPr>
        <w:t xml:space="preserve">  $4</w:t>
      </w:r>
      <w:r w:rsidR="007523CF">
        <w:rPr>
          <w:rFonts w:ascii="Arial" w:hAnsi="Arial" w:cs="Arial"/>
        </w:rPr>
        <w:t>,</w:t>
      </w:r>
      <w:r>
        <w:rPr>
          <w:rFonts w:ascii="Arial" w:hAnsi="Arial" w:cs="Arial"/>
        </w:rPr>
        <w:t xml:space="preserve">700 per month, to be increased by 2.5% on the anniversary of the Commencement Date and annually thereafter for the duration of the term and any </w:t>
      </w:r>
      <w:r w:rsidR="003A7D69">
        <w:rPr>
          <w:rFonts w:ascii="Arial" w:hAnsi="Arial" w:cs="Arial"/>
        </w:rPr>
        <w:t>renewal</w:t>
      </w:r>
      <w:r>
        <w:rPr>
          <w:rFonts w:ascii="Arial" w:hAnsi="Arial" w:cs="Arial"/>
        </w:rPr>
        <w:t xml:space="preserve"> terms.  County is to pay any federal, state or local taxes</w:t>
      </w:r>
      <w:r w:rsidR="007523CF">
        <w:rPr>
          <w:rFonts w:ascii="Arial" w:hAnsi="Arial" w:cs="Arial"/>
        </w:rPr>
        <w:t xml:space="preserve"> </w:t>
      </w:r>
      <w:r>
        <w:rPr>
          <w:rFonts w:ascii="Arial" w:hAnsi="Arial" w:cs="Arial"/>
        </w:rPr>
        <w:t xml:space="preserve">attributed to use of the premises.  Late rent incurs interest at a rate of 18% annually prorated on a daily basis, plus a late charge of 3% of total rent due.  </w:t>
      </w:r>
    </w:p>
    <w:p w14:paraId="40BCFDEA" w14:textId="3487552B" w:rsidR="00923EA7" w:rsidRPr="00923EA7" w:rsidRDefault="00923EA7" w:rsidP="00923EA7">
      <w:pPr>
        <w:jc w:val="both"/>
        <w:rPr>
          <w:rFonts w:ascii="Arial" w:hAnsi="Arial" w:cs="Arial"/>
        </w:rPr>
      </w:pPr>
    </w:p>
    <w:p w14:paraId="0B604311" w14:textId="77777777" w:rsidR="00665980" w:rsidRDefault="003A7D69" w:rsidP="00612881">
      <w:pPr>
        <w:pStyle w:val="ListParagraph"/>
        <w:numPr>
          <w:ilvl w:val="0"/>
          <w:numId w:val="9"/>
        </w:numPr>
        <w:jc w:val="both"/>
        <w:rPr>
          <w:rFonts w:ascii="Arial" w:hAnsi="Arial" w:cs="Arial"/>
        </w:rPr>
      </w:pPr>
      <w:r>
        <w:rPr>
          <w:rFonts w:ascii="Arial" w:hAnsi="Arial" w:cs="Arial"/>
          <w:b/>
        </w:rPr>
        <w:t xml:space="preserve">Improvements and Alterations:  </w:t>
      </w:r>
      <w:r w:rsidR="00665980">
        <w:rPr>
          <w:rFonts w:ascii="Arial" w:hAnsi="Arial" w:cs="Arial"/>
        </w:rPr>
        <w:t xml:space="preserve">County is not to make any changes, alterations, additions or improvements without first obtaining written consent of the Landlord, </w:t>
      </w:r>
      <w:r w:rsidR="00665980">
        <w:rPr>
          <w:rFonts w:ascii="Arial" w:hAnsi="Arial" w:cs="Arial"/>
        </w:rPr>
        <w:lastRenderedPageBreak/>
        <w:t xml:space="preserve">which shall not be unreasonably withheld, except that the County may, from time to time, </w:t>
      </w:r>
      <w:r w:rsidR="006717E0">
        <w:rPr>
          <w:rFonts w:ascii="Arial" w:hAnsi="Arial" w:cs="Arial"/>
        </w:rPr>
        <w:t xml:space="preserve">replace or upgrade the Data System equipment without having to obtain the Landlord’s consent, if it can be operated within Building capacities and limitations provided for in the lease.  </w:t>
      </w:r>
    </w:p>
    <w:p w14:paraId="06F9ABA3" w14:textId="77777777" w:rsidR="007523CF" w:rsidRPr="007523CF" w:rsidRDefault="007523CF" w:rsidP="007523CF">
      <w:pPr>
        <w:jc w:val="both"/>
        <w:rPr>
          <w:rFonts w:ascii="Arial" w:hAnsi="Arial" w:cs="Arial"/>
        </w:rPr>
      </w:pPr>
    </w:p>
    <w:p w14:paraId="333A3221" w14:textId="77777777" w:rsidR="006717E0" w:rsidRDefault="003A7D69" w:rsidP="00612881">
      <w:pPr>
        <w:pStyle w:val="ListParagraph"/>
        <w:numPr>
          <w:ilvl w:val="0"/>
          <w:numId w:val="9"/>
        </w:numPr>
        <w:jc w:val="both"/>
        <w:rPr>
          <w:rFonts w:ascii="Arial" w:hAnsi="Arial" w:cs="Arial"/>
        </w:rPr>
      </w:pPr>
      <w:r>
        <w:rPr>
          <w:rFonts w:ascii="Arial" w:hAnsi="Arial" w:cs="Arial"/>
          <w:b/>
        </w:rPr>
        <w:t xml:space="preserve">County Covenants:  </w:t>
      </w:r>
      <w:r w:rsidR="006717E0">
        <w:rPr>
          <w:rFonts w:ascii="Arial" w:hAnsi="Arial" w:cs="Arial"/>
        </w:rPr>
        <w:t xml:space="preserve">County covenants to keep the premises in good order and condition throughout the term of the lease, to promptly report any damage to the premises, to pay the landlord for the cost of repairs for damage </w:t>
      </w:r>
      <w:r w:rsidR="00020159">
        <w:rPr>
          <w:rFonts w:ascii="Arial" w:hAnsi="Arial" w:cs="Arial"/>
        </w:rPr>
        <w:t>caused</w:t>
      </w:r>
      <w:r w:rsidR="006717E0">
        <w:rPr>
          <w:rFonts w:ascii="Arial" w:hAnsi="Arial" w:cs="Arial"/>
        </w:rPr>
        <w:t xml:space="preserve"> by County’s negligence or misconduct.  County is required to maintain commercial general liability insurance and </w:t>
      </w:r>
      <w:r w:rsidR="00020159">
        <w:rPr>
          <w:rFonts w:ascii="Arial" w:hAnsi="Arial" w:cs="Arial"/>
        </w:rPr>
        <w:t>provide</w:t>
      </w:r>
      <w:r w:rsidR="006717E0">
        <w:rPr>
          <w:rFonts w:ascii="Arial" w:hAnsi="Arial" w:cs="Arial"/>
        </w:rPr>
        <w:t xml:space="preserve"> the Landlord with a Certificate of Insurance.  </w:t>
      </w:r>
    </w:p>
    <w:p w14:paraId="5AA1F261" w14:textId="77777777" w:rsidR="007523CF" w:rsidRPr="007523CF" w:rsidRDefault="007523CF" w:rsidP="007523CF">
      <w:pPr>
        <w:jc w:val="both"/>
        <w:rPr>
          <w:rFonts w:ascii="Arial" w:hAnsi="Arial" w:cs="Arial"/>
        </w:rPr>
      </w:pPr>
    </w:p>
    <w:p w14:paraId="11DC5DA4" w14:textId="77777777" w:rsidR="006717E0" w:rsidRDefault="003A7D69" w:rsidP="00612881">
      <w:pPr>
        <w:pStyle w:val="ListParagraph"/>
        <w:numPr>
          <w:ilvl w:val="0"/>
          <w:numId w:val="9"/>
        </w:numPr>
        <w:jc w:val="both"/>
        <w:rPr>
          <w:rFonts w:ascii="Arial" w:hAnsi="Arial" w:cs="Arial"/>
        </w:rPr>
      </w:pPr>
      <w:r>
        <w:rPr>
          <w:rFonts w:ascii="Arial" w:hAnsi="Arial" w:cs="Arial"/>
          <w:b/>
        </w:rPr>
        <w:t xml:space="preserve">Landlord Covenants:  </w:t>
      </w:r>
      <w:r w:rsidR="006717E0">
        <w:rPr>
          <w:rFonts w:ascii="Arial" w:hAnsi="Arial" w:cs="Arial"/>
        </w:rPr>
        <w:t>Landlord covenants to maintain and repair the building, and that landlord will comply with all applicable laws and regulations.</w:t>
      </w:r>
    </w:p>
    <w:p w14:paraId="4E010D5B" w14:textId="77777777" w:rsidR="000F47BE" w:rsidRDefault="000F47BE" w:rsidP="000F47BE">
      <w:pPr>
        <w:jc w:val="both"/>
        <w:rPr>
          <w:rFonts w:ascii="Arial" w:hAnsi="Arial" w:cs="Arial"/>
        </w:rPr>
      </w:pPr>
    </w:p>
    <w:p w14:paraId="196A3F6B" w14:textId="77777777" w:rsidR="000F47BE" w:rsidRPr="000F47BE" w:rsidRDefault="000F47BE" w:rsidP="000F47BE">
      <w:pPr>
        <w:jc w:val="both"/>
        <w:rPr>
          <w:rFonts w:ascii="Arial" w:hAnsi="Arial" w:cs="Arial"/>
        </w:rPr>
      </w:pPr>
      <w:r>
        <w:rPr>
          <w:rFonts w:ascii="Arial" w:hAnsi="Arial" w:cs="Arial"/>
        </w:rPr>
        <w:t>In addition to the above, the lease includes provisions for maintenance, interference, default, labor, provision of services, termination, insurance, assignment,</w:t>
      </w:r>
      <w:r w:rsidR="009E43C1">
        <w:rPr>
          <w:rFonts w:ascii="Arial" w:hAnsi="Arial" w:cs="Arial"/>
        </w:rPr>
        <w:t xml:space="preserve"> utilities,</w:t>
      </w:r>
      <w:r>
        <w:rPr>
          <w:rFonts w:ascii="Arial" w:hAnsi="Arial" w:cs="Arial"/>
        </w:rPr>
        <w:t xml:space="preserve"> compliance with laws, governing law, entire agreement, counterparts, amendments, notices, hazardous materials, relocation or </w:t>
      </w:r>
      <w:r w:rsidR="009A1669">
        <w:rPr>
          <w:rFonts w:ascii="Arial" w:hAnsi="Arial" w:cs="Arial"/>
        </w:rPr>
        <w:t>termination</w:t>
      </w:r>
      <w:r>
        <w:rPr>
          <w:rFonts w:ascii="Arial" w:hAnsi="Arial" w:cs="Arial"/>
        </w:rPr>
        <w:t xml:space="preserve">, and miscellaneous provision.  </w:t>
      </w:r>
    </w:p>
    <w:p w14:paraId="3C0F5C82" w14:textId="77777777" w:rsidR="00666F53" w:rsidRDefault="00666F53" w:rsidP="00666F53">
      <w:pPr>
        <w:jc w:val="both"/>
        <w:rPr>
          <w:rFonts w:ascii="Arial" w:hAnsi="Arial" w:cs="Arial"/>
        </w:rPr>
      </w:pPr>
    </w:p>
    <w:p w14:paraId="345CBA66" w14:textId="77777777" w:rsidR="00666F53" w:rsidRDefault="00666F53" w:rsidP="00666F53">
      <w:pPr>
        <w:jc w:val="both"/>
        <w:rPr>
          <w:rFonts w:ascii="Arial" w:hAnsi="Arial" w:cs="Arial"/>
          <w:b/>
          <w:smallCaps/>
          <w:szCs w:val="24"/>
          <w:u w:val="single"/>
        </w:rPr>
      </w:pPr>
      <w:r>
        <w:rPr>
          <w:rFonts w:ascii="Arial" w:hAnsi="Arial" w:cs="Arial"/>
          <w:b/>
          <w:smallCaps/>
          <w:szCs w:val="24"/>
          <w:u w:val="single"/>
        </w:rPr>
        <w:t>ANALYSIS</w:t>
      </w:r>
    </w:p>
    <w:p w14:paraId="6467A65B" w14:textId="77777777" w:rsidR="007523CF" w:rsidRDefault="007523CF" w:rsidP="007523CF">
      <w:pPr>
        <w:jc w:val="both"/>
        <w:rPr>
          <w:rFonts w:ascii="Arial" w:hAnsi="Arial" w:cs="Arial"/>
        </w:rPr>
      </w:pPr>
    </w:p>
    <w:p w14:paraId="7765DFF3" w14:textId="77777777" w:rsidR="007523CF" w:rsidRPr="00F81AD6" w:rsidRDefault="007523CF" w:rsidP="007523CF">
      <w:pPr>
        <w:jc w:val="both"/>
        <w:rPr>
          <w:rFonts w:ascii="Arial" w:hAnsi="Arial" w:cs="Arial"/>
        </w:rPr>
      </w:pPr>
      <w:r>
        <w:rPr>
          <w:rFonts w:ascii="Arial" w:hAnsi="Arial" w:cs="Arial"/>
        </w:rPr>
        <w:t>Proposed Ordinance 2019-0396 was transmitted to Council pursuant to King County Code 4A.100.070</w:t>
      </w:r>
      <w:r w:rsidR="00FB7B09">
        <w:rPr>
          <w:rFonts w:ascii="Arial" w:hAnsi="Arial" w:cs="Arial"/>
        </w:rPr>
        <w:t xml:space="preserve"> and the proposed ordinance would authorize the Executive to execute the lease agreement. </w:t>
      </w:r>
    </w:p>
    <w:p w14:paraId="1A4D66E3" w14:textId="77777777" w:rsidR="00666F53" w:rsidRDefault="00666F53" w:rsidP="00666F53">
      <w:pPr>
        <w:jc w:val="both"/>
        <w:rPr>
          <w:rFonts w:ascii="Arial" w:hAnsi="Arial" w:cs="Arial"/>
        </w:rPr>
      </w:pPr>
    </w:p>
    <w:p w14:paraId="2670E4D0" w14:textId="77777777" w:rsidR="00FB7B09" w:rsidRPr="00FB7B09" w:rsidRDefault="00FB7B09" w:rsidP="00666F53">
      <w:pPr>
        <w:jc w:val="both"/>
        <w:rPr>
          <w:rFonts w:ascii="Arial" w:hAnsi="Arial" w:cs="Arial"/>
          <w:b/>
          <w:i/>
        </w:rPr>
      </w:pPr>
      <w:r w:rsidRPr="00FB7B09">
        <w:rPr>
          <w:rFonts w:ascii="Arial" w:hAnsi="Arial" w:cs="Arial"/>
          <w:b/>
          <w:i/>
        </w:rPr>
        <w:t>Alternative Analysis</w:t>
      </w:r>
    </w:p>
    <w:p w14:paraId="5406CAF1" w14:textId="77777777" w:rsidR="009A1669" w:rsidRDefault="009A1669" w:rsidP="00666F53">
      <w:pPr>
        <w:jc w:val="both"/>
        <w:rPr>
          <w:rFonts w:ascii="Arial" w:hAnsi="Arial" w:cs="Arial"/>
        </w:rPr>
      </w:pPr>
      <w:r>
        <w:rPr>
          <w:rFonts w:ascii="Arial" w:hAnsi="Arial" w:cs="Arial"/>
        </w:rPr>
        <w:t xml:space="preserve">The proposed lease agreement supports critical county telecommunications services in a location that provides access to the County’s data center at the </w:t>
      </w:r>
      <w:proofErr w:type="spellStart"/>
      <w:r>
        <w:rPr>
          <w:rFonts w:ascii="Arial" w:hAnsi="Arial" w:cs="Arial"/>
        </w:rPr>
        <w:t>Sabey</w:t>
      </w:r>
      <w:proofErr w:type="spellEnd"/>
      <w:r>
        <w:rPr>
          <w:rFonts w:ascii="Arial" w:hAnsi="Arial" w:cs="Arial"/>
        </w:rPr>
        <w:t xml:space="preserve"> Center in south Seattle.  In describing the Lease Alternatives Analysis for this agreement, the Executive indicates that </w:t>
      </w:r>
      <w:r w:rsidR="00511313">
        <w:rPr>
          <w:rFonts w:ascii="Arial" w:hAnsi="Arial" w:cs="Arial"/>
        </w:rPr>
        <w:t>the existing leased site is a long term King County fi</w:t>
      </w:r>
      <w:r w:rsidR="00C114B5">
        <w:rPr>
          <w:rFonts w:ascii="Arial" w:hAnsi="Arial" w:cs="Arial"/>
        </w:rPr>
        <w:t>b</w:t>
      </w:r>
      <w:r w:rsidR="00511313">
        <w:rPr>
          <w:rFonts w:ascii="Arial" w:hAnsi="Arial" w:cs="Arial"/>
        </w:rPr>
        <w:t xml:space="preserve">er infrastructure location, and that relocation of the leased space would potentially require changing KCIT Internet Service Provider contracts and substantial capital investment.  The existing lease expired several years ago; the Executive indicates that a personnel shortage in the Leasing unit of the Facilities Management Division resulted in the delay in completing the lease agreement. The landlord has demonstrated flexibility with the County in opting not to trigger “holdover” penalties that would otherwise be due.  It appears that this facility provides a needed service to the County in providing redundancy for critical telecommunications functions. </w:t>
      </w:r>
      <w:r>
        <w:rPr>
          <w:rFonts w:ascii="Arial" w:hAnsi="Arial" w:cs="Arial"/>
        </w:rPr>
        <w:t xml:space="preserve"> </w:t>
      </w:r>
    </w:p>
    <w:p w14:paraId="23A44F0D" w14:textId="77777777" w:rsidR="007523CF" w:rsidRDefault="007523CF" w:rsidP="007523CF">
      <w:pPr>
        <w:jc w:val="both"/>
        <w:rPr>
          <w:rFonts w:ascii="Arial" w:hAnsi="Arial" w:cs="Arial"/>
        </w:rPr>
      </w:pPr>
    </w:p>
    <w:p w14:paraId="717974D8" w14:textId="77777777" w:rsidR="00FB7B09" w:rsidRPr="00FB7B09" w:rsidRDefault="00FB7B09" w:rsidP="007523CF">
      <w:pPr>
        <w:jc w:val="both"/>
        <w:rPr>
          <w:rFonts w:ascii="Arial" w:hAnsi="Arial" w:cs="Arial"/>
          <w:b/>
          <w:i/>
        </w:rPr>
      </w:pPr>
      <w:r w:rsidRPr="00FB7B09">
        <w:rPr>
          <w:rFonts w:ascii="Arial" w:hAnsi="Arial" w:cs="Arial"/>
          <w:b/>
          <w:i/>
        </w:rPr>
        <w:t>Legal Review</w:t>
      </w:r>
    </w:p>
    <w:p w14:paraId="5B847B7A" w14:textId="77777777" w:rsidR="007523CF" w:rsidRDefault="007523CF" w:rsidP="007523CF">
      <w:pPr>
        <w:jc w:val="both"/>
        <w:rPr>
          <w:rFonts w:ascii="Arial" w:hAnsi="Arial" w:cs="Arial"/>
        </w:rPr>
      </w:pPr>
      <w:r>
        <w:rPr>
          <w:rFonts w:ascii="Arial" w:hAnsi="Arial" w:cs="Arial"/>
        </w:rPr>
        <w:t xml:space="preserve">Legal review has been completed on this proposed agreement.  Legal counsel noted that the lease includes language regarding utilities which may be inconsistent, that could be revised through an amendment; but that an accepted legal maxim privileging specific language over general in the instance of a conflict would address this concern, so amending the measure would be </w:t>
      </w:r>
      <w:r w:rsidR="00FB7B09">
        <w:rPr>
          <w:rFonts w:ascii="Arial" w:hAnsi="Arial" w:cs="Arial"/>
        </w:rPr>
        <w:t>an</w:t>
      </w:r>
      <w:r>
        <w:rPr>
          <w:rFonts w:ascii="Arial" w:hAnsi="Arial" w:cs="Arial"/>
        </w:rPr>
        <w:t xml:space="preserve"> option.  Otherwise, counsel indicates that the language of t</w:t>
      </w:r>
      <w:r w:rsidR="00FB7B09">
        <w:rPr>
          <w:rFonts w:ascii="Arial" w:hAnsi="Arial" w:cs="Arial"/>
        </w:rPr>
        <w:t>he agreement appears workable.</w:t>
      </w:r>
    </w:p>
    <w:p w14:paraId="0481DEA6" w14:textId="22D39DBD" w:rsidR="007523CF" w:rsidRDefault="007523CF" w:rsidP="00666F53">
      <w:pPr>
        <w:jc w:val="both"/>
        <w:rPr>
          <w:rFonts w:ascii="Arial" w:hAnsi="Arial" w:cs="Arial"/>
        </w:rPr>
      </w:pPr>
    </w:p>
    <w:p w14:paraId="2B571103" w14:textId="77777777" w:rsidR="00E42E21" w:rsidRDefault="00E42E21" w:rsidP="00666F53">
      <w:pPr>
        <w:jc w:val="both"/>
        <w:rPr>
          <w:rFonts w:ascii="Arial" w:hAnsi="Arial" w:cs="Arial"/>
        </w:rPr>
      </w:pPr>
      <w:bookmarkStart w:id="0" w:name="_GoBack"/>
      <w:bookmarkEnd w:id="0"/>
    </w:p>
    <w:p w14:paraId="0F6B66F4" w14:textId="56D99375" w:rsidR="00DE28A7" w:rsidRPr="00DE28A7" w:rsidRDefault="00DE28A7" w:rsidP="00666F53">
      <w:pPr>
        <w:jc w:val="both"/>
        <w:rPr>
          <w:rFonts w:ascii="Arial" w:hAnsi="Arial" w:cs="Arial"/>
          <w:b/>
          <w:i/>
        </w:rPr>
      </w:pPr>
      <w:r w:rsidRPr="00DE28A7">
        <w:rPr>
          <w:rFonts w:ascii="Arial" w:hAnsi="Arial" w:cs="Arial"/>
          <w:b/>
          <w:i/>
        </w:rPr>
        <w:lastRenderedPageBreak/>
        <w:t>Fiscal Analysis</w:t>
      </w:r>
    </w:p>
    <w:p w14:paraId="05474C4B" w14:textId="77777777" w:rsidR="007523CF" w:rsidRPr="00FA5B91" w:rsidRDefault="007523CF" w:rsidP="007523CF">
      <w:pPr>
        <w:jc w:val="both"/>
        <w:rPr>
          <w:rFonts w:ascii="Arial" w:hAnsi="Arial" w:cs="Arial"/>
        </w:rPr>
      </w:pPr>
      <w:r>
        <w:rPr>
          <w:rFonts w:ascii="Arial" w:hAnsi="Arial" w:cs="Arial"/>
        </w:rPr>
        <w:t>Table 1</w:t>
      </w:r>
      <w:r w:rsidRPr="00FA5B91">
        <w:rPr>
          <w:rFonts w:ascii="Arial" w:hAnsi="Arial" w:cs="Arial"/>
        </w:rPr>
        <w:t xml:space="preserve"> below estimates the financial impacts of the proposed lease for the 2019-2020 biennium and future biennia. </w:t>
      </w:r>
      <w:r>
        <w:rPr>
          <w:rFonts w:ascii="Arial" w:hAnsi="Arial" w:cs="Arial"/>
        </w:rPr>
        <w:t xml:space="preserve"> </w:t>
      </w:r>
      <w:r w:rsidRPr="00FA5B91">
        <w:rPr>
          <w:rFonts w:ascii="Arial" w:hAnsi="Arial" w:cs="Arial"/>
        </w:rPr>
        <w:t xml:space="preserve">As indicated in the fiscal note, the cost of the proposed lease has been included in </w:t>
      </w:r>
      <w:r>
        <w:rPr>
          <w:rFonts w:ascii="Arial" w:hAnsi="Arial" w:cs="Arial"/>
        </w:rPr>
        <w:t xml:space="preserve">the </w:t>
      </w:r>
      <w:r w:rsidRPr="00FA5B91">
        <w:rPr>
          <w:rFonts w:ascii="Arial" w:hAnsi="Arial" w:cs="Arial"/>
        </w:rPr>
        <w:t>2019-2020 Bienni</w:t>
      </w:r>
      <w:r>
        <w:rPr>
          <w:rFonts w:ascii="Arial" w:hAnsi="Arial" w:cs="Arial"/>
        </w:rPr>
        <w:t>al</w:t>
      </w:r>
      <w:r w:rsidRPr="00FA5B91">
        <w:rPr>
          <w:rFonts w:ascii="Arial" w:hAnsi="Arial" w:cs="Arial"/>
        </w:rPr>
        <w:t xml:space="preserve"> Adopted Budget, so no corresponding appropriation request was transmitted with </w:t>
      </w:r>
      <w:r>
        <w:rPr>
          <w:rFonts w:ascii="Arial" w:hAnsi="Arial" w:cs="Arial"/>
        </w:rPr>
        <w:t>this</w:t>
      </w:r>
      <w:r w:rsidRPr="00FA5B91">
        <w:rPr>
          <w:rFonts w:ascii="Arial" w:hAnsi="Arial" w:cs="Arial"/>
        </w:rPr>
        <w:t xml:space="preserve"> proposed ordinance. </w:t>
      </w:r>
    </w:p>
    <w:p w14:paraId="1B467F63" w14:textId="77777777" w:rsidR="007523CF" w:rsidRPr="00126597" w:rsidRDefault="007523CF" w:rsidP="007523CF">
      <w:pPr>
        <w:jc w:val="both"/>
        <w:rPr>
          <w:rFonts w:ascii="Arial" w:hAnsi="Arial" w:cs="Arial"/>
          <w:color w:val="FF0000"/>
        </w:rPr>
      </w:pPr>
    </w:p>
    <w:p w14:paraId="7A91BDE5" w14:textId="77777777" w:rsidR="007523CF" w:rsidRPr="00FA5B91" w:rsidRDefault="007523CF" w:rsidP="007523CF">
      <w:pPr>
        <w:jc w:val="center"/>
        <w:rPr>
          <w:rFonts w:ascii="Arial" w:hAnsi="Arial" w:cs="Arial"/>
          <w:b/>
        </w:rPr>
      </w:pPr>
      <w:r>
        <w:rPr>
          <w:rFonts w:ascii="Arial" w:hAnsi="Arial" w:cs="Arial"/>
          <w:b/>
        </w:rPr>
        <w:t>Table 1</w:t>
      </w:r>
      <w:r w:rsidRPr="00FA5B91">
        <w:rPr>
          <w:rFonts w:ascii="Arial" w:hAnsi="Arial" w:cs="Arial"/>
          <w:b/>
        </w:rPr>
        <w:t xml:space="preserve">. Fiscal Impacts of Proposed Ordinance </w:t>
      </w:r>
      <w:r>
        <w:rPr>
          <w:rFonts w:ascii="Arial" w:hAnsi="Arial" w:cs="Arial"/>
          <w:b/>
        </w:rPr>
        <w:t>2019-0396</w:t>
      </w:r>
    </w:p>
    <w:tbl>
      <w:tblPr>
        <w:tblStyle w:val="TableGrid"/>
        <w:tblW w:w="0" w:type="auto"/>
        <w:tblLook w:val="04A0" w:firstRow="1" w:lastRow="0" w:firstColumn="1" w:lastColumn="0" w:noHBand="0" w:noVBand="1"/>
      </w:tblPr>
      <w:tblGrid>
        <w:gridCol w:w="3117"/>
        <w:gridCol w:w="3119"/>
        <w:gridCol w:w="3114"/>
      </w:tblGrid>
      <w:tr w:rsidR="007523CF" w:rsidRPr="00126597" w14:paraId="2F644A83" w14:textId="77777777" w:rsidTr="00F068AF">
        <w:tc>
          <w:tcPr>
            <w:tcW w:w="3192" w:type="dxa"/>
            <w:shd w:val="clear" w:color="auto" w:fill="000000" w:themeFill="text1"/>
          </w:tcPr>
          <w:p w14:paraId="442EFE97" w14:textId="77777777" w:rsidR="007523CF" w:rsidRDefault="007523CF" w:rsidP="00F068AF">
            <w:pPr>
              <w:jc w:val="center"/>
              <w:rPr>
                <w:rFonts w:ascii="Arial" w:hAnsi="Arial" w:cs="Arial"/>
                <w:b/>
                <w:color w:val="FFFFFF" w:themeColor="background1"/>
                <w:sz w:val="22"/>
                <w:szCs w:val="22"/>
              </w:rPr>
            </w:pPr>
            <w:r w:rsidRPr="001915BF">
              <w:rPr>
                <w:rFonts w:ascii="Arial" w:hAnsi="Arial" w:cs="Arial"/>
                <w:b/>
                <w:color w:val="FFFFFF" w:themeColor="background1"/>
                <w:sz w:val="22"/>
                <w:szCs w:val="22"/>
              </w:rPr>
              <w:t>2019-2020</w:t>
            </w:r>
          </w:p>
          <w:p w14:paraId="59E9BF32" w14:textId="77777777" w:rsidR="007523CF" w:rsidRPr="00F847DA" w:rsidRDefault="007523CF" w:rsidP="00F068AF">
            <w:pPr>
              <w:jc w:val="center"/>
              <w:rPr>
                <w:rFonts w:ascii="Arial" w:hAnsi="Arial" w:cs="Arial"/>
                <w:i/>
                <w:color w:val="FFFFFF" w:themeColor="background1"/>
                <w:sz w:val="22"/>
                <w:szCs w:val="22"/>
              </w:rPr>
            </w:pPr>
          </w:p>
        </w:tc>
        <w:tc>
          <w:tcPr>
            <w:tcW w:w="3192" w:type="dxa"/>
            <w:shd w:val="clear" w:color="auto" w:fill="000000" w:themeFill="text1"/>
          </w:tcPr>
          <w:p w14:paraId="7758C0EB" w14:textId="77777777" w:rsidR="007523CF" w:rsidRPr="001915BF" w:rsidRDefault="007523CF" w:rsidP="00F068AF">
            <w:pPr>
              <w:jc w:val="center"/>
              <w:rPr>
                <w:rFonts w:ascii="Arial" w:hAnsi="Arial" w:cs="Arial"/>
                <w:color w:val="FFFFFF" w:themeColor="background1"/>
                <w:sz w:val="22"/>
                <w:szCs w:val="22"/>
              </w:rPr>
            </w:pPr>
            <w:r w:rsidRPr="001915BF">
              <w:rPr>
                <w:rFonts w:ascii="Arial" w:hAnsi="Arial" w:cs="Arial"/>
                <w:b/>
                <w:color w:val="FFFFFF" w:themeColor="background1"/>
                <w:sz w:val="22"/>
                <w:szCs w:val="22"/>
              </w:rPr>
              <w:t>2021-2022</w:t>
            </w:r>
          </w:p>
        </w:tc>
        <w:tc>
          <w:tcPr>
            <w:tcW w:w="3192" w:type="dxa"/>
            <w:shd w:val="clear" w:color="auto" w:fill="000000" w:themeFill="text1"/>
          </w:tcPr>
          <w:p w14:paraId="22EDFCD2" w14:textId="77777777" w:rsidR="007523CF" w:rsidRPr="001915BF" w:rsidRDefault="007523CF" w:rsidP="00F068AF">
            <w:pPr>
              <w:jc w:val="center"/>
              <w:rPr>
                <w:rFonts w:ascii="Arial" w:hAnsi="Arial" w:cs="Arial"/>
                <w:b/>
                <w:color w:val="FFFFFF" w:themeColor="background1"/>
                <w:sz w:val="22"/>
                <w:szCs w:val="22"/>
              </w:rPr>
            </w:pPr>
            <w:r>
              <w:rPr>
                <w:rFonts w:ascii="Arial" w:hAnsi="Arial" w:cs="Arial"/>
                <w:b/>
                <w:color w:val="FFFFFF" w:themeColor="background1"/>
                <w:sz w:val="22"/>
                <w:szCs w:val="22"/>
              </w:rPr>
              <w:t>2023-2024</w:t>
            </w:r>
          </w:p>
          <w:p w14:paraId="1F08CB19" w14:textId="77777777" w:rsidR="007523CF" w:rsidRPr="001915BF" w:rsidRDefault="007523CF" w:rsidP="00F068AF">
            <w:pPr>
              <w:jc w:val="center"/>
              <w:rPr>
                <w:rFonts w:ascii="Arial" w:hAnsi="Arial" w:cs="Arial"/>
                <w:color w:val="FFFFFF" w:themeColor="background1"/>
                <w:sz w:val="22"/>
                <w:szCs w:val="22"/>
              </w:rPr>
            </w:pPr>
          </w:p>
        </w:tc>
      </w:tr>
      <w:tr w:rsidR="007523CF" w:rsidRPr="00126597" w14:paraId="21A97352" w14:textId="77777777" w:rsidTr="00F068AF">
        <w:trPr>
          <w:trHeight w:val="368"/>
        </w:trPr>
        <w:tc>
          <w:tcPr>
            <w:tcW w:w="3192" w:type="dxa"/>
            <w:vAlign w:val="center"/>
          </w:tcPr>
          <w:p w14:paraId="358B418E" w14:textId="77777777" w:rsidR="007523CF" w:rsidRPr="00F847DA" w:rsidRDefault="007523CF" w:rsidP="007523CF">
            <w:pPr>
              <w:jc w:val="center"/>
              <w:rPr>
                <w:rFonts w:ascii="Arial" w:hAnsi="Arial" w:cs="Arial"/>
                <w:sz w:val="22"/>
                <w:szCs w:val="22"/>
              </w:rPr>
            </w:pPr>
            <w:r w:rsidRPr="00F847DA">
              <w:rPr>
                <w:rFonts w:ascii="Arial" w:hAnsi="Arial" w:cs="Arial"/>
                <w:sz w:val="22"/>
                <w:szCs w:val="22"/>
              </w:rPr>
              <w:t>$</w:t>
            </w:r>
            <w:r>
              <w:rPr>
                <w:rFonts w:ascii="Arial" w:hAnsi="Arial" w:cs="Arial"/>
                <w:sz w:val="22"/>
                <w:szCs w:val="22"/>
              </w:rPr>
              <w:t>80,488</w:t>
            </w:r>
            <w:r>
              <w:rPr>
                <w:rStyle w:val="FootnoteReference"/>
                <w:rFonts w:ascii="Arial" w:hAnsi="Arial" w:cs="Arial"/>
                <w:sz w:val="22"/>
                <w:szCs w:val="22"/>
              </w:rPr>
              <w:footnoteReference w:id="1"/>
            </w:r>
          </w:p>
        </w:tc>
        <w:tc>
          <w:tcPr>
            <w:tcW w:w="3192" w:type="dxa"/>
            <w:vAlign w:val="center"/>
          </w:tcPr>
          <w:p w14:paraId="3A5EC6BE" w14:textId="77777777" w:rsidR="007523CF" w:rsidRPr="00F847DA" w:rsidRDefault="007523CF" w:rsidP="007523CF">
            <w:pPr>
              <w:jc w:val="center"/>
              <w:rPr>
                <w:rFonts w:ascii="Arial" w:hAnsi="Arial" w:cs="Arial"/>
                <w:sz w:val="22"/>
                <w:szCs w:val="22"/>
              </w:rPr>
            </w:pPr>
            <w:r w:rsidRPr="00F847DA">
              <w:rPr>
                <w:rFonts w:ascii="Arial" w:hAnsi="Arial" w:cs="Arial"/>
                <w:sz w:val="22"/>
                <w:szCs w:val="22"/>
              </w:rPr>
              <w:t>$</w:t>
            </w:r>
            <w:r>
              <w:rPr>
                <w:rFonts w:ascii="Arial" w:hAnsi="Arial" w:cs="Arial"/>
                <w:sz w:val="22"/>
                <w:szCs w:val="22"/>
              </w:rPr>
              <w:t>118,284</w:t>
            </w:r>
          </w:p>
        </w:tc>
        <w:tc>
          <w:tcPr>
            <w:tcW w:w="3192" w:type="dxa"/>
            <w:vAlign w:val="center"/>
          </w:tcPr>
          <w:p w14:paraId="60FB3EEA" w14:textId="77777777" w:rsidR="007523CF" w:rsidRPr="00F847DA" w:rsidRDefault="007523CF" w:rsidP="007523CF">
            <w:pPr>
              <w:jc w:val="center"/>
              <w:rPr>
                <w:rFonts w:ascii="Arial" w:hAnsi="Arial" w:cs="Arial"/>
                <w:sz w:val="22"/>
                <w:szCs w:val="22"/>
              </w:rPr>
            </w:pPr>
            <w:r w:rsidRPr="00F847DA">
              <w:rPr>
                <w:rFonts w:ascii="Arial" w:hAnsi="Arial" w:cs="Arial"/>
                <w:sz w:val="22"/>
                <w:szCs w:val="22"/>
              </w:rPr>
              <w:t>$</w:t>
            </w:r>
            <w:r>
              <w:rPr>
                <w:rFonts w:ascii="Arial" w:hAnsi="Arial" w:cs="Arial"/>
                <w:sz w:val="22"/>
                <w:szCs w:val="22"/>
              </w:rPr>
              <w:t>97,684</w:t>
            </w:r>
          </w:p>
        </w:tc>
      </w:tr>
    </w:tbl>
    <w:p w14:paraId="5CEFEE75" w14:textId="77777777" w:rsidR="00923EA7" w:rsidRDefault="00923EA7" w:rsidP="00FB7B09">
      <w:pPr>
        <w:jc w:val="both"/>
        <w:rPr>
          <w:rFonts w:ascii="Arial" w:hAnsi="Arial" w:cs="Arial"/>
          <w:b/>
          <w:i/>
        </w:rPr>
      </w:pPr>
    </w:p>
    <w:p w14:paraId="022902A6" w14:textId="46DB0F8A" w:rsidR="00FB7B09" w:rsidRPr="00FB7B09" w:rsidRDefault="00FB7B09" w:rsidP="00FB7B09">
      <w:pPr>
        <w:jc w:val="both"/>
        <w:rPr>
          <w:rFonts w:ascii="Arial" w:hAnsi="Arial" w:cs="Arial"/>
          <w:b/>
          <w:i/>
        </w:rPr>
      </w:pPr>
      <w:r w:rsidRPr="00FB7B09">
        <w:rPr>
          <w:rFonts w:ascii="Arial" w:hAnsi="Arial" w:cs="Arial"/>
          <w:b/>
          <w:i/>
        </w:rPr>
        <w:t>Timing</w:t>
      </w:r>
    </w:p>
    <w:p w14:paraId="7A574EAD" w14:textId="398D4FCB" w:rsidR="00FB7B09" w:rsidRDefault="00FB7B09" w:rsidP="00FB7B09">
      <w:pPr>
        <w:jc w:val="both"/>
        <w:rPr>
          <w:rFonts w:ascii="Arial" w:hAnsi="Arial" w:cs="Arial"/>
        </w:rPr>
      </w:pPr>
      <w:r>
        <w:rPr>
          <w:rFonts w:ascii="Arial" w:hAnsi="Arial" w:cs="Arial"/>
        </w:rPr>
        <w:t xml:space="preserve">Of particular note is the Landlord Cancellation Option, above; if the County doesn’t execute the lease by December 31, 2019, the landlord can cancel the agreement.  Committee action </w:t>
      </w:r>
      <w:r w:rsidR="00BC1707">
        <w:rPr>
          <w:rFonts w:ascii="Arial" w:hAnsi="Arial" w:cs="Arial"/>
        </w:rPr>
        <w:t>at today’s meeting (November 12</w:t>
      </w:r>
      <w:r w:rsidR="00BC1707" w:rsidRPr="00BC1707">
        <w:rPr>
          <w:rFonts w:ascii="Arial" w:hAnsi="Arial" w:cs="Arial"/>
          <w:vertAlign w:val="superscript"/>
        </w:rPr>
        <w:t>th</w:t>
      </w:r>
      <w:r w:rsidR="00BC1707">
        <w:rPr>
          <w:rFonts w:ascii="Arial" w:hAnsi="Arial" w:cs="Arial"/>
        </w:rPr>
        <w:t xml:space="preserve">) with </w:t>
      </w:r>
      <w:r>
        <w:rPr>
          <w:rFonts w:ascii="Arial" w:hAnsi="Arial" w:cs="Arial"/>
        </w:rPr>
        <w:t xml:space="preserve">Council action on November </w:t>
      </w:r>
      <w:r w:rsidR="00BC1707">
        <w:rPr>
          <w:rFonts w:ascii="Arial" w:hAnsi="Arial" w:cs="Arial"/>
        </w:rPr>
        <w:t>20</w:t>
      </w:r>
      <w:r w:rsidR="00BC1707" w:rsidRPr="00BC1707">
        <w:rPr>
          <w:rFonts w:ascii="Arial" w:hAnsi="Arial" w:cs="Arial"/>
          <w:vertAlign w:val="superscript"/>
        </w:rPr>
        <w:t>th</w:t>
      </w:r>
      <w:r>
        <w:rPr>
          <w:rFonts w:ascii="Arial" w:hAnsi="Arial" w:cs="Arial"/>
        </w:rPr>
        <w:t>, would allow for execution of the agreement by the County by the required date.</w:t>
      </w:r>
    </w:p>
    <w:p w14:paraId="027241C8" w14:textId="77777777" w:rsidR="00666F53" w:rsidRDefault="00666F53" w:rsidP="00666F53">
      <w:pPr>
        <w:pStyle w:val="BodyText"/>
        <w:jc w:val="both"/>
        <w:rPr>
          <w:rFonts w:ascii="Arial" w:hAnsi="Arial" w:cs="Arial"/>
          <w:i w:val="0"/>
          <w:szCs w:val="24"/>
        </w:rPr>
      </w:pPr>
    </w:p>
    <w:p w14:paraId="745254AB" w14:textId="77777777" w:rsidR="00666F53" w:rsidRPr="001C4B19" w:rsidRDefault="00666F53" w:rsidP="00666F53">
      <w:pPr>
        <w:jc w:val="both"/>
        <w:rPr>
          <w:rFonts w:ascii="Arial" w:hAnsi="Arial" w:cs="Arial"/>
          <w:b/>
          <w:szCs w:val="24"/>
          <w:u w:val="single"/>
        </w:rPr>
      </w:pPr>
      <w:r w:rsidRPr="001C4B19">
        <w:rPr>
          <w:rFonts w:ascii="Arial" w:hAnsi="Arial" w:cs="Arial"/>
          <w:b/>
          <w:szCs w:val="24"/>
          <w:u w:val="single"/>
        </w:rPr>
        <w:t>INVITED</w:t>
      </w:r>
    </w:p>
    <w:p w14:paraId="15871B1D" w14:textId="77777777" w:rsidR="00666F53" w:rsidRPr="001C4B19" w:rsidRDefault="00666F53" w:rsidP="00666F53">
      <w:pPr>
        <w:jc w:val="both"/>
        <w:rPr>
          <w:rFonts w:ascii="Arial" w:hAnsi="Arial" w:cs="Arial"/>
          <w:szCs w:val="24"/>
        </w:rPr>
      </w:pPr>
    </w:p>
    <w:p w14:paraId="7B27DCCE" w14:textId="77777777" w:rsidR="00666F53" w:rsidRDefault="00C114B5" w:rsidP="00666F53">
      <w:pPr>
        <w:pStyle w:val="ListParagraph"/>
        <w:numPr>
          <w:ilvl w:val="0"/>
          <w:numId w:val="7"/>
        </w:numPr>
        <w:spacing w:line="240" w:lineRule="auto"/>
        <w:jc w:val="both"/>
        <w:rPr>
          <w:rFonts w:ascii="Arial" w:hAnsi="Arial" w:cs="Arial"/>
        </w:rPr>
      </w:pPr>
      <w:r>
        <w:rPr>
          <w:rFonts w:ascii="Arial" w:hAnsi="Arial" w:cs="Arial"/>
        </w:rPr>
        <w:t>Anthony Wright, Director, Facilities Management Division</w:t>
      </w:r>
    </w:p>
    <w:p w14:paraId="434ED0A8" w14:textId="77777777" w:rsidR="00666F53" w:rsidRPr="001C4B19" w:rsidRDefault="00666F53" w:rsidP="00666F53">
      <w:pPr>
        <w:pStyle w:val="BodyText"/>
        <w:jc w:val="both"/>
        <w:rPr>
          <w:rFonts w:ascii="Arial" w:hAnsi="Arial" w:cs="Arial"/>
          <w:i w:val="0"/>
          <w:szCs w:val="24"/>
        </w:rPr>
      </w:pPr>
    </w:p>
    <w:p w14:paraId="41A7A6C1" w14:textId="77777777" w:rsidR="00666F53" w:rsidRPr="001C4B19" w:rsidRDefault="00666F53" w:rsidP="00666F53">
      <w:pPr>
        <w:pStyle w:val="BodyText"/>
        <w:jc w:val="both"/>
        <w:rPr>
          <w:rFonts w:ascii="Arial" w:hAnsi="Arial" w:cs="Arial"/>
          <w:i w:val="0"/>
          <w:szCs w:val="24"/>
        </w:rPr>
      </w:pPr>
      <w:r w:rsidRPr="001C4B19">
        <w:rPr>
          <w:rFonts w:ascii="Arial" w:hAnsi="Arial" w:cs="Arial"/>
          <w:b/>
          <w:i w:val="0"/>
          <w:szCs w:val="24"/>
          <w:u w:val="single"/>
        </w:rPr>
        <w:t>ATTACHMENTS</w:t>
      </w:r>
    </w:p>
    <w:p w14:paraId="57B51F44" w14:textId="77777777" w:rsidR="00666F53" w:rsidRPr="001C4B19" w:rsidRDefault="00666F53" w:rsidP="00666F53">
      <w:pPr>
        <w:pStyle w:val="BodyText"/>
        <w:jc w:val="both"/>
        <w:rPr>
          <w:rFonts w:ascii="Arial" w:hAnsi="Arial" w:cs="Arial"/>
          <w:i w:val="0"/>
          <w:szCs w:val="24"/>
        </w:rPr>
      </w:pPr>
    </w:p>
    <w:p w14:paraId="5A7D55C8" w14:textId="77777777" w:rsidR="00666F53" w:rsidRDefault="00666F53" w:rsidP="00666F53">
      <w:pPr>
        <w:pStyle w:val="BodyText"/>
        <w:numPr>
          <w:ilvl w:val="0"/>
          <w:numId w:val="4"/>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Ordinance/Motion 2019-</w:t>
      </w:r>
      <w:r w:rsidRPr="001C4B19">
        <w:rPr>
          <w:rFonts w:ascii="Arial" w:hAnsi="Arial" w:cs="Arial"/>
          <w:i w:val="0"/>
          <w:szCs w:val="24"/>
        </w:rPr>
        <w:t>0</w:t>
      </w:r>
      <w:r w:rsidR="003A7D69">
        <w:rPr>
          <w:rFonts w:ascii="Arial" w:hAnsi="Arial" w:cs="Arial"/>
          <w:i w:val="0"/>
          <w:szCs w:val="24"/>
        </w:rPr>
        <w:t>396</w:t>
      </w:r>
      <w:r w:rsidRPr="001C4B19">
        <w:rPr>
          <w:rFonts w:ascii="Arial" w:hAnsi="Arial" w:cs="Arial"/>
          <w:i w:val="0"/>
          <w:szCs w:val="24"/>
        </w:rPr>
        <w:t xml:space="preserve"> (and its attachments)</w:t>
      </w:r>
    </w:p>
    <w:p w14:paraId="1550D0F2" w14:textId="77777777" w:rsidR="008251AB" w:rsidRPr="001C4B19" w:rsidRDefault="008251AB" w:rsidP="008251AB">
      <w:pPr>
        <w:pStyle w:val="BodyText"/>
        <w:numPr>
          <w:ilvl w:val="1"/>
          <w:numId w:val="4"/>
        </w:numPr>
        <w:jc w:val="both"/>
        <w:rPr>
          <w:rFonts w:ascii="Arial" w:hAnsi="Arial" w:cs="Arial"/>
          <w:i w:val="0"/>
          <w:szCs w:val="24"/>
        </w:rPr>
      </w:pPr>
      <w:r>
        <w:rPr>
          <w:rFonts w:ascii="Arial" w:hAnsi="Arial" w:cs="Arial"/>
          <w:i w:val="0"/>
          <w:szCs w:val="24"/>
        </w:rPr>
        <w:t>Attachment A:  Communications Infrastructure Lease Agreement</w:t>
      </w:r>
    </w:p>
    <w:p w14:paraId="586C8DFB" w14:textId="77777777" w:rsidR="00666F53" w:rsidRPr="001C4B19" w:rsidRDefault="00666F53" w:rsidP="00666F53">
      <w:pPr>
        <w:pStyle w:val="BodyText"/>
        <w:numPr>
          <w:ilvl w:val="0"/>
          <w:numId w:val="4"/>
        </w:numPr>
        <w:jc w:val="both"/>
        <w:rPr>
          <w:rFonts w:ascii="Arial" w:hAnsi="Arial" w:cs="Arial"/>
          <w:i w:val="0"/>
          <w:szCs w:val="24"/>
        </w:rPr>
      </w:pPr>
      <w:r w:rsidRPr="001C4B19">
        <w:rPr>
          <w:rFonts w:ascii="Arial" w:hAnsi="Arial" w:cs="Arial"/>
          <w:i w:val="0"/>
          <w:szCs w:val="24"/>
        </w:rPr>
        <w:t>Transmittal Letter</w:t>
      </w:r>
    </w:p>
    <w:p w14:paraId="578FCD9E" w14:textId="77777777" w:rsidR="00666F53" w:rsidRDefault="00666F53" w:rsidP="00666F53">
      <w:pPr>
        <w:pStyle w:val="BodyText"/>
        <w:numPr>
          <w:ilvl w:val="0"/>
          <w:numId w:val="4"/>
        </w:numPr>
        <w:jc w:val="both"/>
        <w:rPr>
          <w:rFonts w:ascii="Arial" w:hAnsi="Arial" w:cs="Arial"/>
          <w:i w:val="0"/>
          <w:szCs w:val="24"/>
        </w:rPr>
      </w:pPr>
      <w:r w:rsidRPr="001C4B19">
        <w:rPr>
          <w:rFonts w:ascii="Arial" w:hAnsi="Arial" w:cs="Arial"/>
          <w:i w:val="0"/>
          <w:szCs w:val="24"/>
        </w:rPr>
        <w:t>Fiscal Note</w:t>
      </w:r>
    </w:p>
    <w:p w14:paraId="42D014C5" w14:textId="77777777" w:rsidR="008251AB" w:rsidRPr="001C4B19" w:rsidRDefault="008251AB" w:rsidP="00666F53">
      <w:pPr>
        <w:pStyle w:val="BodyText"/>
        <w:numPr>
          <w:ilvl w:val="0"/>
          <w:numId w:val="4"/>
        </w:numPr>
        <w:jc w:val="both"/>
        <w:rPr>
          <w:rFonts w:ascii="Arial" w:hAnsi="Arial" w:cs="Arial"/>
          <w:i w:val="0"/>
          <w:szCs w:val="24"/>
        </w:rPr>
      </w:pPr>
      <w:r>
        <w:rPr>
          <w:rFonts w:ascii="Arial" w:hAnsi="Arial" w:cs="Arial"/>
          <w:i w:val="0"/>
          <w:szCs w:val="24"/>
        </w:rPr>
        <w:t>Lease Property Summary</w:t>
      </w:r>
    </w:p>
    <w:sectPr w:rsidR="008251AB" w:rsidRPr="001C4B19" w:rsidSect="00666F53">
      <w:headerReference w:type="first" r:id="rId8"/>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7EE4" w14:textId="77777777" w:rsidR="00E91E67" w:rsidRDefault="0004035C">
      <w:r>
        <w:separator/>
      </w:r>
    </w:p>
  </w:endnote>
  <w:endnote w:type="continuationSeparator" w:id="0">
    <w:p w14:paraId="09E2FD3D" w14:textId="77777777" w:rsidR="00E91E67" w:rsidRDefault="0004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17424" w14:textId="77777777" w:rsidR="00E91E67" w:rsidRDefault="0004035C">
      <w:r>
        <w:separator/>
      </w:r>
    </w:p>
  </w:footnote>
  <w:footnote w:type="continuationSeparator" w:id="0">
    <w:p w14:paraId="775563C2" w14:textId="77777777" w:rsidR="00E91E67" w:rsidRDefault="0004035C">
      <w:r>
        <w:continuationSeparator/>
      </w:r>
    </w:p>
  </w:footnote>
  <w:footnote w:id="1">
    <w:p w14:paraId="35A0AEE8" w14:textId="77777777" w:rsidR="007523CF" w:rsidRDefault="007523CF">
      <w:pPr>
        <w:pStyle w:val="FootnoteText"/>
      </w:pPr>
      <w:r>
        <w:rPr>
          <w:rStyle w:val="FootnoteReference"/>
        </w:rPr>
        <w:footnoteRef/>
      </w:r>
      <w:r>
        <w:t xml:space="preserve"> Based on a start date of August 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EA23" w14:textId="77777777" w:rsidR="00C75025" w:rsidRDefault="0004035C" w:rsidP="00C75025">
    <w:pPr>
      <w:jc w:val="center"/>
    </w:pPr>
    <w:r>
      <w:rPr>
        <w:noProof/>
        <w:lang w:eastAsia="ko-KR"/>
      </w:rPr>
      <w:drawing>
        <wp:inline distT="0" distB="0" distL="0" distR="0" wp14:anchorId="6CAB8377" wp14:editId="0ADF5A8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FF4275D" w14:textId="77777777" w:rsidR="00C75025" w:rsidRPr="003B03EF" w:rsidRDefault="00E42E21" w:rsidP="00C75025">
    <w:pPr>
      <w:jc w:val="center"/>
      <w:rPr>
        <w:rFonts w:ascii="Arial" w:hAnsi="Arial"/>
        <w:szCs w:val="22"/>
      </w:rPr>
    </w:pPr>
  </w:p>
  <w:p w14:paraId="34971525" w14:textId="77777777" w:rsidR="00C75025" w:rsidRDefault="0004035C" w:rsidP="00C75025">
    <w:pPr>
      <w:jc w:val="center"/>
      <w:rPr>
        <w:rFonts w:ascii="Verdana" w:hAnsi="Verdana"/>
        <w:b/>
        <w:sz w:val="28"/>
        <w:szCs w:val="28"/>
      </w:rPr>
    </w:pPr>
    <w:r>
      <w:rPr>
        <w:rFonts w:ascii="Verdana" w:hAnsi="Verdana"/>
        <w:b/>
        <w:sz w:val="28"/>
        <w:szCs w:val="28"/>
      </w:rPr>
      <w:t>Metropolitan King County Council</w:t>
    </w:r>
  </w:p>
  <w:p w14:paraId="2312F7AC" w14:textId="77777777" w:rsidR="00C75025" w:rsidRPr="004A1D48" w:rsidRDefault="0004035C"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D4B21"/>
    <w:multiLevelType w:val="hybridMultilevel"/>
    <w:tmpl w:val="E914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676E0F"/>
    <w:multiLevelType w:val="hybridMultilevel"/>
    <w:tmpl w:val="1032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53"/>
    <w:rsid w:val="00020159"/>
    <w:rsid w:val="0004035C"/>
    <w:rsid w:val="000F47BE"/>
    <w:rsid w:val="001224A6"/>
    <w:rsid w:val="002C3360"/>
    <w:rsid w:val="003A7D69"/>
    <w:rsid w:val="003C6032"/>
    <w:rsid w:val="00503606"/>
    <w:rsid w:val="00511313"/>
    <w:rsid w:val="005C7B92"/>
    <w:rsid w:val="00612881"/>
    <w:rsid w:val="00636180"/>
    <w:rsid w:val="00665980"/>
    <w:rsid w:val="00666F53"/>
    <w:rsid w:val="006717E0"/>
    <w:rsid w:val="007523CF"/>
    <w:rsid w:val="00784340"/>
    <w:rsid w:val="008251AB"/>
    <w:rsid w:val="0089297C"/>
    <w:rsid w:val="00923EA7"/>
    <w:rsid w:val="009A1669"/>
    <w:rsid w:val="009E43C1"/>
    <w:rsid w:val="00BC1707"/>
    <w:rsid w:val="00C114B5"/>
    <w:rsid w:val="00CE5B50"/>
    <w:rsid w:val="00D9301E"/>
    <w:rsid w:val="00D95B87"/>
    <w:rsid w:val="00DE28A7"/>
    <w:rsid w:val="00E42E21"/>
    <w:rsid w:val="00E91E67"/>
    <w:rsid w:val="00F3508B"/>
    <w:rsid w:val="00FB7B09"/>
    <w:rsid w:val="00FC14CF"/>
    <w:rsid w:val="00FD4B0C"/>
    <w:rsid w:val="00FD65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4F75"/>
  <w15:chartTrackingRefBased/>
  <w15:docId w15:val="{3A572A65-13F7-4B06-A262-A1DBDFB4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5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66F5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6F53"/>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666F53"/>
    <w:pPr>
      <w:tabs>
        <w:tab w:val="center" w:pos="4320"/>
        <w:tab w:val="right" w:pos="8640"/>
      </w:tabs>
    </w:pPr>
  </w:style>
  <w:style w:type="character" w:customStyle="1" w:styleId="FooterChar">
    <w:name w:val="Footer Char"/>
    <w:basedOn w:val="DefaultParagraphFont"/>
    <w:link w:val="Footer"/>
    <w:uiPriority w:val="99"/>
    <w:rsid w:val="00666F53"/>
    <w:rPr>
      <w:rFonts w:ascii="Times New Roman" w:eastAsia="Times New Roman" w:hAnsi="Times New Roman" w:cs="Times New Roman"/>
      <w:sz w:val="24"/>
      <w:szCs w:val="20"/>
    </w:rPr>
  </w:style>
  <w:style w:type="paragraph" w:styleId="Header">
    <w:name w:val="header"/>
    <w:basedOn w:val="Normal"/>
    <w:link w:val="HeaderChar"/>
    <w:rsid w:val="00666F53"/>
    <w:pPr>
      <w:tabs>
        <w:tab w:val="center" w:pos="4320"/>
        <w:tab w:val="right" w:pos="8640"/>
      </w:tabs>
    </w:pPr>
  </w:style>
  <w:style w:type="character" w:customStyle="1" w:styleId="HeaderChar">
    <w:name w:val="Header Char"/>
    <w:basedOn w:val="DefaultParagraphFont"/>
    <w:link w:val="Header"/>
    <w:rsid w:val="00666F53"/>
    <w:rPr>
      <w:rFonts w:ascii="Times New Roman" w:eastAsia="Times New Roman" w:hAnsi="Times New Roman" w:cs="Times New Roman"/>
      <w:sz w:val="24"/>
      <w:szCs w:val="20"/>
    </w:rPr>
  </w:style>
  <w:style w:type="paragraph" w:styleId="BodyText">
    <w:name w:val="Body Text"/>
    <w:basedOn w:val="Normal"/>
    <w:link w:val="BodyTextChar"/>
    <w:rsid w:val="00666F53"/>
    <w:rPr>
      <w:i/>
    </w:rPr>
  </w:style>
  <w:style w:type="character" w:customStyle="1" w:styleId="BodyTextChar">
    <w:name w:val="Body Text Char"/>
    <w:basedOn w:val="DefaultParagraphFont"/>
    <w:link w:val="BodyText"/>
    <w:rsid w:val="00666F53"/>
    <w:rPr>
      <w:rFonts w:ascii="Times New Roman" w:eastAsia="Times New Roman" w:hAnsi="Times New Roman" w:cs="Times New Roman"/>
      <w:i/>
      <w:sz w:val="24"/>
      <w:szCs w:val="20"/>
    </w:rPr>
  </w:style>
  <w:style w:type="table" w:styleId="TableGrid">
    <w:name w:val="Table Grid"/>
    <w:basedOn w:val="TableNormal"/>
    <w:rsid w:val="00666F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F53"/>
    <w:pPr>
      <w:spacing w:line="300" w:lineRule="exact"/>
      <w:ind w:left="720"/>
    </w:pPr>
    <w:rPr>
      <w:szCs w:val="24"/>
    </w:rPr>
  </w:style>
  <w:style w:type="character" w:styleId="Hyperlink">
    <w:name w:val="Hyperlink"/>
    <w:basedOn w:val="DefaultParagraphFont"/>
    <w:uiPriority w:val="99"/>
    <w:unhideWhenUsed/>
    <w:rsid w:val="00666F53"/>
    <w:rPr>
      <w:color w:val="0563C1" w:themeColor="hyperlink"/>
      <w:u w:val="single"/>
    </w:rPr>
  </w:style>
  <w:style w:type="paragraph" w:styleId="BalloonText">
    <w:name w:val="Balloon Text"/>
    <w:basedOn w:val="Normal"/>
    <w:link w:val="BalloonTextChar"/>
    <w:uiPriority w:val="99"/>
    <w:semiHidden/>
    <w:unhideWhenUsed/>
    <w:rsid w:val="002C3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60"/>
    <w:rPr>
      <w:rFonts w:ascii="Segoe UI" w:eastAsia="Times New Roman" w:hAnsi="Segoe UI" w:cs="Segoe UI"/>
      <w:sz w:val="18"/>
      <w:szCs w:val="18"/>
    </w:rPr>
  </w:style>
  <w:style w:type="paragraph" w:styleId="FootnoteText">
    <w:name w:val="footnote text"/>
    <w:basedOn w:val="Normal"/>
    <w:link w:val="FootnoteTextChar"/>
    <w:semiHidden/>
    <w:rsid w:val="007523CF"/>
    <w:rPr>
      <w:sz w:val="20"/>
    </w:rPr>
  </w:style>
  <w:style w:type="character" w:customStyle="1" w:styleId="FootnoteTextChar">
    <w:name w:val="Footnote Text Char"/>
    <w:basedOn w:val="DefaultParagraphFont"/>
    <w:link w:val="FootnoteText"/>
    <w:semiHidden/>
    <w:rsid w:val="007523CF"/>
    <w:rPr>
      <w:rFonts w:ascii="Times New Roman" w:eastAsia="Times New Roman" w:hAnsi="Times New Roman" w:cs="Times New Roman"/>
      <w:sz w:val="20"/>
      <w:szCs w:val="20"/>
    </w:rPr>
  </w:style>
  <w:style w:type="character" w:styleId="FootnoteReference">
    <w:name w:val="footnote reference"/>
    <w:semiHidden/>
    <w:rsid w:val="007523CF"/>
    <w:rPr>
      <w:vertAlign w:val="superscript"/>
    </w:rPr>
  </w:style>
  <w:style w:type="character" w:styleId="CommentReference">
    <w:name w:val="annotation reference"/>
    <w:basedOn w:val="DefaultParagraphFont"/>
    <w:uiPriority w:val="99"/>
    <w:semiHidden/>
    <w:unhideWhenUsed/>
    <w:rsid w:val="007523CF"/>
    <w:rPr>
      <w:sz w:val="16"/>
      <w:szCs w:val="16"/>
    </w:rPr>
  </w:style>
  <w:style w:type="paragraph" w:styleId="CommentText">
    <w:name w:val="annotation text"/>
    <w:basedOn w:val="Normal"/>
    <w:link w:val="CommentTextChar"/>
    <w:uiPriority w:val="99"/>
    <w:semiHidden/>
    <w:unhideWhenUsed/>
    <w:rsid w:val="007523CF"/>
    <w:rPr>
      <w:sz w:val="20"/>
    </w:rPr>
  </w:style>
  <w:style w:type="character" w:customStyle="1" w:styleId="CommentTextChar">
    <w:name w:val="Comment Text Char"/>
    <w:basedOn w:val="DefaultParagraphFont"/>
    <w:link w:val="CommentText"/>
    <w:uiPriority w:val="99"/>
    <w:semiHidden/>
    <w:rsid w:val="007523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23CF"/>
    <w:rPr>
      <w:b/>
      <w:bCs/>
    </w:rPr>
  </w:style>
  <w:style w:type="character" w:customStyle="1" w:styleId="CommentSubjectChar">
    <w:name w:val="Comment Subject Char"/>
    <w:basedOn w:val="CommentTextChar"/>
    <w:link w:val="CommentSubject"/>
    <w:uiPriority w:val="99"/>
    <w:semiHidden/>
    <w:rsid w:val="007523C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0B78-B9FC-4BCD-B7A3-EE0AC0CA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Kim, Andrew</cp:lastModifiedBy>
  <cp:revision>6</cp:revision>
  <dcterms:created xsi:type="dcterms:W3CDTF">2019-11-07T21:33:00Z</dcterms:created>
  <dcterms:modified xsi:type="dcterms:W3CDTF">2019-11-07T23:01:00Z</dcterms:modified>
</cp:coreProperties>
</file>