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6BAE8" w14:textId="00E50D08" w:rsidR="00D41A01" w:rsidRPr="00915EF6" w:rsidRDefault="00D41A01" w:rsidP="004E567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15EF6">
        <w:rPr>
          <w:rFonts w:ascii="Arial" w:hAnsi="Arial" w:cs="Arial"/>
          <w:b/>
          <w:sz w:val="24"/>
          <w:szCs w:val="24"/>
          <w:u w:val="single"/>
        </w:rPr>
        <w:t>General Fund Update</w:t>
      </w:r>
    </w:p>
    <w:p w14:paraId="3E140ECA" w14:textId="77777777" w:rsidR="00D41A01" w:rsidRPr="00915EF6" w:rsidRDefault="00D41A01" w:rsidP="00C20AE4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14:paraId="1E82C7B7" w14:textId="4BF18715" w:rsidR="00486CDB" w:rsidRDefault="00486CDB" w:rsidP="00C20A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discussed previously</w:t>
      </w:r>
      <w:r w:rsidR="00822143">
        <w:rPr>
          <w:rFonts w:ascii="Arial" w:hAnsi="Arial" w:cs="Arial"/>
          <w:sz w:val="24"/>
          <w:szCs w:val="24"/>
        </w:rPr>
        <w:t xml:space="preserve"> this year</w:t>
      </w:r>
      <w:r>
        <w:rPr>
          <w:rFonts w:ascii="Arial" w:hAnsi="Arial" w:cs="Arial"/>
          <w:sz w:val="24"/>
          <w:szCs w:val="24"/>
        </w:rPr>
        <w:t>, t</w:t>
      </w:r>
      <w:r w:rsidR="007D387B" w:rsidRPr="00915EF6">
        <w:rPr>
          <w:rFonts w:ascii="Arial" w:hAnsi="Arial" w:cs="Arial"/>
          <w:sz w:val="24"/>
          <w:szCs w:val="24"/>
        </w:rPr>
        <w:t xml:space="preserve">he </w:t>
      </w:r>
      <w:r w:rsidR="005F005C" w:rsidRPr="00915EF6">
        <w:rPr>
          <w:rFonts w:ascii="Arial" w:hAnsi="Arial" w:cs="Arial"/>
          <w:sz w:val="24"/>
          <w:szCs w:val="24"/>
        </w:rPr>
        <w:t xml:space="preserve">General Fund ending fund balance </w:t>
      </w:r>
      <w:r w:rsidR="0074151C" w:rsidRPr="00915EF6">
        <w:rPr>
          <w:rFonts w:ascii="Arial" w:hAnsi="Arial" w:cs="Arial"/>
          <w:sz w:val="24"/>
          <w:szCs w:val="24"/>
        </w:rPr>
        <w:t>at the end of 2018 was $</w:t>
      </w:r>
      <w:r w:rsidR="0074151C" w:rsidRPr="00711DF8">
        <w:rPr>
          <w:rFonts w:ascii="Arial" w:hAnsi="Arial" w:cs="Arial"/>
          <w:sz w:val="24"/>
          <w:szCs w:val="24"/>
        </w:rPr>
        <w:t>13</w:t>
      </w:r>
      <w:r w:rsidR="00711DF8" w:rsidRPr="00711DF8">
        <w:rPr>
          <w:rFonts w:ascii="Arial" w:hAnsi="Arial" w:cs="Arial"/>
          <w:sz w:val="24"/>
          <w:szCs w:val="24"/>
        </w:rPr>
        <w:t>8.6</w:t>
      </w:r>
      <w:r w:rsidR="00663997" w:rsidRPr="00915EF6">
        <w:rPr>
          <w:rFonts w:ascii="Arial" w:hAnsi="Arial" w:cs="Arial"/>
          <w:sz w:val="24"/>
          <w:szCs w:val="24"/>
        </w:rPr>
        <w:t xml:space="preserve"> million. This i</w:t>
      </w:r>
      <w:r w:rsidR="0074151C" w:rsidRPr="00915EF6">
        <w:rPr>
          <w:rFonts w:ascii="Arial" w:hAnsi="Arial" w:cs="Arial"/>
          <w:sz w:val="24"/>
          <w:szCs w:val="24"/>
        </w:rPr>
        <w:t>s an increase from year end 2017</w:t>
      </w:r>
      <w:r>
        <w:rPr>
          <w:rFonts w:ascii="Arial" w:hAnsi="Arial" w:cs="Arial"/>
          <w:sz w:val="24"/>
          <w:szCs w:val="24"/>
        </w:rPr>
        <w:t xml:space="preserve"> and the third year in which the General Fund end</w:t>
      </w:r>
      <w:r w:rsidR="00353899">
        <w:rPr>
          <w:rFonts w:ascii="Arial" w:hAnsi="Arial" w:cs="Arial"/>
          <w:sz w:val="24"/>
          <w:szCs w:val="24"/>
        </w:rPr>
        <w:t>ing fund balance has increased.</w:t>
      </w:r>
      <w:r>
        <w:rPr>
          <w:rFonts w:ascii="Arial" w:hAnsi="Arial" w:cs="Arial"/>
          <w:sz w:val="24"/>
          <w:szCs w:val="24"/>
        </w:rPr>
        <w:t xml:space="preserve"> This level solidifies the County’s </w:t>
      </w:r>
      <w:r w:rsidR="00663997" w:rsidRPr="00915EF6">
        <w:rPr>
          <w:rFonts w:ascii="Arial" w:hAnsi="Arial" w:cs="Arial"/>
          <w:sz w:val="24"/>
          <w:szCs w:val="24"/>
        </w:rPr>
        <w:t>A</w:t>
      </w:r>
      <w:r w:rsidR="00711DF8">
        <w:rPr>
          <w:rFonts w:ascii="Arial" w:hAnsi="Arial" w:cs="Arial"/>
          <w:sz w:val="24"/>
          <w:szCs w:val="24"/>
        </w:rPr>
        <w:t xml:space="preserve">AA bond ratings. </w:t>
      </w:r>
    </w:p>
    <w:p w14:paraId="67C16D21" w14:textId="77777777" w:rsidR="00486CDB" w:rsidRDefault="00486CDB" w:rsidP="00C20AE4">
      <w:pPr>
        <w:pStyle w:val="NoSpacing"/>
        <w:rPr>
          <w:rFonts w:ascii="Arial" w:hAnsi="Arial" w:cs="Arial"/>
          <w:sz w:val="24"/>
          <w:szCs w:val="24"/>
        </w:rPr>
      </w:pPr>
    </w:p>
    <w:p w14:paraId="76E59A0A" w14:textId="2BEAF641" w:rsidR="00FF58E2" w:rsidRPr="00915EF6" w:rsidRDefault="00822143" w:rsidP="00C20A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B672F2" w:rsidRPr="00915EF6">
        <w:rPr>
          <w:rFonts w:ascii="Arial" w:hAnsi="Arial" w:cs="Arial"/>
          <w:sz w:val="24"/>
          <w:szCs w:val="24"/>
        </w:rPr>
        <w:t xml:space="preserve"> fund balance </w:t>
      </w:r>
      <w:r>
        <w:rPr>
          <w:rFonts w:ascii="Arial" w:hAnsi="Arial" w:cs="Arial"/>
          <w:sz w:val="24"/>
          <w:szCs w:val="24"/>
        </w:rPr>
        <w:t xml:space="preserve">is expected </w:t>
      </w:r>
      <w:r w:rsidR="00B672F2" w:rsidRPr="00915EF6">
        <w:rPr>
          <w:rFonts w:ascii="Arial" w:hAnsi="Arial" w:cs="Arial"/>
          <w:sz w:val="24"/>
          <w:szCs w:val="24"/>
        </w:rPr>
        <w:t xml:space="preserve">to decrease in </w:t>
      </w:r>
      <w:r w:rsidR="00486CDB">
        <w:rPr>
          <w:rFonts w:ascii="Arial" w:hAnsi="Arial" w:cs="Arial"/>
          <w:sz w:val="24"/>
          <w:szCs w:val="24"/>
        </w:rPr>
        <w:t xml:space="preserve">2019 and 2020 </w:t>
      </w:r>
      <w:r>
        <w:rPr>
          <w:rFonts w:ascii="Arial" w:hAnsi="Arial" w:cs="Arial"/>
          <w:sz w:val="24"/>
          <w:szCs w:val="24"/>
        </w:rPr>
        <w:t>but remain at levels that protect the County’s</w:t>
      </w:r>
      <w:r w:rsidR="00B672F2" w:rsidRPr="00915EF6">
        <w:rPr>
          <w:rFonts w:ascii="Arial" w:hAnsi="Arial" w:cs="Arial"/>
          <w:sz w:val="24"/>
          <w:szCs w:val="24"/>
        </w:rPr>
        <w:t xml:space="preserve"> bond rating.</w:t>
      </w:r>
      <w:r w:rsidR="00663997" w:rsidRPr="00915EF6">
        <w:rPr>
          <w:rFonts w:ascii="Arial" w:hAnsi="Arial" w:cs="Arial"/>
          <w:sz w:val="24"/>
          <w:szCs w:val="24"/>
        </w:rPr>
        <w:t xml:space="preserve"> </w:t>
      </w:r>
    </w:p>
    <w:p w14:paraId="5C57A006" w14:textId="77777777" w:rsidR="00276329" w:rsidRPr="00915EF6" w:rsidRDefault="00276329" w:rsidP="00C20AE4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tbl>
      <w:tblPr>
        <w:tblW w:w="11287" w:type="dxa"/>
        <w:tblInd w:w="93" w:type="dxa"/>
        <w:tblLook w:val="04A0" w:firstRow="1" w:lastRow="0" w:firstColumn="1" w:lastColumn="0" w:noHBand="0" w:noVBand="1"/>
      </w:tblPr>
      <w:tblGrid>
        <w:gridCol w:w="3540"/>
        <w:gridCol w:w="777"/>
        <w:gridCol w:w="1548"/>
        <w:gridCol w:w="3730"/>
        <w:gridCol w:w="302"/>
        <w:gridCol w:w="1390"/>
      </w:tblGrid>
      <w:tr w:rsidR="00276329" w:rsidRPr="00915EF6" w14:paraId="7179CC0A" w14:textId="77777777" w:rsidTr="00663997">
        <w:trPr>
          <w:gridAfter w:val="2"/>
          <w:wAfter w:w="1692" w:type="dxa"/>
          <w:trHeight w:val="300"/>
        </w:trPr>
        <w:tc>
          <w:tcPr>
            <w:tcW w:w="9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4757" w14:textId="7CD5A4B7" w:rsidR="00276329" w:rsidRPr="00994008" w:rsidRDefault="00FF58E2" w:rsidP="00935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</w:t>
            </w:r>
            <w:r w:rsidR="00486C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9-2020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76329" w:rsidRPr="009940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General Fund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Adopted Budget and </w:t>
            </w:r>
            <w:r w:rsidR="00486C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Estimate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="00276329" w:rsidRPr="009940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(includes Inmate Welfare and Goat Hill Garage Operations) </w:t>
            </w:r>
          </w:p>
          <w:p w14:paraId="7AFDB0EF" w14:textId="28CC6BA5" w:rsidR="00B672F2" w:rsidRPr="00915EF6" w:rsidRDefault="00B672F2" w:rsidP="00935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940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(in millions)</w:t>
            </w:r>
          </w:p>
        </w:tc>
      </w:tr>
      <w:tr w:rsidR="00276329" w:rsidRPr="00915EF6" w14:paraId="71DD36AC" w14:textId="77777777" w:rsidTr="00663997">
        <w:trPr>
          <w:trHeight w:val="195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885A" w14:textId="77777777" w:rsidR="00276329" w:rsidRPr="00915EF6" w:rsidRDefault="00276329" w:rsidP="002763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D41D" w14:textId="77777777" w:rsidR="00276329" w:rsidRPr="00915EF6" w:rsidRDefault="00276329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3A32" w14:textId="77777777" w:rsidR="00276329" w:rsidRPr="00915EF6" w:rsidRDefault="00276329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6BF3" w14:textId="77777777" w:rsidR="00276329" w:rsidRPr="00915EF6" w:rsidRDefault="00276329" w:rsidP="00276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663997" w:rsidRPr="00915EF6" w14:paraId="205295DD" w14:textId="77777777" w:rsidTr="00663997">
        <w:trPr>
          <w:gridAfter w:val="1"/>
          <w:wAfter w:w="1390" w:type="dxa"/>
          <w:trHeight w:val="1200"/>
        </w:trPr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45D1" w14:textId="77777777" w:rsidR="00663997" w:rsidRPr="00994008" w:rsidRDefault="00663997" w:rsidP="002763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400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E3AF8" w14:textId="13768876" w:rsidR="00663997" w:rsidRPr="00994008" w:rsidRDefault="00EE4CC4" w:rsidP="0074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2019-2020</w:t>
            </w:r>
            <w:r w:rsidR="00663997" w:rsidRPr="009940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74151C" w:rsidRPr="009940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Adopted Budget</w:t>
            </w:r>
            <w:r w:rsidR="00663997" w:rsidRPr="009940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8FFFC" w14:textId="0326D15E" w:rsidR="00663997" w:rsidRPr="00994008" w:rsidRDefault="00EE4CC4" w:rsidP="00260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2019-2020</w:t>
            </w:r>
          </w:p>
          <w:p w14:paraId="02010965" w14:textId="30522F96" w:rsidR="00663997" w:rsidRPr="00994008" w:rsidRDefault="00EE4CC4" w:rsidP="00260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Estimated</w:t>
            </w:r>
            <w:r w:rsidR="00663997" w:rsidRPr="009940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</w:t>
            </w:r>
          </w:p>
        </w:tc>
      </w:tr>
      <w:tr w:rsidR="00663997" w:rsidRPr="00915EF6" w14:paraId="2F597B41" w14:textId="77777777" w:rsidTr="00663997">
        <w:trPr>
          <w:gridAfter w:val="1"/>
          <w:wAfter w:w="1390" w:type="dxa"/>
          <w:trHeight w:val="300"/>
        </w:trPr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BF7B5" w14:textId="77777777" w:rsidR="00663997" w:rsidRPr="00247E7A" w:rsidRDefault="00663997" w:rsidP="0027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7E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BEGINNING FUND BALANCE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AABFA" w14:textId="5CDCCB01" w:rsidR="00663997" w:rsidRPr="00247E7A" w:rsidRDefault="00DC5FDC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46BC4" w14:textId="6DCCE4BC" w:rsidR="00663997" w:rsidRPr="00DC5FDC" w:rsidRDefault="00DC5FDC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DC5F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139</w:t>
            </w:r>
          </w:p>
        </w:tc>
      </w:tr>
      <w:tr w:rsidR="00663997" w:rsidRPr="00915EF6" w14:paraId="44A35D58" w14:textId="77777777" w:rsidTr="00663997">
        <w:trPr>
          <w:gridAfter w:val="1"/>
          <w:wAfter w:w="1390" w:type="dxa"/>
          <w:trHeight w:val="135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275C" w14:textId="77777777" w:rsidR="00663997" w:rsidRPr="00247E7A" w:rsidRDefault="00663997" w:rsidP="002763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B77B" w14:textId="77777777" w:rsidR="00663997" w:rsidRPr="00247E7A" w:rsidRDefault="00663997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D953" w14:textId="77777777" w:rsidR="00663997" w:rsidRPr="00DC5FDC" w:rsidRDefault="00663997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663997" w:rsidRPr="00915EF6" w14:paraId="503A3C4C" w14:textId="77777777" w:rsidTr="00663997">
        <w:trPr>
          <w:gridAfter w:val="1"/>
          <w:wAfter w:w="1390" w:type="dxa"/>
          <w:trHeight w:val="30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C82B" w14:textId="77777777" w:rsidR="00663997" w:rsidRPr="00247E7A" w:rsidRDefault="00663997" w:rsidP="0027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7E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REVENUES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F33D" w14:textId="77777777" w:rsidR="00663997" w:rsidRPr="00247E7A" w:rsidRDefault="00663997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27EE" w14:textId="77777777" w:rsidR="00663997" w:rsidRPr="00DC5FDC" w:rsidRDefault="00663997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663997" w:rsidRPr="00915EF6" w14:paraId="4A29C03E" w14:textId="77777777" w:rsidTr="00663997">
        <w:trPr>
          <w:gridAfter w:val="1"/>
          <w:wAfter w:w="1390" w:type="dxa"/>
          <w:trHeight w:val="30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05ED" w14:textId="77777777" w:rsidR="00663997" w:rsidRPr="00247E7A" w:rsidRDefault="00663997" w:rsidP="0027632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247E7A">
              <w:rPr>
                <w:rFonts w:ascii="Arial" w:eastAsia="Times New Roman" w:hAnsi="Arial" w:cs="Arial"/>
                <w:sz w:val="24"/>
                <w:szCs w:val="24"/>
              </w:rPr>
              <w:t xml:space="preserve">Property Tax </w:t>
            </w:r>
            <w:r w:rsidRPr="00247E7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3887" w14:textId="00BD457B" w:rsidR="00663997" w:rsidRPr="00247E7A" w:rsidRDefault="00DC5FDC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6E4E" w14:textId="1724688E" w:rsidR="00663997" w:rsidRPr="00DC5FDC" w:rsidRDefault="00DC5FDC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5FDC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</w:tr>
      <w:tr w:rsidR="00663997" w:rsidRPr="00915EF6" w14:paraId="5C1DAF7C" w14:textId="77777777" w:rsidTr="00663997">
        <w:trPr>
          <w:gridAfter w:val="1"/>
          <w:wAfter w:w="1390" w:type="dxa"/>
          <w:trHeight w:val="30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DFDE" w14:textId="77777777" w:rsidR="00663997" w:rsidRPr="00247E7A" w:rsidRDefault="00663997" w:rsidP="0027632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247E7A">
              <w:rPr>
                <w:rFonts w:ascii="Arial" w:eastAsia="Times New Roman" w:hAnsi="Arial" w:cs="Arial"/>
                <w:sz w:val="24"/>
                <w:szCs w:val="24"/>
              </w:rPr>
              <w:t xml:space="preserve">Sales Tax </w:t>
            </w:r>
            <w:r w:rsidRPr="00247E7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1D38" w14:textId="50B034AC" w:rsidR="00663997" w:rsidRPr="00247E7A" w:rsidRDefault="00DC5FDC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B174" w14:textId="131EABFA" w:rsidR="00663997" w:rsidRPr="00DC5FDC" w:rsidRDefault="00DC5FDC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5FD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</w:tr>
      <w:tr w:rsidR="00663997" w:rsidRPr="00915EF6" w14:paraId="2B696B54" w14:textId="77777777" w:rsidTr="00663997">
        <w:trPr>
          <w:gridAfter w:val="1"/>
          <w:wAfter w:w="1390" w:type="dxa"/>
          <w:trHeight w:val="30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FCB6" w14:textId="77777777" w:rsidR="00663997" w:rsidRPr="00247E7A" w:rsidRDefault="00663997" w:rsidP="0027632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247E7A">
              <w:rPr>
                <w:rFonts w:ascii="Arial" w:eastAsia="Times New Roman" w:hAnsi="Arial" w:cs="Arial"/>
                <w:sz w:val="24"/>
                <w:szCs w:val="24"/>
              </w:rPr>
              <w:t xml:space="preserve">Contracts and Charges </w:t>
            </w:r>
            <w:r w:rsidRPr="00247E7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DC0F" w14:textId="6EB9704E" w:rsidR="00663997" w:rsidRPr="00DC5FDC" w:rsidRDefault="0074151C" w:rsidP="00DC5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C5FDC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DC5FDC" w:rsidRPr="00DC5FDC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14BA" w14:textId="41A91627" w:rsidR="00663997" w:rsidRPr="00DC5FDC" w:rsidRDefault="00DC5FDC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5FDC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</w:tr>
      <w:tr w:rsidR="00663997" w:rsidRPr="00915EF6" w14:paraId="7B619F11" w14:textId="77777777" w:rsidTr="00663997">
        <w:trPr>
          <w:gridAfter w:val="1"/>
          <w:wAfter w:w="1390" w:type="dxa"/>
          <w:trHeight w:val="30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30B6" w14:textId="77777777" w:rsidR="00663997" w:rsidRPr="00247E7A" w:rsidRDefault="00663997" w:rsidP="0027632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247E7A">
              <w:rPr>
                <w:rFonts w:ascii="Arial" w:eastAsia="Times New Roman" w:hAnsi="Arial" w:cs="Arial"/>
                <w:sz w:val="24"/>
                <w:szCs w:val="24"/>
              </w:rPr>
              <w:t>Federal and State Revenue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7C9F" w14:textId="70597EEB" w:rsidR="00663997" w:rsidRPr="00DC5FDC" w:rsidRDefault="00DC5FDC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5FDC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DD0B" w14:textId="52700E1C" w:rsidR="00663997" w:rsidRPr="00DC5FDC" w:rsidRDefault="0074151C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5FD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</w:tr>
      <w:tr w:rsidR="00663997" w:rsidRPr="00915EF6" w14:paraId="6DA027C2" w14:textId="77777777" w:rsidTr="00663997">
        <w:trPr>
          <w:gridAfter w:val="1"/>
          <w:wAfter w:w="1390" w:type="dxa"/>
          <w:trHeight w:val="30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5B84" w14:textId="64F60AB4" w:rsidR="00663997" w:rsidRPr="00247E7A" w:rsidRDefault="00663997" w:rsidP="002607FA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247E7A">
              <w:rPr>
                <w:rFonts w:ascii="Arial" w:eastAsia="Times New Roman" w:hAnsi="Arial" w:cs="Arial"/>
                <w:sz w:val="24"/>
                <w:szCs w:val="24"/>
              </w:rPr>
              <w:t xml:space="preserve">Fines, Fees, Permits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B909" w14:textId="7DE1310D" w:rsidR="00663997" w:rsidRPr="00DC5FDC" w:rsidRDefault="00DC5FDC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5FDC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5F45" w14:textId="1EB44671" w:rsidR="00663997" w:rsidRPr="00DC5FDC" w:rsidRDefault="00DC5FDC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5FDC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</w:tr>
      <w:tr w:rsidR="00663997" w:rsidRPr="00915EF6" w14:paraId="520E472E" w14:textId="77777777" w:rsidTr="00663997">
        <w:trPr>
          <w:gridAfter w:val="1"/>
          <w:wAfter w:w="1390" w:type="dxa"/>
          <w:trHeight w:val="30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2C39" w14:textId="478B0F43" w:rsidR="00663997" w:rsidRPr="00247E7A" w:rsidRDefault="00663997" w:rsidP="00181EF3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247E7A">
              <w:rPr>
                <w:rFonts w:ascii="Arial" w:eastAsia="Times New Roman" w:hAnsi="Arial" w:cs="Arial"/>
                <w:sz w:val="24"/>
                <w:szCs w:val="24"/>
              </w:rPr>
              <w:t>Other Taxes, Miscellaneous</w:t>
            </w:r>
            <w:r w:rsidRPr="00247E7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4C2B" w14:textId="498F2FC2" w:rsidR="00663997" w:rsidRPr="00DC5FDC" w:rsidRDefault="00DC5FDC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C5FD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CFB6" w14:textId="31746321" w:rsidR="00663997" w:rsidRPr="00DC5FDC" w:rsidRDefault="00DC5FDC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5FDC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</w:tr>
      <w:tr w:rsidR="00663997" w:rsidRPr="00915EF6" w14:paraId="2C1C7377" w14:textId="77777777" w:rsidTr="00663997">
        <w:trPr>
          <w:gridAfter w:val="1"/>
          <w:wAfter w:w="1390" w:type="dxa"/>
          <w:trHeight w:val="135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A0A2" w14:textId="77777777" w:rsidR="00663997" w:rsidRPr="00247E7A" w:rsidRDefault="00663997" w:rsidP="002763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1010" w14:textId="77777777" w:rsidR="00663997" w:rsidRPr="00DC5FDC" w:rsidRDefault="00663997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0BE9" w14:textId="77777777" w:rsidR="00663997" w:rsidRPr="00DC5FDC" w:rsidRDefault="00663997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3997" w:rsidRPr="00915EF6" w14:paraId="206738F4" w14:textId="77777777" w:rsidTr="00663997">
        <w:trPr>
          <w:gridAfter w:val="1"/>
          <w:wAfter w:w="1390" w:type="dxa"/>
          <w:trHeight w:val="300"/>
        </w:trPr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657B9" w14:textId="77777777" w:rsidR="00663997" w:rsidRPr="00247E7A" w:rsidRDefault="00663997" w:rsidP="0027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7E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General Fund Revenues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03696" w14:textId="11098AD8" w:rsidR="00663997" w:rsidRPr="00DC5FDC" w:rsidRDefault="0074151C" w:rsidP="00DC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DC5F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</w:t>
            </w:r>
            <w:r w:rsidR="00DC5FDC" w:rsidRPr="00DC5F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829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B054A" w14:textId="5ADBBBF3" w:rsidR="00663997" w:rsidRPr="00DC5FDC" w:rsidRDefault="00353899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1,852</w:t>
            </w:r>
          </w:p>
        </w:tc>
      </w:tr>
      <w:tr w:rsidR="00663997" w:rsidRPr="00915EF6" w14:paraId="1F6C2F13" w14:textId="77777777" w:rsidTr="00663997">
        <w:trPr>
          <w:gridAfter w:val="1"/>
          <w:wAfter w:w="1390" w:type="dxa"/>
          <w:trHeight w:val="135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A290" w14:textId="77777777" w:rsidR="00663997" w:rsidRPr="00247E7A" w:rsidRDefault="00663997" w:rsidP="002763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3173" w14:textId="77777777" w:rsidR="00663997" w:rsidRPr="00DC5FDC" w:rsidRDefault="00663997" w:rsidP="002763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D906" w14:textId="77777777" w:rsidR="00663997" w:rsidRPr="00DC5FDC" w:rsidRDefault="00663997" w:rsidP="002763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663997" w:rsidRPr="00915EF6" w14:paraId="0F2A6D65" w14:textId="77777777" w:rsidTr="00663997">
        <w:trPr>
          <w:gridAfter w:val="1"/>
          <w:wAfter w:w="1390" w:type="dxa"/>
          <w:trHeight w:val="30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BE8D" w14:textId="77777777" w:rsidR="00663997" w:rsidRPr="00247E7A" w:rsidRDefault="00663997" w:rsidP="0027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7E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EXPENDITURES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E81C" w14:textId="77777777" w:rsidR="00663997" w:rsidRPr="00DC5FDC" w:rsidRDefault="00663997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5F8D" w14:textId="77777777" w:rsidR="00663997" w:rsidRPr="00DC5FDC" w:rsidRDefault="00663997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663997" w:rsidRPr="00915EF6" w14:paraId="4B2304E2" w14:textId="77777777" w:rsidTr="00663997">
        <w:trPr>
          <w:gridAfter w:val="1"/>
          <w:wAfter w:w="1390" w:type="dxa"/>
          <w:trHeight w:val="30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76E2" w14:textId="1851652C" w:rsidR="00663997" w:rsidRPr="00247E7A" w:rsidRDefault="00DA0C3A" w:rsidP="0027632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247E7A">
              <w:rPr>
                <w:rFonts w:ascii="Arial" w:eastAsia="Times New Roman" w:hAnsi="Arial" w:cs="Arial"/>
                <w:sz w:val="24"/>
                <w:szCs w:val="24"/>
              </w:rPr>
              <w:t>Adopted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A8F9" w14:textId="185259E7" w:rsidR="00663997" w:rsidRPr="00DC5FDC" w:rsidRDefault="00DA0C3A" w:rsidP="00DC5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C5FDC">
              <w:rPr>
                <w:rFonts w:ascii="Arial" w:eastAsia="Times New Roman" w:hAnsi="Arial" w:cs="Arial"/>
                <w:sz w:val="24"/>
                <w:szCs w:val="24"/>
              </w:rPr>
              <w:t>(1,</w:t>
            </w:r>
            <w:r w:rsidR="00DC5FDC" w:rsidRPr="00DC5FDC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  <w:r w:rsidR="00663997" w:rsidRPr="00DC5FD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2F5F" w14:textId="6BB6302B" w:rsidR="00663997" w:rsidRPr="009F57F3" w:rsidRDefault="00DA0C3A" w:rsidP="009F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7F3">
              <w:rPr>
                <w:rFonts w:ascii="Arial" w:eastAsia="Times New Roman" w:hAnsi="Arial" w:cs="Arial"/>
                <w:sz w:val="24"/>
                <w:szCs w:val="24"/>
              </w:rPr>
              <w:t>(1</w:t>
            </w:r>
            <w:r w:rsidR="009F57F3" w:rsidRPr="009F57F3">
              <w:rPr>
                <w:rFonts w:ascii="Arial" w:eastAsia="Times New Roman" w:hAnsi="Arial" w:cs="Arial"/>
                <w:sz w:val="24"/>
                <w:szCs w:val="24"/>
              </w:rPr>
              <w:t>,857</w:t>
            </w:r>
            <w:r w:rsidR="00663997" w:rsidRPr="009F57F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663997" w:rsidRPr="00915EF6" w14:paraId="44ABAC8C" w14:textId="77777777" w:rsidTr="00663997">
        <w:trPr>
          <w:gridAfter w:val="1"/>
          <w:wAfter w:w="1390" w:type="dxa"/>
          <w:trHeight w:val="30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3F0D" w14:textId="2BE06103" w:rsidR="00663997" w:rsidRPr="00247E7A" w:rsidRDefault="009C1723" w:rsidP="009C1723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DA0C3A" w:rsidRPr="00247E7A">
              <w:rPr>
                <w:rFonts w:ascii="Arial" w:eastAsia="Times New Roman" w:hAnsi="Arial" w:cs="Arial"/>
                <w:sz w:val="24"/>
                <w:szCs w:val="24"/>
              </w:rPr>
              <w:t>upplementals</w:t>
            </w:r>
            <w:r w:rsidR="009F57F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(net)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8D3F" w14:textId="024C72AA" w:rsidR="00663997" w:rsidRPr="00DC5FDC" w:rsidRDefault="00663997" w:rsidP="00AA5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7438" w14:textId="3D90D325" w:rsidR="00663997" w:rsidRPr="009F57F3" w:rsidRDefault="00DA0C3A" w:rsidP="009F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7F3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9F57F3" w:rsidRPr="009F57F3">
              <w:rPr>
                <w:rFonts w:ascii="Arial" w:eastAsia="Times New Roman" w:hAnsi="Arial" w:cs="Arial"/>
                <w:sz w:val="24"/>
                <w:szCs w:val="24"/>
              </w:rPr>
              <w:t>37</w:t>
            </w:r>
            <w:r w:rsidR="00663997" w:rsidRPr="009F57F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663997" w:rsidRPr="00915EF6" w14:paraId="699E1D30" w14:textId="77777777" w:rsidTr="00663997">
        <w:trPr>
          <w:gridAfter w:val="1"/>
          <w:wAfter w:w="1390" w:type="dxa"/>
          <w:trHeight w:val="135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446A" w14:textId="77777777" w:rsidR="00663997" w:rsidRPr="00247E7A" w:rsidRDefault="00663997" w:rsidP="0027632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49E8" w14:textId="77777777" w:rsidR="00663997" w:rsidRPr="00DC5FDC" w:rsidRDefault="00663997" w:rsidP="0027632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3A59" w14:textId="77777777" w:rsidR="00663997" w:rsidRPr="009F57F3" w:rsidRDefault="00663997" w:rsidP="0027632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3997" w:rsidRPr="00915EF6" w14:paraId="265E9A0C" w14:textId="77777777" w:rsidTr="00663997">
        <w:trPr>
          <w:gridAfter w:val="1"/>
          <w:wAfter w:w="1390" w:type="dxa"/>
          <w:trHeight w:val="300"/>
        </w:trPr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2ABF3" w14:textId="77777777" w:rsidR="00663997" w:rsidRPr="00247E7A" w:rsidRDefault="00663997" w:rsidP="0027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7E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General Fund Expenditures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B9099" w14:textId="683C9B87" w:rsidR="00663997" w:rsidRPr="00DC5FDC" w:rsidRDefault="00DA0C3A" w:rsidP="00DC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DC5F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(1,</w:t>
            </w:r>
            <w:r w:rsidR="00DC5FDC" w:rsidRPr="00DC5F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857</w:t>
            </w:r>
            <w:r w:rsidR="00663997" w:rsidRPr="00DC5F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71938" w14:textId="12029241" w:rsidR="00663997" w:rsidRPr="009F57F3" w:rsidRDefault="00DA0C3A" w:rsidP="0051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57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(1,</w:t>
            </w:r>
            <w:r w:rsidR="00514F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894</w:t>
            </w:r>
            <w:r w:rsidR="00663997" w:rsidRPr="009F57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663997" w:rsidRPr="00915EF6" w14:paraId="06BD632A" w14:textId="77777777" w:rsidTr="00663997">
        <w:trPr>
          <w:gridAfter w:val="1"/>
          <w:wAfter w:w="1390" w:type="dxa"/>
          <w:trHeight w:val="135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9594" w14:textId="77777777" w:rsidR="00663997" w:rsidRPr="00247E7A" w:rsidRDefault="00663997" w:rsidP="0027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12B9" w14:textId="77777777" w:rsidR="00663997" w:rsidRPr="00DC5FDC" w:rsidRDefault="00663997" w:rsidP="0027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39BE" w14:textId="77777777" w:rsidR="00663997" w:rsidRPr="009F57F3" w:rsidRDefault="00663997" w:rsidP="0027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C5FDC" w:rsidRPr="00915EF6" w14:paraId="0DA80961" w14:textId="77777777" w:rsidTr="00663997">
        <w:trPr>
          <w:gridAfter w:val="1"/>
          <w:wAfter w:w="1390" w:type="dxa"/>
          <w:trHeight w:val="345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1CE44" w14:textId="027C7A4D" w:rsidR="00DC5FDC" w:rsidRPr="00247E7A" w:rsidRDefault="00DC5FDC" w:rsidP="0027632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Estimated Reappropriation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2CA5D" w14:textId="7C6C87F4" w:rsidR="00DC5FDC" w:rsidRPr="00DC5FDC" w:rsidRDefault="00DC5FDC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(10)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A2C73" w14:textId="77777777" w:rsidR="00DC5FDC" w:rsidRPr="009F57F3" w:rsidRDefault="00DC5FDC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3997" w:rsidRPr="00915EF6" w14:paraId="447C793F" w14:textId="77777777" w:rsidTr="00663997">
        <w:trPr>
          <w:gridAfter w:val="1"/>
          <w:wAfter w:w="1390" w:type="dxa"/>
          <w:trHeight w:val="345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FE47" w14:textId="003C7430" w:rsidR="00663997" w:rsidRPr="00247E7A" w:rsidRDefault="00DA0C3A" w:rsidP="0027632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247E7A">
              <w:rPr>
                <w:rFonts w:ascii="Arial" w:eastAsia="Times New Roman" w:hAnsi="Arial" w:cs="Arial"/>
                <w:sz w:val="24"/>
                <w:szCs w:val="24"/>
              </w:rPr>
              <w:t>Underexpenditures</w:t>
            </w:r>
            <w:r w:rsidR="00663997" w:rsidRPr="00247E7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B03A" w14:textId="28ABC9C1" w:rsidR="00663997" w:rsidRPr="00DC5FDC" w:rsidRDefault="00DC5FDC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5FDC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7105" w14:textId="7A2FF0AF" w:rsidR="00663997" w:rsidRPr="009F57F3" w:rsidRDefault="009F57F3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7F3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</w:tr>
      <w:tr w:rsidR="00663997" w:rsidRPr="00915EF6" w14:paraId="3F86698F" w14:textId="77777777" w:rsidTr="00663997">
        <w:trPr>
          <w:gridAfter w:val="1"/>
          <w:wAfter w:w="1390" w:type="dxa"/>
          <w:trHeight w:val="135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4F62" w14:textId="77777777" w:rsidR="00663997" w:rsidRPr="00247E7A" w:rsidRDefault="00663997" w:rsidP="002763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5937" w14:textId="77777777" w:rsidR="00663997" w:rsidRPr="00DC5FDC" w:rsidRDefault="00663997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5B23" w14:textId="77777777" w:rsidR="00663997" w:rsidRPr="009F57F3" w:rsidRDefault="00663997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3997" w:rsidRPr="00915EF6" w14:paraId="774795C8" w14:textId="77777777" w:rsidTr="00663997">
        <w:trPr>
          <w:gridAfter w:val="1"/>
          <w:wAfter w:w="1390" w:type="dxa"/>
          <w:trHeight w:val="300"/>
        </w:trPr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C7BDA" w14:textId="77777777" w:rsidR="00663997" w:rsidRPr="00247E7A" w:rsidRDefault="00663997" w:rsidP="0027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7E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Ending Fund Balance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81910" w14:textId="3966DC88" w:rsidR="00663997" w:rsidRPr="00DC5FDC" w:rsidRDefault="00DC5FDC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5F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63D7F" w14:textId="60531C35" w:rsidR="00663997" w:rsidRPr="009F57F3" w:rsidRDefault="009F57F3" w:rsidP="00B67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57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</w:t>
            </w:r>
          </w:p>
        </w:tc>
      </w:tr>
      <w:tr w:rsidR="00663997" w:rsidRPr="00915EF6" w14:paraId="2F9869B8" w14:textId="77777777" w:rsidTr="00663997">
        <w:trPr>
          <w:gridAfter w:val="1"/>
          <w:wAfter w:w="1390" w:type="dxa"/>
          <w:trHeight w:val="135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0495" w14:textId="77777777" w:rsidR="00663997" w:rsidRPr="00247E7A" w:rsidRDefault="00663997" w:rsidP="00276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8367" w14:textId="77777777" w:rsidR="00663997" w:rsidRPr="00DC5FDC" w:rsidRDefault="00663997" w:rsidP="00276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AD89" w14:textId="77777777" w:rsidR="00663997" w:rsidRPr="00DC5FDC" w:rsidRDefault="00663997" w:rsidP="00276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663997" w:rsidRPr="00915EF6" w14:paraId="48E4B786" w14:textId="77777777" w:rsidTr="00663997">
        <w:trPr>
          <w:gridAfter w:val="1"/>
          <w:wAfter w:w="1390" w:type="dxa"/>
          <w:trHeight w:val="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8BFE" w14:textId="77777777" w:rsidR="00663997" w:rsidRPr="00247E7A" w:rsidRDefault="00663997" w:rsidP="0027632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4213" w14:textId="77777777" w:rsidR="00663997" w:rsidRPr="00DC5FDC" w:rsidRDefault="00663997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B296" w14:textId="77777777" w:rsidR="00663997" w:rsidRPr="00DC5FDC" w:rsidRDefault="00663997" w:rsidP="0027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663997" w:rsidRPr="00915EF6" w14:paraId="5B30D2D9" w14:textId="77777777" w:rsidTr="00663997">
        <w:trPr>
          <w:gridAfter w:val="1"/>
          <w:wAfter w:w="1390" w:type="dxa"/>
          <w:trHeight w:val="315"/>
        </w:trPr>
        <w:tc>
          <w:tcPr>
            <w:tcW w:w="586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17B21" w14:textId="10AEB795" w:rsidR="00663997" w:rsidRPr="00DC5FDC" w:rsidRDefault="00247E7A" w:rsidP="00DC5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5F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GF</w:t>
            </w:r>
            <w:r w:rsidR="00663997" w:rsidRPr="00DC5F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Undesignated Fund Balance </w:t>
            </w:r>
            <w:r w:rsidRPr="00DC5F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</w:t>
            </w:r>
            <w:r w:rsidR="00DC5FDC" w:rsidRPr="00DC5F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D6698" w14:textId="7876FE81" w:rsidR="00663997" w:rsidRPr="009F57F3" w:rsidRDefault="00663997" w:rsidP="009F5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57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="009F57F3" w:rsidRPr="009F57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</w:t>
            </w:r>
          </w:p>
        </w:tc>
      </w:tr>
      <w:tr w:rsidR="00663997" w:rsidRPr="00915EF6" w14:paraId="1B20B574" w14:textId="77777777" w:rsidTr="00663997">
        <w:trPr>
          <w:gridAfter w:val="1"/>
          <w:wAfter w:w="1390" w:type="dxa"/>
          <w:trHeight w:val="315"/>
        </w:trPr>
        <w:tc>
          <w:tcPr>
            <w:tcW w:w="586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5AAFE" w14:textId="77777777" w:rsidR="00663997" w:rsidRPr="00DC5FDC" w:rsidRDefault="00663997" w:rsidP="00771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94DBC27" w14:textId="4E2CD6B3" w:rsidR="00663997" w:rsidRPr="00DC5FDC" w:rsidRDefault="00663997" w:rsidP="00DC5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5F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Rainy Day Reserve Fund Balance </w:t>
            </w:r>
            <w:r w:rsidR="00247E7A" w:rsidRPr="00DC5F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="00DC5FDC" w:rsidRPr="00DC5F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7CA9C" w14:textId="65FEE86F" w:rsidR="00663997" w:rsidRPr="009F57F3" w:rsidRDefault="00101E5A" w:rsidP="00BA4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57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</w:tr>
    </w:tbl>
    <w:p w14:paraId="50DDD68A" w14:textId="77777777" w:rsidR="00276329" w:rsidRPr="00915EF6" w:rsidRDefault="00276329" w:rsidP="00C20AE4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14:paraId="63104B09" w14:textId="387879CA" w:rsidR="00BA4987" w:rsidRPr="0009559B" w:rsidRDefault="0045354A" w:rsidP="00C20AE4">
      <w:pPr>
        <w:pStyle w:val="NoSpacing"/>
        <w:rPr>
          <w:rFonts w:ascii="Arial" w:hAnsi="Arial" w:cs="Arial"/>
          <w:sz w:val="24"/>
          <w:szCs w:val="24"/>
        </w:rPr>
      </w:pPr>
      <w:r w:rsidRPr="0009559B">
        <w:rPr>
          <w:rFonts w:ascii="Arial" w:hAnsi="Arial" w:cs="Arial"/>
          <w:sz w:val="24"/>
          <w:szCs w:val="24"/>
        </w:rPr>
        <w:t xml:space="preserve">Notes 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9340"/>
        <w:gridCol w:w="575"/>
      </w:tblGrid>
      <w:tr w:rsidR="00276329" w:rsidRPr="0009559B" w14:paraId="52E94052" w14:textId="77777777" w:rsidTr="00276329">
        <w:trPr>
          <w:trHeight w:val="345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8C7D" w14:textId="60D5E477" w:rsidR="00276329" w:rsidRPr="0009559B" w:rsidRDefault="00276329" w:rsidP="009F5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5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1</w:t>
            </w:r>
            <w:r w:rsidR="00B627C6" w:rsidRPr="00095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F57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2019-2020 estimates</w:t>
            </w:r>
            <w:r w:rsidR="0009559B" w:rsidRPr="00095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are based on </w:t>
            </w:r>
            <w:r w:rsidR="009F57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approved forecasts.</w:t>
            </w:r>
          </w:p>
        </w:tc>
      </w:tr>
      <w:tr w:rsidR="00276329" w:rsidRPr="00915EF6" w14:paraId="46C055BE" w14:textId="77777777" w:rsidTr="00276329">
        <w:trPr>
          <w:trHeight w:val="34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6A5F" w14:textId="5925E074" w:rsidR="00276329" w:rsidRPr="00711DF8" w:rsidRDefault="00276329" w:rsidP="0038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DF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lastRenderedPageBreak/>
              <w:t>2</w:t>
            </w:r>
            <w:r w:rsidRPr="00711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C6D51" w:rsidRPr="00711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Contract</w:t>
            </w:r>
            <w:r w:rsidR="00384812" w:rsidRPr="00711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="00DC6D51" w:rsidRPr="00711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includes revenue from external jurisdictions for sheriff, jail, court, </w:t>
            </w:r>
            <w:r w:rsidR="00181EF3" w:rsidRPr="00711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public defense, </w:t>
            </w:r>
            <w:r w:rsidR="008154E4" w:rsidRPr="00711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 elections services. </w:t>
            </w:r>
            <w:r w:rsidR="00DC6D51" w:rsidRPr="00711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Charges for services includes revenue from other county funds for legal, legislative, </w:t>
            </w:r>
            <w:r w:rsidR="00384812" w:rsidRPr="00711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human resources, </w:t>
            </w:r>
            <w:r w:rsidR="00DC6D51" w:rsidRPr="00711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 </w:t>
            </w:r>
            <w:r w:rsidR="00384812" w:rsidRPr="00711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PSB</w:t>
            </w:r>
            <w:r w:rsidR="00DC6D51" w:rsidRPr="00711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services.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B486" w14:textId="77777777" w:rsidR="00276329" w:rsidRPr="00915EF6" w:rsidRDefault="00276329" w:rsidP="00276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276329" w:rsidRPr="00915EF6" w14:paraId="6CAF5D25" w14:textId="77777777" w:rsidTr="00276329">
        <w:trPr>
          <w:trHeight w:val="345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3DB7" w14:textId="2104391C" w:rsidR="00276329" w:rsidRPr="00711DF8" w:rsidRDefault="00D11500" w:rsidP="0018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DF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="00276329" w:rsidRPr="00711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Other taxes </w:t>
            </w:r>
            <w:r w:rsidR="00181EF3" w:rsidRPr="00711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include interest earnings, penalties on delinquent property taxes, </w:t>
            </w:r>
            <w:r w:rsidR="00B672F2" w:rsidRPr="00711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gambling taxes, </w:t>
            </w:r>
            <w:r w:rsidR="00181EF3" w:rsidRPr="00711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 </w:t>
            </w:r>
            <w:r w:rsidR="00B672F2" w:rsidRPr="00711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 revenue streams</w:t>
            </w:r>
            <w:r w:rsidR="00181EF3" w:rsidRPr="00711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 </w:t>
            </w:r>
          </w:p>
          <w:p w14:paraId="45D738EB" w14:textId="27FAACE7" w:rsidR="00D11500" w:rsidRPr="00711DF8" w:rsidRDefault="00D11500" w:rsidP="00506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03BCE545" w14:textId="2D051D8A" w:rsidR="00B246B8" w:rsidRPr="00F1290B" w:rsidRDefault="00181EF3" w:rsidP="00C20AE4">
      <w:pPr>
        <w:pStyle w:val="NoSpacing"/>
        <w:rPr>
          <w:rFonts w:ascii="Arial" w:hAnsi="Arial" w:cs="Arial"/>
          <w:sz w:val="24"/>
          <w:szCs w:val="24"/>
        </w:rPr>
      </w:pPr>
      <w:r w:rsidRPr="00E973A2">
        <w:rPr>
          <w:rFonts w:ascii="Arial" w:hAnsi="Arial" w:cs="Arial"/>
          <w:sz w:val="24"/>
          <w:szCs w:val="24"/>
        </w:rPr>
        <w:t xml:space="preserve">Major </w:t>
      </w:r>
      <w:r w:rsidR="00667DB8" w:rsidRPr="00E973A2">
        <w:rPr>
          <w:rFonts w:ascii="Arial" w:hAnsi="Arial" w:cs="Arial"/>
          <w:sz w:val="24"/>
          <w:szCs w:val="24"/>
        </w:rPr>
        <w:t xml:space="preserve">revenue </w:t>
      </w:r>
      <w:r w:rsidR="009F57F3">
        <w:rPr>
          <w:rFonts w:ascii="Arial" w:hAnsi="Arial" w:cs="Arial"/>
          <w:sz w:val="24"/>
          <w:szCs w:val="24"/>
        </w:rPr>
        <w:t>variances from the 2019</w:t>
      </w:r>
      <w:r w:rsidR="009C1723">
        <w:rPr>
          <w:rFonts w:ascii="Arial" w:hAnsi="Arial" w:cs="Arial"/>
          <w:sz w:val="24"/>
          <w:szCs w:val="24"/>
        </w:rPr>
        <w:t>-</w:t>
      </w:r>
      <w:r w:rsidR="009F57F3">
        <w:rPr>
          <w:rFonts w:ascii="Arial" w:hAnsi="Arial" w:cs="Arial"/>
          <w:sz w:val="24"/>
          <w:szCs w:val="24"/>
        </w:rPr>
        <w:t>2020</w:t>
      </w:r>
      <w:r w:rsidRPr="00E973A2">
        <w:rPr>
          <w:rFonts w:ascii="Arial" w:hAnsi="Arial" w:cs="Arial"/>
          <w:sz w:val="24"/>
          <w:szCs w:val="24"/>
        </w:rPr>
        <w:t xml:space="preserve"> Adopted Budget</w:t>
      </w:r>
      <w:r w:rsidR="00667DB8" w:rsidRPr="00E973A2">
        <w:rPr>
          <w:rFonts w:ascii="Arial" w:hAnsi="Arial" w:cs="Arial"/>
          <w:sz w:val="24"/>
          <w:szCs w:val="24"/>
        </w:rPr>
        <w:t>:</w:t>
      </w:r>
    </w:p>
    <w:p w14:paraId="4F5DA73C" w14:textId="5612EDB0" w:rsidR="00BA56FE" w:rsidRPr="00E973A2" w:rsidRDefault="009F57F3" w:rsidP="00BA56FE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$15</w:t>
      </w:r>
      <w:r w:rsidR="00BA56FE" w:rsidRPr="00E973A2">
        <w:rPr>
          <w:rFonts w:ascii="Arial" w:hAnsi="Arial" w:cs="Arial"/>
          <w:sz w:val="24"/>
          <w:szCs w:val="24"/>
        </w:rPr>
        <w:t xml:space="preserve"> million</w:t>
      </w:r>
      <w:r>
        <w:rPr>
          <w:rFonts w:ascii="Arial" w:hAnsi="Arial" w:cs="Arial"/>
          <w:sz w:val="24"/>
          <w:szCs w:val="24"/>
        </w:rPr>
        <w:t xml:space="preserve"> in additional property and sales tax</w:t>
      </w:r>
    </w:p>
    <w:p w14:paraId="7401C364" w14:textId="003FCB49" w:rsidR="00BA56FE" w:rsidRPr="00E973A2" w:rsidRDefault="00BA56FE" w:rsidP="00BA56FE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973A2">
        <w:rPr>
          <w:rFonts w:ascii="Arial" w:hAnsi="Arial" w:cs="Arial"/>
          <w:sz w:val="24"/>
          <w:szCs w:val="24"/>
        </w:rPr>
        <w:t>$</w:t>
      </w:r>
      <w:r w:rsidR="009F57F3">
        <w:rPr>
          <w:rFonts w:ascii="Arial" w:hAnsi="Arial" w:cs="Arial"/>
          <w:sz w:val="24"/>
          <w:szCs w:val="24"/>
        </w:rPr>
        <w:t>4</w:t>
      </w:r>
      <w:r w:rsidRPr="00E973A2">
        <w:rPr>
          <w:rFonts w:ascii="Arial" w:hAnsi="Arial" w:cs="Arial"/>
          <w:sz w:val="24"/>
          <w:szCs w:val="24"/>
        </w:rPr>
        <w:t xml:space="preserve"> million in </w:t>
      </w:r>
      <w:r w:rsidR="009F57F3">
        <w:rPr>
          <w:rFonts w:ascii="Arial" w:hAnsi="Arial" w:cs="Arial"/>
          <w:sz w:val="24"/>
          <w:szCs w:val="24"/>
        </w:rPr>
        <w:t>additional interest earnings</w:t>
      </w:r>
    </w:p>
    <w:p w14:paraId="3445004A" w14:textId="77777777" w:rsidR="00667DB8" w:rsidRPr="00915EF6" w:rsidRDefault="00667DB8" w:rsidP="00667DB8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14:paraId="5F93B0A6" w14:textId="57A08928" w:rsidR="009C1723" w:rsidRPr="00F1290B" w:rsidRDefault="009C1723" w:rsidP="009C1723">
      <w:pPr>
        <w:pStyle w:val="NoSpacing"/>
        <w:rPr>
          <w:rFonts w:ascii="Arial" w:hAnsi="Arial" w:cs="Arial"/>
          <w:sz w:val="24"/>
          <w:szCs w:val="24"/>
        </w:rPr>
      </w:pPr>
      <w:r w:rsidRPr="00E973A2">
        <w:rPr>
          <w:rFonts w:ascii="Arial" w:hAnsi="Arial" w:cs="Arial"/>
          <w:sz w:val="24"/>
          <w:szCs w:val="24"/>
        </w:rPr>
        <w:t xml:space="preserve">Major </w:t>
      </w:r>
      <w:r>
        <w:rPr>
          <w:rFonts w:ascii="Arial" w:hAnsi="Arial" w:cs="Arial"/>
          <w:sz w:val="24"/>
          <w:szCs w:val="24"/>
        </w:rPr>
        <w:t>expenditures</w:t>
      </w:r>
      <w:r w:rsidRPr="00E973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variances from the 2019-2020</w:t>
      </w:r>
      <w:r w:rsidRPr="00E973A2">
        <w:rPr>
          <w:rFonts w:ascii="Arial" w:hAnsi="Arial" w:cs="Arial"/>
          <w:sz w:val="24"/>
          <w:szCs w:val="24"/>
        </w:rPr>
        <w:t xml:space="preserve"> Adopted Budget:</w:t>
      </w:r>
    </w:p>
    <w:p w14:paraId="4A5307B8" w14:textId="19149E2F" w:rsidR="009C1723" w:rsidRDefault="009C1723" w:rsidP="009C1723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$21</w:t>
      </w:r>
      <w:r w:rsidRPr="00E973A2">
        <w:rPr>
          <w:rFonts w:ascii="Arial" w:hAnsi="Arial" w:cs="Arial"/>
          <w:sz w:val="24"/>
          <w:szCs w:val="24"/>
        </w:rPr>
        <w:t xml:space="preserve"> million</w:t>
      </w:r>
      <w:r>
        <w:rPr>
          <w:rFonts w:ascii="Arial" w:hAnsi="Arial" w:cs="Arial"/>
          <w:sz w:val="24"/>
          <w:szCs w:val="24"/>
        </w:rPr>
        <w:t xml:space="preserve"> in approved supplementals</w:t>
      </w:r>
    </w:p>
    <w:p w14:paraId="594A7919" w14:textId="6B8A0CE1" w:rsidR="009C1723" w:rsidRDefault="009C1723" w:rsidP="009C1723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$15 million in net </w:t>
      </w:r>
      <w:r w:rsidR="00514F68">
        <w:rPr>
          <w:rFonts w:ascii="Arial" w:hAnsi="Arial" w:cs="Arial"/>
          <w:sz w:val="24"/>
          <w:szCs w:val="24"/>
        </w:rPr>
        <w:t xml:space="preserve">pending </w:t>
      </w:r>
      <w:r>
        <w:rPr>
          <w:rFonts w:ascii="Arial" w:hAnsi="Arial" w:cs="Arial"/>
          <w:sz w:val="24"/>
          <w:szCs w:val="24"/>
        </w:rPr>
        <w:t>supplementals</w:t>
      </w:r>
      <w:r w:rsidR="00514F68">
        <w:rPr>
          <w:rFonts w:ascii="Arial" w:hAnsi="Arial" w:cs="Arial"/>
          <w:sz w:val="24"/>
          <w:szCs w:val="24"/>
        </w:rPr>
        <w:t xml:space="preserve"> ($31 million in expenditures, $16 million revenue backed)</w:t>
      </w:r>
    </w:p>
    <w:p w14:paraId="2A1D13DE" w14:textId="75366AE2" w:rsidR="00514F68" w:rsidRPr="00E973A2" w:rsidRDefault="00514F68" w:rsidP="009C1723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 million placeholder for future policy adds</w:t>
      </w:r>
    </w:p>
    <w:p w14:paraId="3FECB588" w14:textId="77777777" w:rsidR="009C1723" w:rsidRDefault="009C1723" w:rsidP="00667DB8">
      <w:pPr>
        <w:pStyle w:val="NoSpacing"/>
        <w:rPr>
          <w:rFonts w:ascii="Arial" w:hAnsi="Arial" w:cs="Arial"/>
          <w:sz w:val="24"/>
          <w:szCs w:val="24"/>
        </w:rPr>
      </w:pPr>
    </w:p>
    <w:p w14:paraId="5628D97E" w14:textId="49B51977" w:rsidR="00667DB8" w:rsidRPr="00FF58E2" w:rsidRDefault="00514F68" w:rsidP="00667D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2019-2020 ending undesignated fund balance is expected to exceed the 8% undesignated target.</w:t>
      </w:r>
    </w:p>
    <w:p w14:paraId="5C83389F" w14:textId="77777777" w:rsidR="006B6713" w:rsidRPr="00915EF6" w:rsidRDefault="006B6713" w:rsidP="00667DB8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14:paraId="00B44044" w14:textId="77777777" w:rsidR="00D97D5C" w:rsidRPr="00915EF6" w:rsidRDefault="00D97D5C" w:rsidP="00C20AE4">
      <w:pPr>
        <w:pStyle w:val="NoSpacing"/>
        <w:rPr>
          <w:rFonts w:ascii="Arial" w:hAnsi="Arial" w:cs="Arial"/>
          <w:b/>
          <w:sz w:val="24"/>
          <w:szCs w:val="24"/>
          <w:highlight w:val="yellow"/>
        </w:rPr>
      </w:pPr>
    </w:p>
    <w:p w14:paraId="1E122D06" w14:textId="157286DC" w:rsidR="00FB0E1D" w:rsidRPr="00FF58E2" w:rsidRDefault="00863B3F" w:rsidP="00C20AE4">
      <w:pPr>
        <w:pStyle w:val="NoSpacing"/>
        <w:rPr>
          <w:rFonts w:ascii="Arial" w:hAnsi="Arial" w:cs="Arial"/>
          <w:b/>
          <w:sz w:val="24"/>
          <w:szCs w:val="24"/>
        </w:rPr>
      </w:pPr>
      <w:r w:rsidRPr="00FF58E2">
        <w:rPr>
          <w:rFonts w:ascii="Arial" w:hAnsi="Arial" w:cs="Arial"/>
          <w:b/>
          <w:sz w:val="24"/>
          <w:szCs w:val="24"/>
        </w:rPr>
        <w:t xml:space="preserve">2019-2020 </w:t>
      </w:r>
      <w:r w:rsidR="00F74817" w:rsidRPr="00FF58E2">
        <w:rPr>
          <w:rFonts w:ascii="Arial" w:hAnsi="Arial" w:cs="Arial"/>
          <w:b/>
          <w:sz w:val="24"/>
          <w:szCs w:val="24"/>
        </w:rPr>
        <w:t xml:space="preserve">and 2021-2022 </w:t>
      </w:r>
      <w:r w:rsidR="004203BC" w:rsidRPr="00FF58E2">
        <w:rPr>
          <w:rFonts w:ascii="Arial" w:hAnsi="Arial" w:cs="Arial"/>
          <w:b/>
          <w:sz w:val="24"/>
          <w:szCs w:val="24"/>
        </w:rPr>
        <w:t xml:space="preserve">Preliminary </w:t>
      </w:r>
      <w:r w:rsidRPr="00FF58E2">
        <w:rPr>
          <w:rFonts w:ascii="Arial" w:hAnsi="Arial" w:cs="Arial"/>
          <w:b/>
          <w:sz w:val="24"/>
          <w:szCs w:val="24"/>
        </w:rPr>
        <w:t>Outlook</w:t>
      </w:r>
    </w:p>
    <w:p w14:paraId="7A4A94C8" w14:textId="0BB7E969" w:rsidR="006B6713" w:rsidRPr="00FF58E2" w:rsidRDefault="00FF58E2" w:rsidP="006B6713">
      <w:pPr>
        <w:pStyle w:val="NoSpacing"/>
        <w:rPr>
          <w:rFonts w:ascii="Arial" w:hAnsi="Arial" w:cs="Arial"/>
          <w:sz w:val="24"/>
          <w:szCs w:val="24"/>
        </w:rPr>
      </w:pPr>
      <w:r w:rsidRPr="00FF58E2">
        <w:rPr>
          <w:rFonts w:ascii="Arial" w:hAnsi="Arial" w:cs="Arial"/>
          <w:sz w:val="24"/>
          <w:szCs w:val="24"/>
        </w:rPr>
        <w:t>Includes impacts of the August 2019 OEFA forecast for major county revenues, the 2019-2020 Adopted Budget, all adopted 2019-2020 supplementals, and the proposed 2</w:t>
      </w:r>
      <w:r w:rsidRPr="00FF58E2">
        <w:rPr>
          <w:rFonts w:ascii="Arial" w:hAnsi="Arial" w:cs="Arial"/>
          <w:sz w:val="24"/>
          <w:szCs w:val="24"/>
          <w:vertAlign w:val="superscript"/>
        </w:rPr>
        <w:t>nd</w:t>
      </w:r>
      <w:r w:rsidRPr="00FF58E2">
        <w:rPr>
          <w:rFonts w:ascii="Arial" w:hAnsi="Arial" w:cs="Arial"/>
          <w:sz w:val="24"/>
          <w:szCs w:val="24"/>
        </w:rPr>
        <w:t xml:space="preserve"> Omnibus Supplemental.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2602"/>
        <w:gridCol w:w="3788"/>
        <w:gridCol w:w="3330"/>
      </w:tblGrid>
      <w:tr w:rsidR="00663997" w:rsidRPr="00915EF6" w14:paraId="1C855E9F" w14:textId="77777777" w:rsidTr="00265CCC">
        <w:trPr>
          <w:divId w:val="955521594"/>
          <w:trHeight w:val="690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FB20" w14:textId="77777777" w:rsidR="00663997" w:rsidRPr="00915EF6" w:rsidRDefault="00663997" w:rsidP="00663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C149D" w14:textId="65395F48" w:rsidR="00663997" w:rsidRPr="00B72BAF" w:rsidRDefault="006B6713" w:rsidP="0066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B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2019-2020</w:t>
            </w:r>
            <w:r w:rsidR="00663997" w:rsidRPr="00B72B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Estimated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F8DF3" w14:textId="7E6BA40D" w:rsidR="00663997" w:rsidRPr="00B72BAF" w:rsidRDefault="006B6713" w:rsidP="0066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B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2021-2022</w:t>
            </w:r>
            <w:r w:rsidR="00663997" w:rsidRPr="00B72B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Projected</w:t>
            </w:r>
          </w:p>
        </w:tc>
      </w:tr>
      <w:tr w:rsidR="00663997" w:rsidRPr="00915EF6" w14:paraId="5AA272DB" w14:textId="77777777" w:rsidTr="00265CCC">
        <w:trPr>
          <w:divId w:val="955521594"/>
          <w:trHeight w:val="402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CE35" w14:textId="4C7FD949" w:rsidR="00663997" w:rsidRPr="00B72BAF" w:rsidRDefault="00D41A01" w:rsidP="00663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Beginning </w:t>
            </w:r>
            <w:r w:rsidR="00663997" w:rsidRPr="00B72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Fund Balance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E9AA8" w14:textId="30ABF262" w:rsidR="00663997" w:rsidRPr="00DB06DB" w:rsidRDefault="00DB06DB" w:rsidP="0066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06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01F03" w14:textId="0CABDA57" w:rsidR="00663997" w:rsidRPr="00FB5FB3" w:rsidRDefault="00FB5FB3" w:rsidP="00D41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5F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</w:t>
            </w:r>
          </w:p>
        </w:tc>
      </w:tr>
      <w:tr w:rsidR="00663997" w:rsidRPr="00915EF6" w14:paraId="2E5494A5" w14:textId="77777777" w:rsidTr="00265CCC">
        <w:trPr>
          <w:divId w:val="955521594"/>
          <w:trHeight w:val="402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2150" w14:textId="77777777" w:rsidR="00663997" w:rsidRPr="00B72BAF" w:rsidRDefault="00663997" w:rsidP="0066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C6C93" w14:textId="3EDFD87F" w:rsidR="00663997" w:rsidRPr="00DB06DB" w:rsidRDefault="00663997" w:rsidP="0066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06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E26D5" w14:textId="76074449" w:rsidR="00663997" w:rsidRPr="00FB5FB3" w:rsidRDefault="00663997" w:rsidP="0066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5F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63997" w:rsidRPr="00915EF6" w14:paraId="056C5713" w14:textId="77777777" w:rsidTr="00265CCC">
        <w:trPr>
          <w:divId w:val="955521594"/>
          <w:trHeight w:val="402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3A8E" w14:textId="2A1D1515" w:rsidR="00663997" w:rsidRPr="00B72BAF" w:rsidRDefault="00663997" w:rsidP="00663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Revenue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9CF8D" w14:textId="6CE2E906" w:rsidR="00663997" w:rsidRPr="00DB06DB" w:rsidRDefault="00353899" w:rsidP="00B67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1,852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C036E" w14:textId="08D7A74A" w:rsidR="00663997" w:rsidRPr="00FB5FB3" w:rsidRDefault="006B6713" w:rsidP="00FB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5F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</w:t>
            </w:r>
            <w:r w:rsidR="00FB5FB3" w:rsidRPr="00FB5F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934</w:t>
            </w:r>
          </w:p>
        </w:tc>
      </w:tr>
      <w:tr w:rsidR="00663997" w:rsidRPr="00915EF6" w14:paraId="7F216FEB" w14:textId="77777777" w:rsidTr="00265CCC">
        <w:trPr>
          <w:divId w:val="955521594"/>
          <w:trHeight w:val="402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2BA7" w14:textId="0D6FE009" w:rsidR="00663997" w:rsidRPr="00B72BAF" w:rsidRDefault="00663997" w:rsidP="00663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Rev Growth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FA8CE" w14:textId="07D3DA0C" w:rsidR="00663997" w:rsidRPr="00DB06DB" w:rsidRDefault="00663997" w:rsidP="0066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BA40D" w14:textId="3D7D2365" w:rsidR="00663997" w:rsidRPr="00915EF6" w:rsidRDefault="00A278D4" w:rsidP="00FB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FB5F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</w:t>
            </w:r>
            <w:r w:rsidR="00FB5FB3" w:rsidRPr="00FB5F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667DB8" w:rsidRPr="00FB5F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663997" w:rsidRPr="00915EF6" w14:paraId="4141BE15" w14:textId="77777777" w:rsidTr="00265CCC">
        <w:trPr>
          <w:divId w:val="955521594"/>
          <w:trHeight w:val="402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8B79" w14:textId="77777777" w:rsidR="00663997" w:rsidRPr="00B72BAF" w:rsidRDefault="00663997" w:rsidP="0066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3B7D9" w14:textId="2F72D548" w:rsidR="00663997" w:rsidRPr="00DB06DB" w:rsidRDefault="00663997" w:rsidP="0066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06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0F4F1" w14:textId="6637D565" w:rsidR="00663997" w:rsidRPr="00FB5FB3" w:rsidRDefault="00663997" w:rsidP="0066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5F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63997" w:rsidRPr="00915EF6" w14:paraId="7562F100" w14:textId="77777777" w:rsidTr="00265CCC">
        <w:trPr>
          <w:divId w:val="955521594"/>
          <w:trHeight w:val="402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0146" w14:textId="04E9A6CD" w:rsidR="00663997" w:rsidRPr="00B72BAF" w:rsidRDefault="00663997" w:rsidP="00663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Expenditures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94636" w14:textId="738DE4CA" w:rsidR="00663997" w:rsidRPr="00DB06DB" w:rsidRDefault="006B6713" w:rsidP="00DB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06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(1,8</w:t>
            </w:r>
            <w:r w:rsidR="00DB06DB" w:rsidRPr="00DB06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</w:t>
            </w:r>
            <w:r w:rsidR="00663997" w:rsidRPr="00DB06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8B97" w14:textId="2F40B887" w:rsidR="00663997" w:rsidRPr="00FB5FB3" w:rsidRDefault="000701B1" w:rsidP="007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5F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 w:rsidR="006B6713" w:rsidRPr="00FB5F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</w:t>
            </w:r>
            <w:r w:rsidR="00FB5FB3" w:rsidRPr="00FB5F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="00743A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</w:t>
            </w:r>
            <w:r w:rsidRPr="00FB5F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663997" w:rsidRPr="00915EF6" w14:paraId="48E08FF1" w14:textId="77777777" w:rsidTr="00265CCC">
        <w:trPr>
          <w:divId w:val="955521594"/>
          <w:trHeight w:val="402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8256" w14:textId="55DDE5BA" w:rsidR="00663997" w:rsidRPr="00B72BAF" w:rsidRDefault="00663997" w:rsidP="00663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2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Exp</w:t>
            </w:r>
            <w:proofErr w:type="spellEnd"/>
            <w:r w:rsidRPr="00B72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Growth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9460" w14:textId="6560A83E" w:rsidR="00663997" w:rsidRPr="00DB06DB" w:rsidRDefault="00663997" w:rsidP="0066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6E3DD" w14:textId="487A6476" w:rsidR="00663997" w:rsidRPr="00FB5FB3" w:rsidRDefault="00822143" w:rsidP="0066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4.7</w:t>
            </w:r>
            <w:r w:rsidR="00663997" w:rsidRPr="00FB5F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663997" w:rsidRPr="00915EF6" w14:paraId="2D7A8E65" w14:textId="77777777" w:rsidTr="00265CCC">
        <w:trPr>
          <w:divId w:val="955521594"/>
          <w:trHeight w:val="402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F7A6" w14:textId="77777777" w:rsidR="00663997" w:rsidRPr="00B72BAF" w:rsidRDefault="00663997" w:rsidP="0066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1A009" w14:textId="05FAF8B4" w:rsidR="00663997" w:rsidRPr="00DB06DB" w:rsidRDefault="00663997" w:rsidP="0066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06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56398" w14:textId="5F4A0A0F" w:rsidR="00663997" w:rsidRPr="00FB5FB3" w:rsidRDefault="00663997" w:rsidP="0066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5F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63997" w:rsidRPr="00915EF6" w14:paraId="2D3007F6" w14:textId="77777777" w:rsidTr="00CC303E">
        <w:trPr>
          <w:divId w:val="955521594"/>
          <w:trHeight w:val="402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79CE" w14:textId="19F492C5" w:rsidR="00663997" w:rsidRPr="00B72BAF" w:rsidRDefault="00663997" w:rsidP="00663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Ending Fund Balance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5F4681BC" w14:textId="4EE582B4" w:rsidR="00663997" w:rsidRPr="00DB06DB" w:rsidRDefault="00DB06DB" w:rsidP="00D41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06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2EEBF558" w14:textId="4052E170" w:rsidR="00663997" w:rsidRPr="00FB5FB3" w:rsidRDefault="00FB5FB3" w:rsidP="0051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5F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  <w:r w:rsidR="00514F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663997" w:rsidRPr="00915EF6" w14:paraId="234A0C33" w14:textId="77777777" w:rsidTr="00265CCC">
        <w:trPr>
          <w:divId w:val="955521594"/>
          <w:trHeight w:val="402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3DCA" w14:textId="6884EC97" w:rsidR="00663997" w:rsidRPr="00B72BAF" w:rsidRDefault="00663997" w:rsidP="00663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Reserves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841F0" w14:textId="41BEF11C" w:rsidR="00663997" w:rsidRPr="00DB06DB" w:rsidRDefault="00663997" w:rsidP="00DB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06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 w:rsidR="006B6713" w:rsidRPr="00DB06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DB06DB" w:rsidRPr="00DB06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DB06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672AD" w14:textId="29416DE6" w:rsidR="00663997" w:rsidRPr="00FB5FB3" w:rsidRDefault="00663997" w:rsidP="00FB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5F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 w:rsidR="00FB5FB3" w:rsidRPr="00FB5F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  <w:r w:rsidRPr="00FB5F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663997" w:rsidRPr="00915EF6" w14:paraId="11E30082" w14:textId="77777777" w:rsidTr="00265CCC">
        <w:trPr>
          <w:divId w:val="955521594"/>
          <w:trHeight w:val="402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C097" w14:textId="06428EDB" w:rsidR="00663997" w:rsidRPr="00B72BAF" w:rsidRDefault="00663997" w:rsidP="00663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Undesignated Fund Balance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D1C4B" w14:textId="5AB43E3B" w:rsidR="00663997" w:rsidRPr="00DB06DB" w:rsidRDefault="00DB06DB" w:rsidP="0066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06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329B0" w14:textId="6D4E36A0" w:rsidR="00663997" w:rsidRPr="00FB5FB3" w:rsidRDefault="00FB5FB3" w:rsidP="0051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5F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514F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663997" w:rsidRPr="00915EF6" w14:paraId="681A0108" w14:textId="77777777" w:rsidTr="00265CCC">
        <w:trPr>
          <w:divId w:val="955521594"/>
          <w:trHeight w:val="402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3E36" w14:textId="77777777" w:rsidR="00663997" w:rsidRPr="00B72BAF" w:rsidRDefault="00663997" w:rsidP="0066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EBB92" w14:textId="354F7BCD" w:rsidR="00663997" w:rsidRPr="00DB06DB" w:rsidRDefault="00663997" w:rsidP="0066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06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E9F18" w14:textId="3D234A84" w:rsidR="00663997" w:rsidRPr="00FB5FB3" w:rsidRDefault="00663997" w:rsidP="0066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5F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63997" w:rsidRPr="00915EF6" w14:paraId="732158F9" w14:textId="77777777" w:rsidTr="00265CCC">
        <w:trPr>
          <w:divId w:val="955521594"/>
          <w:trHeight w:val="402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7B47" w14:textId="37B5DF26" w:rsidR="00663997" w:rsidRPr="00B72BAF" w:rsidRDefault="00663997" w:rsidP="00663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Over/Under 8% Target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296D6141" w14:textId="3727377B" w:rsidR="00663997" w:rsidRPr="00DB06DB" w:rsidRDefault="00DB06DB" w:rsidP="0066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06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6438D3C7" w14:textId="2FB3B4F1" w:rsidR="00663997" w:rsidRPr="00FB5FB3" w:rsidRDefault="00FB5FB3" w:rsidP="00FB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5F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(7</w:t>
            </w:r>
            <w:r w:rsidR="006B6713" w:rsidRPr="00FB5F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14:paraId="65B160FB" w14:textId="3335B8B2" w:rsidR="004E5674" w:rsidRPr="006A7CC9" w:rsidRDefault="00A278D4" w:rsidP="008154E4">
      <w:pPr>
        <w:pStyle w:val="NoSpacing"/>
        <w:rPr>
          <w:rFonts w:ascii="Arial" w:hAnsi="Arial" w:cs="Arial"/>
          <w:b/>
          <w:sz w:val="24"/>
          <w:szCs w:val="24"/>
        </w:rPr>
      </w:pPr>
      <w:r w:rsidRPr="006A7CC9">
        <w:rPr>
          <w:rFonts w:ascii="Arial" w:hAnsi="Arial" w:cs="Arial"/>
          <w:b/>
          <w:sz w:val="24"/>
          <w:szCs w:val="24"/>
        </w:rPr>
        <w:lastRenderedPageBreak/>
        <w:t>2019-2020 Risks and Issues</w:t>
      </w:r>
    </w:p>
    <w:p w14:paraId="1CD37E32" w14:textId="536824A2" w:rsidR="00392898" w:rsidRPr="006A7CC9" w:rsidRDefault="00A278D4" w:rsidP="00392898">
      <w:p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6A7CC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The General Fund is projected to maintain a relatively high ending fund balance in 20</w:t>
      </w:r>
      <w:r w:rsidR="008154E4" w:rsidRPr="006A7CC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1</w:t>
      </w:r>
      <w:r w:rsidRPr="006A7CC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9-2020 </w:t>
      </w:r>
      <w:r w:rsidR="00384812" w:rsidRPr="006A7CC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that </w:t>
      </w:r>
      <w:r w:rsidRPr="006A7CC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meet</w:t>
      </w:r>
      <w:r w:rsidR="00384812" w:rsidRPr="006A7CC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</w:t>
      </w:r>
      <w:r w:rsidRPr="006A7CC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the 8% undesignated fund balance target. </w:t>
      </w:r>
      <w:r w:rsidR="00384812" w:rsidRPr="006A7CC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There are several</w:t>
      </w:r>
      <w:r w:rsidR="000A6FD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issues and risks that </w:t>
      </w:r>
      <w:r w:rsidRPr="006A7CC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are</w:t>
      </w:r>
      <w:r w:rsidR="000A6FD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being tracked</w:t>
      </w:r>
      <w:r w:rsidRPr="006A7CC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</w:p>
    <w:p w14:paraId="0788C515" w14:textId="77777777" w:rsidR="004E5674" w:rsidRPr="00915EF6" w:rsidRDefault="004E5674" w:rsidP="00392898">
      <w:pPr>
        <w:spacing w:after="0" w:line="240" w:lineRule="auto"/>
        <w:contextualSpacing/>
        <w:rPr>
          <w:rFonts w:ascii="Arial" w:eastAsia="Times New Roman" w:hAnsi="Arial" w:cs="Arial"/>
          <w:color w:val="7F8FA9"/>
          <w:sz w:val="24"/>
          <w:szCs w:val="24"/>
          <w:highlight w:val="yellow"/>
        </w:rPr>
      </w:pPr>
    </w:p>
    <w:p w14:paraId="33FB3F02" w14:textId="5D524A7E" w:rsidR="004E5674" w:rsidRPr="006A7CC9" w:rsidRDefault="00A278D4" w:rsidP="00A278D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7CC9">
        <w:rPr>
          <w:rFonts w:ascii="Arial" w:eastAsiaTheme="minorEastAsia" w:hAnsi="Arial" w:cs="Arial"/>
          <w:kern w:val="24"/>
          <w:sz w:val="24"/>
          <w:szCs w:val="24"/>
        </w:rPr>
        <w:t>Rent for the use of the County’s right-of-way.</w:t>
      </w:r>
      <w:r w:rsidR="006A7CC9" w:rsidRPr="006A7CC9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  <w:r w:rsidR="008154E4" w:rsidRPr="006A7CC9">
        <w:rPr>
          <w:rFonts w:ascii="Arial" w:eastAsiaTheme="minorEastAsia" w:hAnsi="Arial" w:cs="Arial"/>
          <w:kern w:val="24"/>
          <w:sz w:val="24"/>
          <w:szCs w:val="24"/>
        </w:rPr>
        <w:t xml:space="preserve">The </w:t>
      </w:r>
      <w:r w:rsidRPr="006A7CC9">
        <w:rPr>
          <w:rFonts w:ascii="Arial" w:eastAsiaTheme="minorEastAsia" w:hAnsi="Arial" w:cs="Arial"/>
          <w:kern w:val="24"/>
          <w:sz w:val="24"/>
          <w:szCs w:val="24"/>
        </w:rPr>
        <w:t>General Fund</w:t>
      </w:r>
      <w:r w:rsidR="008154E4" w:rsidRPr="006A7CC9">
        <w:rPr>
          <w:rFonts w:ascii="Arial" w:eastAsiaTheme="minorEastAsia" w:hAnsi="Arial" w:cs="Arial"/>
          <w:kern w:val="24"/>
          <w:sz w:val="24"/>
          <w:szCs w:val="24"/>
        </w:rPr>
        <w:t xml:space="preserve"> financial plan assumes no revenue</w:t>
      </w:r>
      <w:r w:rsidR="00506FAC" w:rsidRPr="006A7CC9">
        <w:rPr>
          <w:rFonts w:ascii="Arial" w:eastAsiaTheme="minorEastAsia" w:hAnsi="Arial" w:cs="Arial"/>
          <w:kern w:val="24"/>
          <w:sz w:val="24"/>
          <w:szCs w:val="24"/>
        </w:rPr>
        <w:t xml:space="preserve"> fro</w:t>
      </w:r>
      <w:r w:rsidR="008154E4" w:rsidRPr="006A7CC9">
        <w:rPr>
          <w:rFonts w:ascii="Arial" w:eastAsiaTheme="minorEastAsia" w:hAnsi="Arial" w:cs="Arial"/>
          <w:kern w:val="24"/>
          <w:sz w:val="24"/>
          <w:szCs w:val="24"/>
        </w:rPr>
        <w:t>m this source</w:t>
      </w:r>
      <w:r w:rsidRPr="006A7CC9">
        <w:rPr>
          <w:rFonts w:ascii="Arial" w:eastAsiaTheme="minorEastAsia" w:hAnsi="Arial" w:cs="Arial"/>
          <w:kern w:val="24"/>
          <w:sz w:val="24"/>
          <w:szCs w:val="24"/>
        </w:rPr>
        <w:t>.</w:t>
      </w:r>
      <w:r w:rsidR="00384812" w:rsidRPr="006A7CC9">
        <w:rPr>
          <w:rFonts w:ascii="Arial" w:eastAsiaTheme="minorEastAsia" w:hAnsi="Arial" w:cs="Arial"/>
          <w:kern w:val="24"/>
          <w:sz w:val="24"/>
          <w:szCs w:val="24"/>
        </w:rPr>
        <w:t xml:space="preserve"> This issue is before th</w:t>
      </w:r>
      <w:r w:rsidR="008C73EC" w:rsidRPr="006A7CC9">
        <w:rPr>
          <w:rFonts w:ascii="Arial" w:eastAsiaTheme="minorEastAsia" w:hAnsi="Arial" w:cs="Arial"/>
          <w:kern w:val="24"/>
          <w:sz w:val="24"/>
          <w:szCs w:val="24"/>
        </w:rPr>
        <w:t>e</w:t>
      </w:r>
      <w:r w:rsidR="00384812" w:rsidRPr="006A7CC9">
        <w:rPr>
          <w:rFonts w:ascii="Arial" w:eastAsiaTheme="minorEastAsia" w:hAnsi="Arial" w:cs="Arial"/>
          <w:kern w:val="24"/>
          <w:sz w:val="24"/>
          <w:szCs w:val="24"/>
        </w:rPr>
        <w:t xml:space="preserve"> State Supreme Court.</w:t>
      </w:r>
      <w:r w:rsidR="000A6FDA">
        <w:rPr>
          <w:rFonts w:ascii="Arial" w:eastAsiaTheme="minorEastAsia" w:hAnsi="Arial" w:cs="Arial"/>
          <w:kern w:val="24"/>
          <w:sz w:val="24"/>
          <w:szCs w:val="24"/>
        </w:rPr>
        <w:t xml:space="preserve">  </w:t>
      </w:r>
      <w:r w:rsidRPr="006A7CC9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</w:p>
    <w:p w14:paraId="333A96EF" w14:textId="77777777" w:rsidR="00A278D4" w:rsidRPr="00915EF6" w:rsidRDefault="00A278D4" w:rsidP="00A278D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5A64E043" w14:textId="4C85F080" w:rsidR="00E622F9" w:rsidRPr="00E622F9" w:rsidRDefault="00A278D4" w:rsidP="00A278D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7238">
        <w:rPr>
          <w:rFonts w:ascii="Arial" w:eastAsiaTheme="minorEastAsia" w:hAnsi="Arial" w:cs="Arial"/>
          <w:kern w:val="24"/>
          <w:sz w:val="24"/>
          <w:szCs w:val="24"/>
        </w:rPr>
        <w:t>Open labor contracts.</w:t>
      </w:r>
      <w:r w:rsidR="008154E4" w:rsidRPr="002F7238">
        <w:rPr>
          <w:rFonts w:ascii="Arial" w:eastAsiaTheme="minorEastAsia" w:hAnsi="Arial" w:cs="Arial"/>
          <w:kern w:val="24"/>
          <w:sz w:val="24"/>
          <w:szCs w:val="24"/>
        </w:rPr>
        <w:t xml:space="preserve"> There are multiple large open labor contracts that are </w:t>
      </w:r>
      <w:r w:rsidR="00384812" w:rsidRPr="002F7238">
        <w:rPr>
          <w:rFonts w:ascii="Arial" w:eastAsiaTheme="minorEastAsia" w:hAnsi="Arial" w:cs="Arial"/>
          <w:kern w:val="24"/>
          <w:sz w:val="24"/>
          <w:szCs w:val="24"/>
        </w:rPr>
        <w:t xml:space="preserve">in arbitration or likely to get there. </w:t>
      </w:r>
      <w:r w:rsidR="008154E4" w:rsidRPr="002F7238">
        <w:rPr>
          <w:rFonts w:ascii="Arial" w:eastAsiaTheme="minorEastAsia" w:hAnsi="Arial" w:cs="Arial"/>
          <w:kern w:val="24"/>
          <w:sz w:val="24"/>
          <w:szCs w:val="24"/>
        </w:rPr>
        <w:t>The retroactive payments associated with these labor contracts are one of the reasons for the growing fund balance</w:t>
      </w:r>
      <w:r w:rsidR="00E622F9">
        <w:rPr>
          <w:rFonts w:ascii="Arial" w:eastAsiaTheme="minorEastAsia" w:hAnsi="Arial" w:cs="Arial"/>
          <w:kern w:val="24"/>
          <w:sz w:val="24"/>
          <w:szCs w:val="24"/>
        </w:rPr>
        <w:t xml:space="preserve"> and reserve level.</w:t>
      </w:r>
    </w:p>
    <w:p w14:paraId="6A40B0D9" w14:textId="77777777" w:rsidR="00E622F9" w:rsidRPr="00E622F9" w:rsidRDefault="00E622F9" w:rsidP="00E622F9">
      <w:pPr>
        <w:pStyle w:val="ListParagraph"/>
        <w:rPr>
          <w:rFonts w:ascii="Arial" w:eastAsiaTheme="minorEastAsia" w:hAnsi="Arial" w:cs="Arial"/>
          <w:kern w:val="24"/>
          <w:sz w:val="24"/>
          <w:szCs w:val="24"/>
        </w:rPr>
      </w:pPr>
    </w:p>
    <w:p w14:paraId="48ACFD47" w14:textId="41E01175" w:rsidR="004E5674" w:rsidRPr="00E622F9" w:rsidRDefault="00E622F9" w:rsidP="00E622F9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kern w:val="24"/>
          <w:sz w:val="24"/>
          <w:szCs w:val="24"/>
        </w:rPr>
      </w:pPr>
      <w:r w:rsidRPr="00E622F9">
        <w:rPr>
          <w:rFonts w:ascii="Arial" w:eastAsiaTheme="minorEastAsia" w:hAnsi="Arial" w:cs="Arial"/>
          <w:kern w:val="24"/>
          <w:sz w:val="24"/>
          <w:szCs w:val="24"/>
        </w:rPr>
        <w:t>Juror Pay</w:t>
      </w:r>
      <w:r>
        <w:rPr>
          <w:rFonts w:ascii="Arial" w:eastAsiaTheme="minorEastAsia" w:hAnsi="Arial" w:cs="Arial"/>
          <w:kern w:val="24"/>
          <w:sz w:val="24"/>
          <w:szCs w:val="24"/>
        </w:rPr>
        <w:t>.</w:t>
      </w:r>
      <w:r w:rsidRPr="00E622F9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  <w:r>
        <w:rPr>
          <w:rFonts w:ascii="Arial" w:eastAsiaTheme="minorEastAsia" w:hAnsi="Arial" w:cs="Arial"/>
          <w:kern w:val="24"/>
          <w:sz w:val="24"/>
          <w:szCs w:val="24"/>
        </w:rPr>
        <w:t>T</w:t>
      </w:r>
      <w:r w:rsidRPr="00E622F9">
        <w:rPr>
          <w:rFonts w:ascii="Arial" w:eastAsiaTheme="minorEastAsia" w:hAnsi="Arial" w:cs="Arial"/>
          <w:kern w:val="24"/>
          <w:sz w:val="24"/>
          <w:szCs w:val="24"/>
        </w:rPr>
        <w:t xml:space="preserve">he State Supreme Court has accepted review of a case that would require the County to pay jurors minimum wage instead of a $10 per diem. The financial impact of this case would be </w:t>
      </w:r>
      <w:r>
        <w:rPr>
          <w:rFonts w:ascii="Arial" w:eastAsiaTheme="minorEastAsia" w:hAnsi="Arial" w:cs="Arial"/>
          <w:kern w:val="24"/>
          <w:sz w:val="24"/>
          <w:szCs w:val="24"/>
        </w:rPr>
        <w:t>about</w:t>
      </w:r>
      <w:r w:rsidRPr="00E622F9">
        <w:rPr>
          <w:rFonts w:ascii="Arial" w:eastAsiaTheme="minorEastAsia" w:hAnsi="Arial" w:cs="Arial"/>
          <w:kern w:val="24"/>
          <w:sz w:val="24"/>
          <w:szCs w:val="24"/>
        </w:rPr>
        <w:t xml:space="preserve"> $8M per biennium</w:t>
      </w:r>
      <w:r>
        <w:rPr>
          <w:rFonts w:ascii="Arial" w:eastAsiaTheme="minorEastAsia" w:hAnsi="Arial" w:cs="Arial"/>
          <w:kern w:val="24"/>
          <w:sz w:val="24"/>
          <w:szCs w:val="24"/>
        </w:rPr>
        <w:t xml:space="preserve"> in juror pay, with additional costs for program administration</w:t>
      </w:r>
      <w:r w:rsidRPr="00E622F9">
        <w:rPr>
          <w:rFonts w:ascii="Arial" w:eastAsiaTheme="minorEastAsia" w:hAnsi="Arial" w:cs="Arial"/>
          <w:kern w:val="24"/>
          <w:sz w:val="24"/>
          <w:szCs w:val="24"/>
        </w:rPr>
        <w:t>.</w:t>
      </w:r>
    </w:p>
    <w:p w14:paraId="69BD2D4E" w14:textId="77777777" w:rsidR="00A278D4" w:rsidRPr="00915EF6" w:rsidRDefault="00A278D4" w:rsidP="00A278D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2F7D668F" w14:textId="546C0969" w:rsidR="004E5674" w:rsidRPr="006A7CC9" w:rsidRDefault="00A278D4" w:rsidP="00A278D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7CC9">
        <w:rPr>
          <w:rFonts w:ascii="Arial" w:eastAsiaTheme="minorEastAsia" w:hAnsi="Arial" w:cs="Arial"/>
          <w:kern w:val="24"/>
          <w:sz w:val="24"/>
          <w:szCs w:val="24"/>
        </w:rPr>
        <w:t xml:space="preserve">Resources to </w:t>
      </w:r>
      <w:r w:rsidR="00506FAC" w:rsidRPr="006A7CC9">
        <w:rPr>
          <w:rFonts w:ascii="Arial" w:eastAsiaTheme="minorEastAsia" w:hAnsi="Arial" w:cs="Arial"/>
          <w:kern w:val="24"/>
          <w:sz w:val="24"/>
          <w:szCs w:val="24"/>
        </w:rPr>
        <w:t>respond</w:t>
      </w:r>
      <w:r w:rsidR="00384812" w:rsidRPr="006A7CC9">
        <w:rPr>
          <w:rFonts w:ascii="Arial" w:eastAsiaTheme="minorEastAsia" w:hAnsi="Arial" w:cs="Arial"/>
          <w:kern w:val="24"/>
          <w:sz w:val="24"/>
          <w:szCs w:val="24"/>
        </w:rPr>
        <w:t xml:space="preserve"> to</w:t>
      </w:r>
      <w:r w:rsidR="00506FAC" w:rsidRPr="006A7CC9">
        <w:rPr>
          <w:rFonts w:ascii="Arial" w:eastAsiaTheme="minorEastAsia" w:hAnsi="Arial" w:cs="Arial"/>
          <w:kern w:val="24"/>
          <w:sz w:val="24"/>
          <w:szCs w:val="24"/>
        </w:rPr>
        <w:t xml:space="preserve"> the homelessness crisis</w:t>
      </w:r>
      <w:r w:rsidR="008154E4" w:rsidRPr="006A7CC9">
        <w:rPr>
          <w:rFonts w:ascii="Arial" w:eastAsiaTheme="minorEastAsia" w:hAnsi="Arial" w:cs="Arial"/>
          <w:kern w:val="24"/>
          <w:sz w:val="24"/>
          <w:szCs w:val="24"/>
        </w:rPr>
        <w:t>. The General Fund has made contributions to programs related to homelessness prevention and shelter.</w:t>
      </w:r>
      <w:r w:rsidR="009C7970" w:rsidRPr="006A7CC9">
        <w:rPr>
          <w:rFonts w:ascii="Arial" w:eastAsiaTheme="minorEastAsia" w:hAnsi="Arial" w:cs="Arial"/>
          <w:kern w:val="24"/>
          <w:sz w:val="24"/>
          <w:szCs w:val="24"/>
        </w:rPr>
        <w:t xml:space="preserve"> T</w:t>
      </w:r>
      <w:r w:rsidR="00506FAC" w:rsidRPr="006A7CC9">
        <w:rPr>
          <w:rFonts w:ascii="Arial" w:eastAsiaTheme="minorEastAsia" w:hAnsi="Arial" w:cs="Arial"/>
          <w:kern w:val="24"/>
          <w:sz w:val="24"/>
          <w:szCs w:val="24"/>
        </w:rPr>
        <w:t>here may be pressure to add exp</w:t>
      </w:r>
      <w:r w:rsidR="009C7970" w:rsidRPr="006A7CC9">
        <w:rPr>
          <w:rFonts w:ascii="Arial" w:eastAsiaTheme="minorEastAsia" w:hAnsi="Arial" w:cs="Arial"/>
          <w:kern w:val="24"/>
          <w:sz w:val="24"/>
          <w:szCs w:val="24"/>
        </w:rPr>
        <w:t>enditures in this area if th</w:t>
      </w:r>
      <w:r w:rsidR="00384812" w:rsidRPr="006A7CC9">
        <w:rPr>
          <w:rFonts w:ascii="Arial" w:eastAsiaTheme="minorEastAsia" w:hAnsi="Arial" w:cs="Arial"/>
          <w:kern w:val="24"/>
          <w:sz w:val="24"/>
          <w:szCs w:val="24"/>
        </w:rPr>
        <w:t>e regional situation does not im</w:t>
      </w:r>
      <w:r w:rsidR="009C7970" w:rsidRPr="006A7CC9">
        <w:rPr>
          <w:rFonts w:ascii="Arial" w:eastAsiaTheme="minorEastAsia" w:hAnsi="Arial" w:cs="Arial"/>
          <w:kern w:val="24"/>
          <w:sz w:val="24"/>
          <w:szCs w:val="24"/>
        </w:rPr>
        <w:t>prove.</w:t>
      </w:r>
      <w:r w:rsidR="008154E4" w:rsidRPr="006A7CC9">
        <w:rPr>
          <w:rFonts w:ascii="Arial" w:eastAsiaTheme="minorEastAsia" w:hAnsi="Arial" w:cs="Arial"/>
          <w:kern w:val="24"/>
          <w:sz w:val="24"/>
          <w:szCs w:val="24"/>
        </w:rPr>
        <w:t xml:space="preserve">      </w:t>
      </w:r>
    </w:p>
    <w:p w14:paraId="19800B6A" w14:textId="77777777" w:rsidR="00A278D4" w:rsidRPr="00915EF6" w:rsidRDefault="00A278D4" w:rsidP="00A278D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568C0D4C" w14:textId="4FB1D271" w:rsidR="00392898" w:rsidRPr="00743A9B" w:rsidRDefault="00A278D4" w:rsidP="0039289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3A9B">
        <w:rPr>
          <w:rFonts w:ascii="Arial" w:eastAsiaTheme="minorEastAsia" w:hAnsi="Arial" w:cs="Arial"/>
          <w:kern w:val="24"/>
          <w:sz w:val="24"/>
          <w:szCs w:val="24"/>
        </w:rPr>
        <w:t>Cost overruns on current projects or unexpected new capital projects</w:t>
      </w:r>
      <w:r w:rsidR="009C7970" w:rsidRPr="00743A9B">
        <w:rPr>
          <w:rFonts w:ascii="Arial" w:eastAsiaTheme="minorEastAsia" w:hAnsi="Arial" w:cs="Arial"/>
          <w:kern w:val="24"/>
          <w:sz w:val="24"/>
          <w:szCs w:val="24"/>
        </w:rPr>
        <w:t>. There are multiple capital projects that are in the early planning stages</w:t>
      </w:r>
      <w:r w:rsidR="00506FAC" w:rsidRPr="00743A9B">
        <w:rPr>
          <w:rFonts w:ascii="Arial" w:eastAsiaTheme="minorEastAsia" w:hAnsi="Arial" w:cs="Arial"/>
          <w:kern w:val="24"/>
          <w:sz w:val="24"/>
          <w:szCs w:val="24"/>
        </w:rPr>
        <w:t>. N</w:t>
      </w:r>
      <w:r w:rsidR="009C7970" w:rsidRPr="00743A9B">
        <w:rPr>
          <w:rFonts w:ascii="Arial" w:eastAsiaTheme="minorEastAsia" w:hAnsi="Arial" w:cs="Arial"/>
          <w:kern w:val="24"/>
          <w:sz w:val="24"/>
          <w:szCs w:val="24"/>
        </w:rPr>
        <w:t xml:space="preserve">ew projects may come up based on the </w:t>
      </w:r>
      <w:r w:rsidR="00384812" w:rsidRPr="00743A9B">
        <w:rPr>
          <w:rFonts w:ascii="Arial" w:eastAsiaTheme="minorEastAsia" w:hAnsi="Arial" w:cs="Arial"/>
          <w:kern w:val="24"/>
          <w:sz w:val="24"/>
          <w:szCs w:val="24"/>
        </w:rPr>
        <w:t xml:space="preserve">major maintenance </w:t>
      </w:r>
      <w:r w:rsidR="009C7970" w:rsidRPr="00743A9B">
        <w:rPr>
          <w:rFonts w:ascii="Arial" w:eastAsiaTheme="minorEastAsia" w:hAnsi="Arial" w:cs="Arial"/>
          <w:kern w:val="24"/>
          <w:sz w:val="24"/>
          <w:szCs w:val="24"/>
        </w:rPr>
        <w:t xml:space="preserve">need in some </w:t>
      </w:r>
      <w:r w:rsidR="008253EE" w:rsidRPr="00743A9B">
        <w:rPr>
          <w:rFonts w:ascii="Arial" w:eastAsiaTheme="minorEastAsia" w:hAnsi="Arial" w:cs="Arial"/>
          <w:kern w:val="24"/>
          <w:sz w:val="24"/>
          <w:szCs w:val="24"/>
        </w:rPr>
        <w:t xml:space="preserve">of the County’s </w:t>
      </w:r>
      <w:r w:rsidR="009C7970" w:rsidRPr="00743A9B">
        <w:rPr>
          <w:rFonts w:ascii="Arial" w:eastAsiaTheme="minorEastAsia" w:hAnsi="Arial" w:cs="Arial"/>
          <w:kern w:val="24"/>
          <w:sz w:val="24"/>
          <w:szCs w:val="24"/>
        </w:rPr>
        <w:t xml:space="preserve">older buildings.     </w:t>
      </w:r>
      <w:r w:rsidRPr="00743A9B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</w:p>
    <w:p w14:paraId="6042A192" w14:textId="77777777" w:rsidR="00A278D4" w:rsidRPr="00915EF6" w:rsidRDefault="00A278D4" w:rsidP="00A278D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14EC456E" w14:textId="57AE4291" w:rsidR="00506FAC" w:rsidRPr="00E875C1" w:rsidRDefault="00A278D4" w:rsidP="00506FA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7238">
        <w:rPr>
          <w:rFonts w:ascii="Arial" w:eastAsiaTheme="minorEastAsia" w:hAnsi="Arial" w:cs="Arial"/>
          <w:kern w:val="24"/>
          <w:sz w:val="24"/>
          <w:szCs w:val="24"/>
        </w:rPr>
        <w:t>Protecting against a regional or national economic downturn.</w:t>
      </w:r>
      <w:r w:rsidR="009C7970" w:rsidRPr="002F7238">
        <w:rPr>
          <w:rFonts w:ascii="Arial" w:eastAsiaTheme="minorEastAsia" w:hAnsi="Arial" w:cs="Arial"/>
          <w:kern w:val="24"/>
          <w:sz w:val="24"/>
          <w:szCs w:val="24"/>
        </w:rPr>
        <w:t xml:space="preserve"> The national economy is</w:t>
      </w:r>
      <w:r w:rsidR="00506FAC" w:rsidRPr="002F7238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  <w:r w:rsidR="00267DBD">
        <w:rPr>
          <w:rFonts w:ascii="Arial" w:eastAsiaTheme="minorEastAsia" w:hAnsi="Arial" w:cs="Arial"/>
          <w:kern w:val="24"/>
          <w:sz w:val="24"/>
          <w:szCs w:val="24"/>
        </w:rPr>
        <w:t>in</w:t>
      </w:r>
      <w:r w:rsidR="00506FAC" w:rsidRPr="002F7238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  <w:r w:rsidR="00506FAC" w:rsidRPr="00267DBD">
        <w:rPr>
          <w:rFonts w:ascii="Arial" w:eastAsiaTheme="minorEastAsia" w:hAnsi="Arial" w:cs="Arial"/>
          <w:kern w:val="24"/>
          <w:sz w:val="24"/>
          <w:szCs w:val="24"/>
        </w:rPr>
        <w:t>its 11</w:t>
      </w:r>
      <w:r w:rsidR="00506FAC" w:rsidRPr="00267DBD">
        <w:rPr>
          <w:rFonts w:ascii="Arial" w:eastAsiaTheme="minorEastAsia" w:hAnsi="Arial" w:cs="Arial"/>
          <w:kern w:val="24"/>
          <w:sz w:val="24"/>
          <w:szCs w:val="24"/>
          <w:vertAlign w:val="superscript"/>
        </w:rPr>
        <w:t>th</w:t>
      </w:r>
      <w:r w:rsidR="00506FAC" w:rsidRPr="00267DBD">
        <w:rPr>
          <w:rFonts w:ascii="Arial" w:eastAsiaTheme="minorEastAsia" w:hAnsi="Arial" w:cs="Arial"/>
          <w:kern w:val="24"/>
          <w:sz w:val="24"/>
          <w:szCs w:val="24"/>
        </w:rPr>
        <w:t xml:space="preserve"> year of</w:t>
      </w:r>
      <w:r w:rsidR="00506FAC" w:rsidRPr="002F7238">
        <w:rPr>
          <w:rFonts w:ascii="Arial" w:eastAsiaTheme="minorEastAsia" w:hAnsi="Arial" w:cs="Arial"/>
          <w:kern w:val="24"/>
          <w:sz w:val="24"/>
          <w:szCs w:val="24"/>
        </w:rPr>
        <w:t xml:space="preserve"> economic expansion. A recession (mild or large) within the next 4 years (2019-2022) </w:t>
      </w:r>
      <w:r w:rsidR="008253EE" w:rsidRPr="002F7238">
        <w:rPr>
          <w:rFonts w:ascii="Arial" w:eastAsiaTheme="minorEastAsia" w:hAnsi="Arial" w:cs="Arial"/>
          <w:kern w:val="24"/>
          <w:sz w:val="24"/>
          <w:szCs w:val="24"/>
        </w:rPr>
        <w:t xml:space="preserve">would not be </w:t>
      </w:r>
      <w:r w:rsidR="008253EE" w:rsidRPr="00E875C1">
        <w:rPr>
          <w:rFonts w:ascii="Arial" w:eastAsiaTheme="minorEastAsia" w:hAnsi="Arial" w:cs="Arial"/>
          <w:kern w:val="24"/>
          <w:sz w:val="24"/>
          <w:szCs w:val="24"/>
        </w:rPr>
        <w:t>surprising</w:t>
      </w:r>
      <w:r w:rsidR="00506FAC" w:rsidRPr="00E875C1">
        <w:rPr>
          <w:rFonts w:ascii="Arial" w:eastAsiaTheme="minorEastAsia" w:hAnsi="Arial" w:cs="Arial"/>
          <w:kern w:val="24"/>
          <w:sz w:val="24"/>
          <w:szCs w:val="24"/>
        </w:rPr>
        <w:t xml:space="preserve">. </w:t>
      </w:r>
    </w:p>
    <w:p w14:paraId="1FC34A45" w14:textId="77777777" w:rsidR="00506FAC" w:rsidRPr="00915EF6" w:rsidRDefault="00506FAC" w:rsidP="00506FAC">
      <w:pPr>
        <w:pStyle w:val="ListParagraph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64A7B3B6" w14:textId="0C5C1654" w:rsidR="004203BC" w:rsidRPr="002D4025" w:rsidRDefault="00A278D4" w:rsidP="00C20AE4">
      <w:pPr>
        <w:pStyle w:val="NoSpacing"/>
        <w:rPr>
          <w:rFonts w:ascii="Arial" w:hAnsi="Arial" w:cs="Arial"/>
          <w:b/>
          <w:sz w:val="24"/>
          <w:szCs w:val="24"/>
        </w:rPr>
      </w:pPr>
      <w:r w:rsidRPr="002D4025">
        <w:rPr>
          <w:rFonts w:ascii="Arial" w:hAnsi="Arial" w:cs="Arial"/>
          <w:b/>
          <w:sz w:val="24"/>
          <w:szCs w:val="24"/>
        </w:rPr>
        <w:t>2021-2022 Outlook</w:t>
      </w:r>
    </w:p>
    <w:p w14:paraId="24FD6636" w14:textId="77777777" w:rsidR="004E5674" w:rsidRPr="002D4025" w:rsidRDefault="004E5674" w:rsidP="00C20AE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5E9704A" w14:textId="32C433A3" w:rsidR="00A278D4" w:rsidRPr="002D4025" w:rsidRDefault="00A278D4" w:rsidP="00A278D4">
      <w:p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2D402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The General Fund has a projected gap of about $</w:t>
      </w:r>
      <w:r w:rsidR="002D4025" w:rsidRPr="002D402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7</w:t>
      </w:r>
      <w:r w:rsidR="00743A9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2D402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million for 2021-2022.</w:t>
      </w:r>
    </w:p>
    <w:p w14:paraId="57858718" w14:textId="77777777" w:rsidR="00A278D4" w:rsidRPr="00915EF6" w:rsidRDefault="00A278D4" w:rsidP="00A278D4">
      <w:pPr>
        <w:spacing w:after="0" w:line="240" w:lineRule="auto"/>
        <w:contextualSpacing/>
        <w:rPr>
          <w:rFonts w:ascii="Arial" w:eastAsia="Times New Roman" w:hAnsi="Arial" w:cs="Arial"/>
          <w:color w:val="7F8FA9"/>
          <w:sz w:val="24"/>
          <w:szCs w:val="24"/>
          <w:highlight w:val="yellow"/>
        </w:rPr>
      </w:pPr>
    </w:p>
    <w:p w14:paraId="2DE1C1DE" w14:textId="5132F2B9" w:rsidR="00A278D4" w:rsidRPr="004E28EA" w:rsidRDefault="00A278D4" w:rsidP="00506FA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7F8FA9"/>
          <w:sz w:val="24"/>
          <w:szCs w:val="24"/>
        </w:rPr>
      </w:pPr>
      <w:r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Even with the strong local economy and generally low inflation and interest, there is a gap of about $</w:t>
      </w:r>
      <w:r w:rsidR="0035389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15</w:t>
      </w:r>
      <w:r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million between the cost of current services and projected revenues.  </w:t>
      </w:r>
      <w:r w:rsidR="0035389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W</w:t>
      </w:r>
      <w:r w:rsidR="008253EE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hen available unreserved fund balance is taken into </w:t>
      </w:r>
      <w:r w:rsidR="004E28EA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account, the projected gap is $7</w:t>
      </w:r>
      <w:r w:rsidR="008253EE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million. </w:t>
      </w:r>
      <w:r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This is </w:t>
      </w:r>
      <w:r w:rsidR="008253EE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the lowest projected gap recently</w:t>
      </w:r>
      <w:r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observed.</w:t>
      </w:r>
      <w:r w:rsidR="00506FAC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</w:p>
    <w:p w14:paraId="26EE7E4A" w14:textId="77777777" w:rsidR="00A278D4" w:rsidRPr="00915EF6" w:rsidRDefault="00A278D4" w:rsidP="00A278D4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</w:pPr>
    </w:p>
    <w:p w14:paraId="0294927D" w14:textId="3CB191C1" w:rsidR="00506FAC" w:rsidRPr="004E28EA" w:rsidRDefault="00506FAC" w:rsidP="0039289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PSB is taking steps to mitigate the potential shortfall, including: </w:t>
      </w:r>
    </w:p>
    <w:p w14:paraId="3C6DB05A" w14:textId="69CE6132" w:rsidR="00506FAC" w:rsidRPr="004E28EA" w:rsidRDefault="008253EE" w:rsidP="00506FAC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r</w:t>
      </w:r>
      <w:r w:rsidR="00A278D4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evi</w:t>
      </w:r>
      <w:r w:rsidR="00506FAC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ewing recently approved </w:t>
      </w:r>
      <w:r w:rsidR="00384812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expenditure</w:t>
      </w:r>
      <w:r w:rsidR="00A278D4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 through our budge</w:t>
      </w:r>
      <w:r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 investment monitoring program,</w:t>
      </w:r>
      <w:r w:rsidR="00A278D4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</w:p>
    <w:p w14:paraId="201F28F5" w14:textId="770393AD" w:rsidR="008253EE" w:rsidRPr="004E28EA" w:rsidRDefault="008253EE" w:rsidP="00506FAC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</w:t>
      </w:r>
      <w:r w:rsidR="00A278D4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ollect</w:t>
      </w:r>
      <w:r w:rsidR="00506FAC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ing</w:t>
      </w:r>
      <w:r w:rsidR="00A278D4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unit costs for </w:t>
      </w:r>
      <w:r w:rsidR="00384812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selected C</w:t>
      </w:r>
      <w:r w:rsidR="00A278D4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ounty </w:t>
      </w:r>
      <w:r w:rsidR="00384812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products on</w:t>
      </w:r>
      <w:r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a regular basis,  </w:t>
      </w:r>
    </w:p>
    <w:p w14:paraId="24757956" w14:textId="66654CC9" w:rsidR="00506FAC" w:rsidRPr="004E28EA" w:rsidRDefault="008253EE" w:rsidP="00506FAC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continuing</w:t>
      </w:r>
      <w:r w:rsidR="00506FAC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A278D4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quarterly </w:t>
      </w:r>
      <w:r w:rsidR="00506FAC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financial</w:t>
      </w:r>
      <w:r w:rsidR="00384812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monitoring efforts,</w:t>
      </w:r>
    </w:p>
    <w:p w14:paraId="53FF13A7" w14:textId="203368CD" w:rsidR="00506FAC" w:rsidRPr="004E28EA" w:rsidRDefault="008253EE" w:rsidP="00506FAC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</w:t>
      </w:r>
      <w:r w:rsidR="00506FAC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xploring</w:t>
      </w:r>
      <w:r w:rsidR="00A278D4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ideas that would have </w:t>
      </w:r>
      <w:r w:rsidR="00506FAC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significant</w:t>
      </w:r>
      <w:r w:rsidR="00A278D4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programmatic</w:t>
      </w:r>
      <w:r w:rsidR="00A278D4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cost </w:t>
      </w:r>
      <w:r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savings</w:t>
      </w:r>
      <w:r w:rsidR="00A278D4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or cost </w:t>
      </w:r>
      <w:r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savings</w:t>
      </w:r>
      <w:r w:rsidR="00A278D4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across</w:t>
      </w:r>
      <w:r w:rsidR="00A278D4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the entire enterprise</w:t>
      </w:r>
      <w:r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, and</w:t>
      </w:r>
      <w:r w:rsidR="00A278D4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 </w:t>
      </w:r>
    </w:p>
    <w:p w14:paraId="0A487413" w14:textId="5EA7B83C" w:rsidR="004203BC" w:rsidRPr="004E28EA" w:rsidRDefault="008253EE" w:rsidP="00C20AE4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proofErr w:type="gramStart"/>
      <w:r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m</w:t>
      </w:r>
      <w:r w:rsidR="00506FAC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odel</w:t>
      </w:r>
      <w:r w:rsidR="001C2F0B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l</w:t>
      </w:r>
      <w:r w:rsidR="00506FAC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ing</w:t>
      </w:r>
      <w:proofErr w:type="gramEnd"/>
      <w:r w:rsidR="00A278D4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the impacts of a recession on our program</w:t>
      </w:r>
      <w:r w:rsidR="00384812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</w:t>
      </w:r>
      <w:r w:rsidR="00A278D4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and build</w:t>
      </w:r>
      <w:r w:rsidR="00384812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ing</w:t>
      </w:r>
      <w:r w:rsidR="00A278D4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contingency plans before we are in an economic </w:t>
      </w:r>
      <w:r w:rsidR="009F297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downturn</w:t>
      </w:r>
      <w:r w:rsidR="00A278D4" w:rsidRPr="004E28E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</w:p>
    <w:sectPr w:rsidR="004203BC" w:rsidRPr="004E28EA" w:rsidSect="00087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5F543" w14:textId="77777777" w:rsidR="00B341F5" w:rsidRDefault="00B341F5" w:rsidP="007D387B">
      <w:pPr>
        <w:spacing w:after="0" w:line="240" w:lineRule="auto"/>
      </w:pPr>
      <w:r>
        <w:separator/>
      </w:r>
    </w:p>
  </w:endnote>
  <w:endnote w:type="continuationSeparator" w:id="0">
    <w:p w14:paraId="28DF7481" w14:textId="77777777" w:rsidR="00B341F5" w:rsidRDefault="00B341F5" w:rsidP="007D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3D74B" w14:textId="77777777" w:rsidR="00241F15" w:rsidRDefault="00241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56F5" w14:textId="77777777" w:rsidR="007D387B" w:rsidRDefault="007D387B">
    <w:pPr>
      <w:pStyle w:val="Footer"/>
    </w:pPr>
    <w:r>
      <w:t>Office of Performance, Strategy and Budget</w:t>
    </w:r>
    <w:r w:rsidR="00D97D5C">
      <w:t xml:space="preserve"> (PSB)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7B8A6" w14:textId="77777777" w:rsidR="00241F15" w:rsidRDefault="00241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B88C9" w14:textId="77777777" w:rsidR="00B341F5" w:rsidRDefault="00B341F5" w:rsidP="007D387B">
      <w:pPr>
        <w:spacing w:after="0" w:line="240" w:lineRule="auto"/>
      </w:pPr>
      <w:r>
        <w:separator/>
      </w:r>
    </w:p>
  </w:footnote>
  <w:footnote w:type="continuationSeparator" w:id="0">
    <w:p w14:paraId="136AC368" w14:textId="77777777" w:rsidR="00B341F5" w:rsidRDefault="00B341F5" w:rsidP="007D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FEAE" w14:textId="77777777" w:rsidR="00241F15" w:rsidRDefault="00241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76CDD" w14:textId="00FA15FC" w:rsidR="004E5674" w:rsidRPr="00BE2FC2" w:rsidRDefault="004E5674" w:rsidP="004E5674">
    <w:pPr>
      <w:pStyle w:val="NoSpacing"/>
      <w:jc w:val="center"/>
      <w:rPr>
        <w:rFonts w:ascii="Arial" w:hAnsi="Arial" w:cs="Arial"/>
        <w:b/>
        <w:color w:val="000000" w:themeColor="text1"/>
        <w:sz w:val="24"/>
        <w:szCs w:val="24"/>
        <w:u w:val="single"/>
      </w:rPr>
    </w:pPr>
    <w:r w:rsidRPr="00BE2FC2">
      <w:rPr>
        <w:rFonts w:ascii="Arial" w:hAnsi="Arial" w:cs="Arial"/>
        <w:b/>
        <w:color w:val="000000" w:themeColor="text1"/>
        <w:sz w:val="24"/>
        <w:szCs w:val="24"/>
        <w:u w:val="single"/>
      </w:rPr>
      <w:t>Budget and Fiscal</w:t>
    </w:r>
    <w:r w:rsidR="00BF3299">
      <w:rPr>
        <w:rFonts w:ascii="Arial" w:hAnsi="Arial" w:cs="Arial"/>
        <w:b/>
        <w:color w:val="000000" w:themeColor="text1"/>
        <w:sz w:val="24"/>
        <w:szCs w:val="24"/>
        <w:u w:val="single"/>
      </w:rPr>
      <w:t xml:space="preserve"> Management Committee – </w:t>
    </w:r>
    <w:r w:rsidR="00241F15">
      <w:rPr>
        <w:rFonts w:ascii="Arial" w:hAnsi="Arial" w:cs="Arial"/>
        <w:b/>
        <w:color w:val="000000" w:themeColor="text1"/>
        <w:sz w:val="24"/>
        <w:szCs w:val="24"/>
        <w:u w:val="single"/>
      </w:rPr>
      <w:t>September 24</w:t>
    </w:r>
    <w:r w:rsidR="00384812">
      <w:rPr>
        <w:rFonts w:ascii="Arial" w:hAnsi="Arial" w:cs="Arial"/>
        <w:b/>
        <w:color w:val="000000" w:themeColor="text1"/>
        <w:sz w:val="24"/>
        <w:szCs w:val="24"/>
        <w:u w:val="single"/>
      </w:rPr>
      <w:t>, 2019</w:t>
    </w:r>
  </w:p>
  <w:p w14:paraId="60219FE2" w14:textId="6C91BB7B" w:rsidR="00276329" w:rsidRDefault="00276329" w:rsidP="00D41A0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B9033" w14:textId="77777777" w:rsidR="00241F15" w:rsidRDefault="00241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63B"/>
    <w:multiLevelType w:val="hybridMultilevel"/>
    <w:tmpl w:val="65B8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36BB"/>
    <w:multiLevelType w:val="hybridMultilevel"/>
    <w:tmpl w:val="BF7A2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7090B"/>
    <w:multiLevelType w:val="hybridMultilevel"/>
    <w:tmpl w:val="3574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8776E"/>
    <w:multiLevelType w:val="hybridMultilevel"/>
    <w:tmpl w:val="15F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C334A"/>
    <w:multiLevelType w:val="hybridMultilevel"/>
    <w:tmpl w:val="A65ED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AA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8FCF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E4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55AD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FFC4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C322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376F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60A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2CA611AF"/>
    <w:multiLevelType w:val="hybridMultilevel"/>
    <w:tmpl w:val="035C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A7B81"/>
    <w:multiLevelType w:val="hybridMultilevel"/>
    <w:tmpl w:val="AA7C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7B47"/>
    <w:multiLevelType w:val="hybridMultilevel"/>
    <w:tmpl w:val="2DD2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5018F"/>
    <w:multiLevelType w:val="hybridMultilevel"/>
    <w:tmpl w:val="E1A0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46C40"/>
    <w:multiLevelType w:val="hybridMultilevel"/>
    <w:tmpl w:val="27D4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80681"/>
    <w:multiLevelType w:val="hybridMultilevel"/>
    <w:tmpl w:val="703ABB08"/>
    <w:lvl w:ilvl="0" w:tplc="9F645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B4AA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8FCF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E4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55AD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FFC4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C322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376F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60A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65BC360C"/>
    <w:multiLevelType w:val="hybridMultilevel"/>
    <w:tmpl w:val="5F3036CA"/>
    <w:lvl w:ilvl="0" w:tplc="36302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A207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6A3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0B45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CA40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ADA7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09EA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3FE6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E24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68223BD4"/>
    <w:multiLevelType w:val="hybridMultilevel"/>
    <w:tmpl w:val="D34E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C613F"/>
    <w:multiLevelType w:val="hybridMultilevel"/>
    <w:tmpl w:val="FDB6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B637D"/>
    <w:multiLevelType w:val="hybridMultilevel"/>
    <w:tmpl w:val="43A44032"/>
    <w:lvl w:ilvl="0" w:tplc="4D24EC3C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522E9"/>
    <w:multiLevelType w:val="hybridMultilevel"/>
    <w:tmpl w:val="05D6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3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44"/>
    <w:rsid w:val="00002AA7"/>
    <w:rsid w:val="00003306"/>
    <w:rsid w:val="0000359A"/>
    <w:rsid w:val="0001428B"/>
    <w:rsid w:val="000151F7"/>
    <w:rsid w:val="00016B2B"/>
    <w:rsid w:val="00016BC4"/>
    <w:rsid w:val="000171C1"/>
    <w:rsid w:val="000204E1"/>
    <w:rsid w:val="00020F3D"/>
    <w:rsid w:val="00024F77"/>
    <w:rsid w:val="00026AFC"/>
    <w:rsid w:val="00026BC4"/>
    <w:rsid w:val="00030E92"/>
    <w:rsid w:val="00032CF7"/>
    <w:rsid w:val="000339C8"/>
    <w:rsid w:val="000367C4"/>
    <w:rsid w:val="00040960"/>
    <w:rsid w:val="000450C3"/>
    <w:rsid w:val="00047D14"/>
    <w:rsid w:val="000507C6"/>
    <w:rsid w:val="00051483"/>
    <w:rsid w:val="00051549"/>
    <w:rsid w:val="000535C2"/>
    <w:rsid w:val="00053B34"/>
    <w:rsid w:val="00054844"/>
    <w:rsid w:val="00055FD9"/>
    <w:rsid w:val="00056A5E"/>
    <w:rsid w:val="00056F26"/>
    <w:rsid w:val="000646F2"/>
    <w:rsid w:val="0006560E"/>
    <w:rsid w:val="000701B1"/>
    <w:rsid w:val="00070E1C"/>
    <w:rsid w:val="00070E4E"/>
    <w:rsid w:val="000713FA"/>
    <w:rsid w:val="00074BD5"/>
    <w:rsid w:val="00074E51"/>
    <w:rsid w:val="00075AA3"/>
    <w:rsid w:val="000777EE"/>
    <w:rsid w:val="00080A2A"/>
    <w:rsid w:val="00081420"/>
    <w:rsid w:val="0008156C"/>
    <w:rsid w:val="000818EE"/>
    <w:rsid w:val="00081EBF"/>
    <w:rsid w:val="00081F56"/>
    <w:rsid w:val="00082C35"/>
    <w:rsid w:val="00082FCC"/>
    <w:rsid w:val="00083C1B"/>
    <w:rsid w:val="00084BDB"/>
    <w:rsid w:val="00087043"/>
    <w:rsid w:val="0008715E"/>
    <w:rsid w:val="00087F2F"/>
    <w:rsid w:val="00092210"/>
    <w:rsid w:val="00092656"/>
    <w:rsid w:val="00092E38"/>
    <w:rsid w:val="00092EB1"/>
    <w:rsid w:val="00092FEE"/>
    <w:rsid w:val="0009559B"/>
    <w:rsid w:val="0009566B"/>
    <w:rsid w:val="00095F9B"/>
    <w:rsid w:val="0009632A"/>
    <w:rsid w:val="00096410"/>
    <w:rsid w:val="000A4632"/>
    <w:rsid w:val="000A5E9B"/>
    <w:rsid w:val="000A6F12"/>
    <w:rsid w:val="000A6FDA"/>
    <w:rsid w:val="000B07B8"/>
    <w:rsid w:val="000B3439"/>
    <w:rsid w:val="000B55D6"/>
    <w:rsid w:val="000B6592"/>
    <w:rsid w:val="000B67F6"/>
    <w:rsid w:val="000B6E0B"/>
    <w:rsid w:val="000C1D0F"/>
    <w:rsid w:val="000C5432"/>
    <w:rsid w:val="000C5A80"/>
    <w:rsid w:val="000C5F49"/>
    <w:rsid w:val="000C79C7"/>
    <w:rsid w:val="000C7DA4"/>
    <w:rsid w:val="000D190F"/>
    <w:rsid w:val="000D1D2D"/>
    <w:rsid w:val="000D308A"/>
    <w:rsid w:val="000D4450"/>
    <w:rsid w:val="000D4495"/>
    <w:rsid w:val="000D476C"/>
    <w:rsid w:val="000D6BB4"/>
    <w:rsid w:val="000D7727"/>
    <w:rsid w:val="000E2F6A"/>
    <w:rsid w:val="000E37F6"/>
    <w:rsid w:val="000E62BF"/>
    <w:rsid w:val="000F5042"/>
    <w:rsid w:val="000F682B"/>
    <w:rsid w:val="000F6B7D"/>
    <w:rsid w:val="00100668"/>
    <w:rsid w:val="00101E5A"/>
    <w:rsid w:val="00102DE7"/>
    <w:rsid w:val="00106FBA"/>
    <w:rsid w:val="00111031"/>
    <w:rsid w:val="00112FBC"/>
    <w:rsid w:val="00113DAB"/>
    <w:rsid w:val="00114ECA"/>
    <w:rsid w:val="00114F23"/>
    <w:rsid w:val="00117E0D"/>
    <w:rsid w:val="00120517"/>
    <w:rsid w:val="001214A3"/>
    <w:rsid w:val="001244E6"/>
    <w:rsid w:val="00124637"/>
    <w:rsid w:val="00124B1A"/>
    <w:rsid w:val="00124C18"/>
    <w:rsid w:val="00125681"/>
    <w:rsid w:val="001276E6"/>
    <w:rsid w:val="0013068D"/>
    <w:rsid w:val="00130AF2"/>
    <w:rsid w:val="001338F3"/>
    <w:rsid w:val="00134B92"/>
    <w:rsid w:val="00134C3E"/>
    <w:rsid w:val="00137B6A"/>
    <w:rsid w:val="00137E29"/>
    <w:rsid w:val="00140C47"/>
    <w:rsid w:val="00141F27"/>
    <w:rsid w:val="00142543"/>
    <w:rsid w:val="00142EBD"/>
    <w:rsid w:val="001440E3"/>
    <w:rsid w:val="00145A8E"/>
    <w:rsid w:val="00145BEC"/>
    <w:rsid w:val="00146F44"/>
    <w:rsid w:val="0014721B"/>
    <w:rsid w:val="00147A5B"/>
    <w:rsid w:val="00147B64"/>
    <w:rsid w:val="00150114"/>
    <w:rsid w:val="00150DB9"/>
    <w:rsid w:val="001528D0"/>
    <w:rsid w:val="00152EF0"/>
    <w:rsid w:val="0015347E"/>
    <w:rsid w:val="00154897"/>
    <w:rsid w:val="00156455"/>
    <w:rsid w:val="00156889"/>
    <w:rsid w:val="00160934"/>
    <w:rsid w:val="00160C7E"/>
    <w:rsid w:val="0016102E"/>
    <w:rsid w:val="00164D67"/>
    <w:rsid w:val="00165361"/>
    <w:rsid w:val="0017323F"/>
    <w:rsid w:val="001767BE"/>
    <w:rsid w:val="00180E99"/>
    <w:rsid w:val="00181313"/>
    <w:rsid w:val="00181EF3"/>
    <w:rsid w:val="00182417"/>
    <w:rsid w:val="0018285E"/>
    <w:rsid w:val="00182CC3"/>
    <w:rsid w:val="00183661"/>
    <w:rsid w:val="00183F8F"/>
    <w:rsid w:val="001845A7"/>
    <w:rsid w:val="00184828"/>
    <w:rsid w:val="001877DA"/>
    <w:rsid w:val="00187E02"/>
    <w:rsid w:val="001902EF"/>
    <w:rsid w:val="00190A03"/>
    <w:rsid w:val="00191A07"/>
    <w:rsid w:val="001949A2"/>
    <w:rsid w:val="001966A8"/>
    <w:rsid w:val="00197815"/>
    <w:rsid w:val="001A356E"/>
    <w:rsid w:val="001A409D"/>
    <w:rsid w:val="001A4529"/>
    <w:rsid w:val="001A4F55"/>
    <w:rsid w:val="001A56CF"/>
    <w:rsid w:val="001A6883"/>
    <w:rsid w:val="001A728D"/>
    <w:rsid w:val="001A75B4"/>
    <w:rsid w:val="001A7B62"/>
    <w:rsid w:val="001B14C2"/>
    <w:rsid w:val="001B159A"/>
    <w:rsid w:val="001B3CA4"/>
    <w:rsid w:val="001B4620"/>
    <w:rsid w:val="001B4D5C"/>
    <w:rsid w:val="001B50F6"/>
    <w:rsid w:val="001B5493"/>
    <w:rsid w:val="001B6A99"/>
    <w:rsid w:val="001B6E75"/>
    <w:rsid w:val="001B720C"/>
    <w:rsid w:val="001B798F"/>
    <w:rsid w:val="001C054B"/>
    <w:rsid w:val="001C0CCB"/>
    <w:rsid w:val="001C2F0B"/>
    <w:rsid w:val="001C4324"/>
    <w:rsid w:val="001C5372"/>
    <w:rsid w:val="001D1604"/>
    <w:rsid w:val="001D216E"/>
    <w:rsid w:val="001D2F03"/>
    <w:rsid w:val="001D304C"/>
    <w:rsid w:val="001D3DD4"/>
    <w:rsid w:val="001D7511"/>
    <w:rsid w:val="001E183F"/>
    <w:rsid w:val="001E4810"/>
    <w:rsid w:val="001E4DDF"/>
    <w:rsid w:val="001E61F1"/>
    <w:rsid w:val="001E728A"/>
    <w:rsid w:val="001F07F3"/>
    <w:rsid w:val="001F0CA6"/>
    <w:rsid w:val="001F0FC4"/>
    <w:rsid w:val="001F12C1"/>
    <w:rsid w:val="001F2C9C"/>
    <w:rsid w:val="001F2EEC"/>
    <w:rsid w:val="001F494A"/>
    <w:rsid w:val="001F76BC"/>
    <w:rsid w:val="00200712"/>
    <w:rsid w:val="00200E71"/>
    <w:rsid w:val="00205EA5"/>
    <w:rsid w:val="00206100"/>
    <w:rsid w:val="00206D49"/>
    <w:rsid w:val="002101CD"/>
    <w:rsid w:val="002106FF"/>
    <w:rsid w:val="00210D87"/>
    <w:rsid w:val="00212745"/>
    <w:rsid w:val="002143DC"/>
    <w:rsid w:val="002152EA"/>
    <w:rsid w:val="002165BF"/>
    <w:rsid w:val="00217936"/>
    <w:rsid w:val="00221101"/>
    <w:rsid w:val="00221425"/>
    <w:rsid w:val="002220BF"/>
    <w:rsid w:val="002226F8"/>
    <w:rsid w:val="002251AF"/>
    <w:rsid w:val="00230C9B"/>
    <w:rsid w:val="00231AF2"/>
    <w:rsid w:val="00232152"/>
    <w:rsid w:val="0023381C"/>
    <w:rsid w:val="002341C0"/>
    <w:rsid w:val="0023443B"/>
    <w:rsid w:val="00236413"/>
    <w:rsid w:val="00236F97"/>
    <w:rsid w:val="002410E9"/>
    <w:rsid w:val="00241F15"/>
    <w:rsid w:val="00244637"/>
    <w:rsid w:val="0024588D"/>
    <w:rsid w:val="002459A5"/>
    <w:rsid w:val="00247E7A"/>
    <w:rsid w:val="002546D5"/>
    <w:rsid w:val="002566EC"/>
    <w:rsid w:val="002605BD"/>
    <w:rsid w:val="002607FA"/>
    <w:rsid w:val="00260F4A"/>
    <w:rsid w:val="00261076"/>
    <w:rsid w:val="00262E4D"/>
    <w:rsid w:val="00262FE2"/>
    <w:rsid w:val="002654FD"/>
    <w:rsid w:val="00265794"/>
    <w:rsid w:val="00265CCC"/>
    <w:rsid w:val="0026659E"/>
    <w:rsid w:val="00266964"/>
    <w:rsid w:val="00267DBD"/>
    <w:rsid w:val="002734B9"/>
    <w:rsid w:val="00273CF7"/>
    <w:rsid w:val="002746D8"/>
    <w:rsid w:val="00275239"/>
    <w:rsid w:val="00275482"/>
    <w:rsid w:val="00275ED7"/>
    <w:rsid w:val="00276107"/>
    <w:rsid w:val="00276329"/>
    <w:rsid w:val="00280821"/>
    <w:rsid w:val="00281580"/>
    <w:rsid w:val="00281C48"/>
    <w:rsid w:val="0028399C"/>
    <w:rsid w:val="00283B93"/>
    <w:rsid w:val="002845C4"/>
    <w:rsid w:val="00284F5C"/>
    <w:rsid w:val="0029117C"/>
    <w:rsid w:val="002911BC"/>
    <w:rsid w:val="002917F1"/>
    <w:rsid w:val="0029246E"/>
    <w:rsid w:val="00293316"/>
    <w:rsid w:val="00294408"/>
    <w:rsid w:val="00294E58"/>
    <w:rsid w:val="002953FF"/>
    <w:rsid w:val="002A09BD"/>
    <w:rsid w:val="002A1A33"/>
    <w:rsid w:val="002A2261"/>
    <w:rsid w:val="002A228D"/>
    <w:rsid w:val="002A284C"/>
    <w:rsid w:val="002A405E"/>
    <w:rsid w:val="002A4895"/>
    <w:rsid w:val="002A6071"/>
    <w:rsid w:val="002A6CB6"/>
    <w:rsid w:val="002A71AA"/>
    <w:rsid w:val="002B0116"/>
    <w:rsid w:val="002B0F68"/>
    <w:rsid w:val="002B2849"/>
    <w:rsid w:val="002B2879"/>
    <w:rsid w:val="002B3FA9"/>
    <w:rsid w:val="002B4AEE"/>
    <w:rsid w:val="002B69E6"/>
    <w:rsid w:val="002C0DD5"/>
    <w:rsid w:val="002C1CB5"/>
    <w:rsid w:val="002C1D8F"/>
    <w:rsid w:val="002C1F13"/>
    <w:rsid w:val="002C3719"/>
    <w:rsid w:val="002C3915"/>
    <w:rsid w:val="002C4297"/>
    <w:rsid w:val="002C5420"/>
    <w:rsid w:val="002D0D53"/>
    <w:rsid w:val="002D1B0A"/>
    <w:rsid w:val="002D2F69"/>
    <w:rsid w:val="002D30C7"/>
    <w:rsid w:val="002D4025"/>
    <w:rsid w:val="002D4D0C"/>
    <w:rsid w:val="002D4D72"/>
    <w:rsid w:val="002E0D60"/>
    <w:rsid w:val="002E474C"/>
    <w:rsid w:val="002E5C43"/>
    <w:rsid w:val="002E65A7"/>
    <w:rsid w:val="002F1B86"/>
    <w:rsid w:val="002F1FDF"/>
    <w:rsid w:val="002F2174"/>
    <w:rsid w:val="002F3693"/>
    <w:rsid w:val="002F551C"/>
    <w:rsid w:val="002F7238"/>
    <w:rsid w:val="003014B9"/>
    <w:rsid w:val="003025F4"/>
    <w:rsid w:val="003030DE"/>
    <w:rsid w:val="00303750"/>
    <w:rsid w:val="0030400E"/>
    <w:rsid w:val="003058DB"/>
    <w:rsid w:val="00305BF4"/>
    <w:rsid w:val="003072F1"/>
    <w:rsid w:val="00310A24"/>
    <w:rsid w:val="0031482F"/>
    <w:rsid w:val="003167A3"/>
    <w:rsid w:val="00316925"/>
    <w:rsid w:val="00326325"/>
    <w:rsid w:val="003270C1"/>
    <w:rsid w:val="00332231"/>
    <w:rsid w:val="00332395"/>
    <w:rsid w:val="00340F1E"/>
    <w:rsid w:val="00341546"/>
    <w:rsid w:val="00342C12"/>
    <w:rsid w:val="00343C99"/>
    <w:rsid w:val="003440EB"/>
    <w:rsid w:val="003447CB"/>
    <w:rsid w:val="00345200"/>
    <w:rsid w:val="00346F51"/>
    <w:rsid w:val="00346FF6"/>
    <w:rsid w:val="00347C8B"/>
    <w:rsid w:val="00353899"/>
    <w:rsid w:val="00357D4C"/>
    <w:rsid w:val="00360BA6"/>
    <w:rsid w:val="00360D52"/>
    <w:rsid w:val="00362D09"/>
    <w:rsid w:val="003630A4"/>
    <w:rsid w:val="003631BE"/>
    <w:rsid w:val="00363403"/>
    <w:rsid w:val="00364377"/>
    <w:rsid w:val="003647B0"/>
    <w:rsid w:val="00364FC8"/>
    <w:rsid w:val="0036592A"/>
    <w:rsid w:val="0036692F"/>
    <w:rsid w:val="0037086D"/>
    <w:rsid w:val="003722DF"/>
    <w:rsid w:val="00374FE8"/>
    <w:rsid w:val="00375CC2"/>
    <w:rsid w:val="00375FB7"/>
    <w:rsid w:val="0037621C"/>
    <w:rsid w:val="003762A1"/>
    <w:rsid w:val="003772D7"/>
    <w:rsid w:val="003774DD"/>
    <w:rsid w:val="00381094"/>
    <w:rsid w:val="003833BB"/>
    <w:rsid w:val="00383D1B"/>
    <w:rsid w:val="00384812"/>
    <w:rsid w:val="00384DF6"/>
    <w:rsid w:val="00385CAF"/>
    <w:rsid w:val="00386B73"/>
    <w:rsid w:val="00386F74"/>
    <w:rsid w:val="0038781A"/>
    <w:rsid w:val="0039265F"/>
    <w:rsid w:val="00392898"/>
    <w:rsid w:val="00392C65"/>
    <w:rsid w:val="00393BB1"/>
    <w:rsid w:val="00396D45"/>
    <w:rsid w:val="0039789E"/>
    <w:rsid w:val="003A2064"/>
    <w:rsid w:val="003A44B3"/>
    <w:rsid w:val="003A46FE"/>
    <w:rsid w:val="003A6137"/>
    <w:rsid w:val="003A6210"/>
    <w:rsid w:val="003A6345"/>
    <w:rsid w:val="003B0083"/>
    <w:rsid w:val="003B0940"/>
    <w:rsid w:val="003B0DC4"/>
    <w:rsid w:val="003B1B4B"/>
    <w:rsid w:val="003B2944"/>
    <w:rsid w:val="003B2BB0"/>
    <w:rsid w:val="003B2EDD"/>
    <w:rsid w:val="003B2F33"/>
    <w:rsid w:val="003B2FCC"/>
    <w:rsid w:val="003B3301"/>
    <w:rsid w:val="003B6589"/>
    <w:rsid w:val="003C2DA2"/>
    <w:rsid w:val="003C40C3"/>
    <w:rsid w:val="003C60EA"/>
    <w:rsid w:val="003C6371"/>
    <w:rsid w:val="003C6EAA"/>
    <w:rsid w:val="003D0CE0"/>
    <w:rsid w:val="003D36C2"/>
    <w:rsid w:val="003D4045"/>
    <w:rsid w:val="003D4983"/>
    <w:rsid w:val="003D5BF4"/>
    <w:rsid w:val="003D697B"/>
    <w:rsid w:val="003D7E60"/>
    <w:rsid w:val="003E0534"/>
    <w:rsid w:val="003E1976"/>
    <w:rsid w:val="003E1D57"/>
    <w:rsid w:val="003E3850"/>
    <w:rsid w:val="003E596F"/>
    <w:rsid w:val="003E6309"/>
    <w:rsid w:val="003E6C9F"/>
    <w:rsid w:val="003F0886"/>
    <w:rsid w:val="003F0F23"/>
    <w:rsid w:val="003F2577"/>
    <w:rsid w:val="003F3400"/>
    <w:rsid w:val="003F5937"/>
    <w:rsid w:val="003F6A43"/>
    <w:rsid w:val="003F7C7A"/>
    <w:rsid w:val="0040040C"/>
    <w:rsid w:val="0040084C"/>
    <w:rsid w:val="00402956"/>
    <w:rsid w:val="00402E31"/>
    <w:rsid w:val="004032DA"/>
    <w:rsid w:val="004042F2"/>
    <w:rsid w:val="00405EC4"/>
    <w:rsid w:val="0040772B"/>
    <w:rsid w:val="004078BB"/>
    <w:rsid w:val="00410ED3"/>
    <w:rsid w:val="004118E7"/>
    <w:rsid w:val="00412373"/>
    <w:rsid w:val="00413609"/>
    <w:rsid w:val="004137DD"/>
    <w:rsid w:val="0041552D"/>
    <w:rsid w:val="0041795D"/>
    <w:rsid w:val="00417CB4"/>
    <w:rsid w:val="004203BC"/>
    <w:rsid w:val="00427E06"/>
    <w:rsid w:val="00432119"/>
    <w:rsid w:val="00432C94"/>
    <w:rsid w:val="00433539"/>
    <w:rsid w:val="00433E15"/>
    <w:rsid w:val="004356F2"/>
    <w:rsid w:val="0043793B"/>
    <w:rsid w:val="00440FE7"/>
    <w:rsid w:val="00442E49"/>
    <w:rsid w:val="00443D3B"/>
    <w:rsid w:val="00444BE4"/>
    <w:rsid w:val="004476B7"/>
    <w:rsid w:val="004501F7"/>
    <w:rsid w:val="0045354A"/>
    <w:rsid w:val="0045558F"/>
    <w:rsid w:val="00457E11"/>
    <w:rsid w:val="0046110F"/>
    <w:rsid w:val="004627BC"/>
    <w:rsid w:val="0046281B"/>
    <w:rsid w:val="0046609E"/>
    <w:rsid w:val="0046757A"/>
    <w:rsid w:val="00470A58"/>
    <w:rsid w:val="00471906"/>
    <w:rsid w:val="00471A9B"/>
    <w:rsid w:val="00471EA0"/>
    <w:rsid w:val="00472A54"/>
    <w:rsid w:val="00472A79"/>
    <w:rsid w:val="0047450B"/>
    <w:rsid w:val="004756E5"/>
    <w:rsid w:val="00477111"/>
    <w:rsid w:val="00481288"/>
    <w:rsid w:val="00482797"/>
    <w:rsid w:val="00482ECD"/>
    <w:rsid w:val="00483A79"/>
    <w:rsid w:val="00484250"/>
    <w:rsid w:val="004855FE"/>
    <w:rsid w:val="00486CDB"/>
    <w:rsid w:val="0049066A"/>
    <w:rsid w:val="00493057"/>
    <w:rsid w:val="004941EF"/>
    <w:rsid w:val="00494BF6"/>
    <w:rsid w:val="004954B7"/>
    <w:rsid w:val="004A2329"/>
    <w:rsid w:val="004A2BDD"/>
    <w:rsid w:val="004A2EF1"/>
    <w:rsid w:val="004A425D"/>
    <w:rsid w:val="004A5CFE"/>
    <w:rsid w:val="004B1FFB"/>
    <w:rsid w:val="004B21D3"/>
    <w:rsid w:val="004B389C"/>
    <w:rsid w:val="004B7489"/>
    <w:rsid w:val="004B7C7B"/>
    <w:rsid w:val="004C074B"/>
    <w:rsid w:val="004C084E"/>
    <w:rsid w:val="004C0EE1"/>
    <w:rsid w:val="004C2CA2"/>
    <w:rsid w:val="004C3A23"/>
    <w:rsid w:val="004C5343"/>
    <w:rsid w:val="004C5D12"/>
    <w:rsid w:val="004D0086"/>
    <w:rsid w:val="004D0542"/>
    <w:rsid w:val="004D1ED6"/>
    <w:rsid w:val="004D36B2"/>
    <w:rsid w:val="004D42F3"/>
    <w:rsid w:val="004D43C6"/>
    <w:rsid w:val="004D7E6A"/>
    <w:rsid w:val="004E0E8E"/>
    <w:rsid w:val="004E1CAF"/>
    <w:rsid w:val="004E256C"/>
    <w:rsid w:val="004E28EA"/>
    <w:rsid w:val="004E3E40"/>
    <w:rsid w:val="004E3E86"/>
    <w:rsid w:val="004E45D3"/>
    <w:rsid w:val="004E5674"/>
    <w:rsid w:val="004E5EA2"/>
    <w:rsid w:val="004E64F3"/>
    <w:rsid w:val="004E66C5"/>
    <w:rsid w:val="004E73F4"/>
    <w:rsid w:val="004E7492"/>
    <w:rsid w:val="004E7741"/>
    <w:rsid w:val="004F2041"/>
    <w:rsid w:val="004F5B54"/>
    <w:rsid w:val="004F5D07"/>
    <w:rsid w:val="004F76F8"/>
    <w:rsid w:val="005005A1"/>
    <w:rsid w:val="00500ECE"/>
    <w:rsid w:val="00501182"/>
    <w:rsid w:val="005011E8"/>
    <w:rsid w:val="00502641"/>
    <w:rsid w:val="00502697"/>
    <w:rsid w:val="00503333"/>
    <w:rsid w:val="00503C8A"/>
    <w:rsid w:val="0050421C"/>
    <w:rsid w:val="00505473"/>
    <w:rsid w:val="00505A50"/>
    <w:rsid w:val="00506FAC"/>
    <w:rsid w:val="00510926"/>
    <w:rsid w:val="00511BB0"/>
    <w:rsid w:val="0051383A"/>
    <w:rsid w:val="00514777"/>
    <w:rsid w:val="00514F68"/>
    <w:rsid w:val="00515B9E"/>
    <w:rsid w:val="005204CC"/>
    <w:rsid w:val="005224E4"/>
    <w:rsid w:val="00523708"/>
    <w:rsid w:val="00525D01"/>
    <w:rsid w:val="005264D5"/>
    <w:rsid w:val="00531595"/>
    <w:rsid w:val="00531E8A"/>
    <w:rsid w:val="00531E95"/>
    <w:rsid w:val="00532445"/>
    <w:rsid w:val="00534D9F"/>
    <w:rsid w:val="00534F5D"/>
    <w:rsid w:val="00535C2B"/>
    <w:rsid w:val="00537B36"/>
    <w:rsid w:val="00542F94"/>
    <w:rsid w:val="005469B4"/>
    <w:rsid w:val="00550354"/>
    <w:rsid w:val="005537F3"/>
    <w:rsid w:val="00553904"/>
    <w:rsid w:val="00553A12"/>
    <w:rsid w:val="00553B5C"/>
    <w:rsid w:val="00554656"/>
    <w:rsid w:val="00555E8A"/>
    <w:rsid w:val="00557303"/>
    <w:rsid w:val="0056067E"/>
    <w:rsid w:val="0056658B"/>
    <w:rsid w:val="00572986"/>
    <w:rsid w:val="00573C23"/>
    <w:rsid w:val="00573C2A"/>
    <w:rsid w:val="005741D9"/>
    <w:rsid w:val="00574999"/>
    <w:rsid w:val="00574D0C"/>
    <w:rsid w:val="00575285"/>
    <w:rsid w:val="005752C1"/>
    <w:rsid w:val="005759CC"/>
    <w:rsid w:val="005761CF"/>
    <w:rsid w:val="00580FC8"/>
    <w:rsid w:val="00584271"/>
    <w:rsid w:val="00584407"/>
    <w:rsid w:val="0058797D"/>
    <w:rsid w:val="00587BDB"/>
    <w:rsid w:val="005902EC"/>
    <w:rsid w:val="00592556"/>
    <w:rsid w:val="00592E4B"/>
    <w:rsid w:val="00594973"/>
    <w:rsid w:val="00595AE8"/>
    <w:rsid w:val="00595F84"/>
    <w:rsid w:val="00596865"/>
    <w:rsid w:val="005A03F1"/>
    <w:rsid w:val="005A2E02"/>
    <w:rsid w:val="005A409F"/>
    <w:rsid w:val="005A5564"/>
    <w:rsid w:val="005A5F83"/>
    <w:rsid w:val="005A639D"/>
    <w:rsid w:val="005A7739"/>
    <w:rsid w:val="005B09D4"/>
    <w:rsid w:val="005B3B3B"/>
    <w:rsid w:val="005B4EA6"/>
    <w:rsid w:val="005B58BE"/>
    <w:rsid w:val="005B7BB9"/>
    <w:rsid w:val="005C11B8"/>
    <w:rsid w:val="005C2A85"/>
    <w:rsid w:val="005C30F0"/>
    <w:rsid w:val="005C3C9E"/>
    <w:rsid w:val="005C5DC8"/>
    <w:rsid w:val="005C6C4D"/>
    <w:rsid w:val="005D01BE"/>
    <w:rsid w:val="005D027A"/>
    <w:rsid w:val="005D07F1"/>
    <w:rsid w:val="005D13AC"/>
    <w:rsid w:val="005D3BB7"/>
    <w:rsid w:val="005D44E6"/>
    <w:rsid w:val="005D7CF0"/>
    <w:rsid w:val="005E47D1"/>
    <w:rsid w:val="005E664F"/>
    <w:rsid w:val="005E69EC"/>
    <w:rsid w:val="005F005C"/>
    <w:rsid w:val="005F1050"/>
    <w:rsid w:val="005F1283"/>
    <w:rsid w:val="005F2B91"/>
    <w:rsid w:val="005F2CC4"/>
    <w:rsid w:val="005F359D"/>
    <w:rsid w:val="005F3CDA"/>
    <w:rsid w:val="005F4EC2"/>
    <w:rsid w:val="005F69A7"/>
    <w:rsid w:val="00600010"/>
    <w:rsid w:val="0060431A"/>
    <w:rsid w:val="006076ED"/>
    <w:rsid w:val="00607F22"/>
    <w:rsid w:val="006101E5"/>
    <w:rsid w:val="00610586"/>
    <w:rsid w:val="0061098E"/>
    <w:rsid w:val="006111A9"/>
    <w:rsid w:val="00611273"/>
    <w:rsid w:val="006112AA"/>
    <w:rsid w:val="006122EA"/>
    <w:rsid w:val="00613071"/>
    <w:rsid w:val="00614CBA"/>
    <w:rsid w:val="00614D6F"/>
    <w:rsid w:val="00616B3C"/>
    <w:rsid w:val="00617BFB"/>
    <w:rsid w:val="00617E20"/>
    <w:rsid w:val="00621BCB"/>
    <w:rsid w:val="00623293"/>
    <w:rsid w:val="00624B51"/>
    <w:rsid w:val="00624E42"/>
    <w:rsid w:val="00627621"/>
    <w:rsid w:val="00627ADF"/>
    <w:rsid w:val="00630AA3"/>
    <w:rsid w:val="00631B0D"/>
    <w:rsid w:val="0063378B"/>
    <w:rsid w:val="006365DE"/>
    <w:rsid w:val="0063758B"/>
    <w:rsid w:val="006418D7"/>
    <w:rsid w:val="00643423"/>
    <w:rsid w:val="00643C92"/>
    <w:rsid w:val="00644B5A"/>
    <w:rsid w:val="00645FFB"/>
    <w:rsid w:val="006478AA"/>
    <w:rsid w:val="00650993"/>
    <w:rsid w:val="00651EA8"/>
    <w:rsid w:val="006522E4"/>
    <w:rsid w:val="00652C16"/>
    <w:rsid w:val="0065478F"/>
    <w:rsid w:val="006563BD"/>
    <w:rsid w:val="00657090"/>
    <w:rsid w:val="00660CF8"/>
    <w:rsid w:val="00661458"/>
    <w:rsid w:val="00662B07"/>
    <w:rsid w:val="006632E7"/>
    <w:rsid w:val="00663997"/>
    <w:rsid w:val="00665146"/>
    <w:rsid w:val="006673B6"/>
    <w:rsid w:val="00667DB8"/>
    <w:rsid w:val="0067121B"/>
    <w:rsid w:val="0067458C"/>
    <w:rsid w:val="00676061"/>
    <w:rsid w:val="00681EB8"/>
    <w:rsid w:val="00682D59"/>
    <w:rsid w:val="006834E5"/>
    <w:rsid w:val="00685CD4"/>
    <w:rsid w:val="006872B8"/>
    <w:rsid w:val="00687332"/>
    <w:rsid w:val="00691F0B"/>
    <w:rsid w:val="0069240B"/>
    <w:rsid w:val="00693612"/>
    <w:rsid w:val="00693F07"/>
    <w:rsid w:val="0069522B"/>
    <w:rsid w:val="00697226"/>
    <w:rsid w:val="00697D18"/>
    <w:rsid w:val="00697FE9"/>
    <w:rsid w:val="006A15B1"/>
    <w:rsid w:val="006A2AC4"/>
    <w:rsid w:val="006A4A5D"/>
    <w:rsid w:val="006A6254"/>
    <w:rsid w:val="006A7CC9"/>
    <w:rsid w:val="006B03A5"/>
    <w:rsid w:val="006B0E9D"/>
    <w:rsid w:val="006B147D"/>
    <w:rsid w:val="006B1CDC"/>
    <w:rsid w:val="006B2109"/>
    <w:rsid w:val="006B3D1A"/>
    <w:rsid w:val="006B3FC7"/>
    <w:rsid w:val="006B41B5"/>
    <w:rsid w:val="006B43D1"/>
    <w:rsid w:val="006B5354"/>
    <w:rsid w:val="006B5F99"/>
    <w:rsid w:val="006B62A1"/>
    <w:rsid w:val="006B6713"/>
    <w:rsid w:val="006B67CD"/>
    <w:rsid w:val="006C34BF"/>
    <w:rsid w:val="006C3536"/>
    <w:rsid w:val="006C41A8"/>
    <w:rsid w:val="006C4BEC"/>
    <w:rsid w:val="006C693C"/>
    <w:rsid w:val="006C6DC4"/>
    <w:rsid w:val="006D0B45"/>
    <w:rsid w:val="006D16E8"/>
    <w:rsid w:val="006D1AF5"/>
    <w:rsid w:val="006D22E7"/>
    <w:rsid w:val="006D2673"/>
    <w:rsid w:val="006D7B62"/>
    <w:rsid w:val="006E271C"/>
    <w:rsid w:val="006E3364"/>
    <w:rsid w:val="006E4441"/>
    <w:rsid w:val="006E6933"/>
    <w:rsid w:val="006E6EA8"/>
    <w:rsid w:val="006E75EC"/>
    <w:rsid w:val="006F19FD"/>
    <w:rsid w:val="006F1B06"/>
    <w:rsid w:val="006F1C3B"/>
    <w:rsid w:val="006F2340"/>
    <w:rsid w:val="006F2A7C"/>
    <w:rsid w:val="006F425D"/>
    <w:rsid w:val="006F605A"/>
    <w:rsid w:val="006F73D1"/>
    <w:rsid w:val="006F78E6"/>
    <w:rsid w:val="006F7F5D"/>
    <w:rsid w:val="0070462F"/>
    <w:rsid w:val="00705299"/>
    <w:rsid w:val="00706CFB"/>
    <w:rsid w:val="00707BD4"/>
    <w:rsid w:val="00707CBD"/>
    <w:rsid w:val="00711DF8"/>
    <w:rsid w:val="00713412"/>
    <w:rsid w:val="007134F2"/>
    <w:rsid w:val="0071696B"/>
    <w:rsid w:val="00721C9F"/>
    <w:rsid w:val="00722523"/>
    <w:rsid w:val="00723FD1"/>
    <w:rsid w:val="007248DA"/>
    <w:rsid w:val="00724A66"/>
    <w:rsid w:val="0072528D"/>
    <w:rsid w:val="007258DA"/>
    <w:rsid w:val="00726B38"/>
    <w:rsid w:val="00727612"/>
    <w:rsid w:val="0073324B"/>
    <w:rsid w:val="00736223"/>
    <w:rsid w:val="00737346"/>
    <w:rsid w:val="007410CC"/>
    <w:rsid w:val="0074151C"/>
    <w:rsid w:val="00743A9B"/>
    <w:rsid w:val="007448D8"/>
    <w:rsid w:val="0075085E"/>
    <w:rsid w:val="007517AE"/>
    <w:rsid w:val="007559BF"/>
    <w:rsid w:val="007574C8"/>
    <w:rsid w:val="00762E4E"/>
    <w:rsid w:val="007631AC"/>
    <w:rsid w:val="00766923"/>
    <w:rsid w:val="00767AEB"/>
    <w:rsid w:val="00767B41"/>
    <w:rsid w:val="00770343"/>
    <w:rsid w:val="007708BD"/>
    <w:rsid w:val="00770D56"/>
    <w:rsid w:val="00772A3F"/>
    <w:rsid w:val="00773605"/>
    <w:rsid w:val="00773C05"/>
    <w:rsid w:val="007749DD"/>
    <w:rsid w:val="007770D8"/>
    <w:rsid w:val="00777660"/>
    <w:rsid w:val="00777D32"/>
    <w:rsid w:val="00777E6F"/>
    <w:rsid w:val="00777F48"/>
    <w:rsid w:val="007811CD"/>
    <w:rsid w:val="00781E5E"/>
    <w:rsid w:val="00781F5C"/>
    <w:rsid w:val="00783ADB"/>
    <w:rsid w:val="0078422F"/>
    <w:rsid w:val="00784B61"/>
    <w:rsid w:val="0078549F"/>
    <w:rsid w:val="00785E07"/>
    <w:rsid w:val="007907C0"/>
    <w:rsid w:val="00790CF9"/>
    <w:rsid w:val="0079207B"/>
    <w:rsid w:val="00792445"/>
    <w:rsid w:val="00795983"/>
    <w:rsid w:val="00797658"/>
    <w:rsid w:val="007A498A"/>
    <w:rsid w:val="007A72B2"/>
    <w:rsid w:val="007B0026"/>
    <w:rsid w:val="007B027C"/>
    <w:rsid w:val="007B37E0"/>
    <w:rsid w:val="007B572C"/>
    <w:rsid w:val="007B69CD"/>
    <w:rsid w:val="007B7D3A"/>
    <w:rsid w:val="007C0C64"/>
    <w:rsid w:val="007C1397"/>
    <w:rsid w:val="007C1988"/>
    <w:rsid w:val="007C2982"/>
    <w:rsid w:val="007C30F9"/>
    <w:rsid w:val="007C3390"/>
    <w:rsid w:val="007C3B78"/>
    <w:rsid w:val="007C50DF"/>
    <w:rsid w:val="007C5A6F"/>
    <w:rsid w:val="007C70B4"/>
    <w:rsid w:val="007C7ACD"/>
    <w:rsid w:val="007D387B"/>
    <w:rsid w:val="007D3F9E"/>
    <w:rsid w:val="007D62C1"/>
    <w:rsid w:val="007D715C"/>
    <w:rsid w:val="007E2206"/>
    <w:rsid w:val="007E284F"/>
    <w:rsid w:val="007E292F"/>
    <w:rsid w:val="007E3F1E"/>
    <w:rsid w:val="007E61A9"/>
    <w:rsid w:val="007E744A"/>
    <w:rsid w:val="007F36F6"/>
    <w:rsid w:val="007F6096"/>
    <w:rsid w:val="007F6D9F"/>
    <w:rsid w:val="0080033D"/>
    <w:rsid w:val="00800A1F"/>
    <w:rsid w:val="0080249D"/>
    <w:rsid w:val="00802B89"/>
    <w:rsid w:val="00802D6C"/>
    <w:rsid w:val="008040AF"/>
    <w:rsid w:val="008154E4"/>
    <w:rsid w:val="00816186"/>
    <w:rsid w:val="0082049C"/>
    <w:rsid w:val="008205F4"/>
    <w:rsid w:val="00820615"/>
    <w:rsid w:val="00820CEB"/>
    <w:rsid w:val="0082159B"/>
    <w:rsid w:val="008220F4"/>
    <w:rsid w:val="00822143"/>
    <w:rsid w:val="00822264"/>
    <w:rsid w:val="008229B2"/>
    <w:rsid w:val="00822E9E"/>
    <w:rsid w:val="00823262"/>
    <w:rsid w:val="00824219"/>
    <w:rsid w:val="008253EE"/>
    <w:rsid w:val="00825934"/>
    <w:rsid w:val="00825E94"/>
    <w:rsid w:val="0082696F"/>
    <w:rsid w:val="0083219D"/>
    <w:rsid w:val="00833634"/>
    <w:rsid w:val="0083422B"/>
    <w:rsid w:val="00836D66"/>
    <w:rsid w:val="008374D2"/>
    <w:rsid w:val="00841139"/>
    <w:rsid w:val="00842079"/>
    <w:rsid w:val="00842DE0"/>
    <w:rsid w:val="00843B0F"/>
    <w:rsid w:val="00844701"/>
    <w:rsid w:val="008465BF"/>
    <w:rsid w:val="00851A6C"/>
    <w:rsid w:val="008546D6"/>
    <w:rsid w:val="0085546F"/>
    <w:rsid w:val="0085575E"/>
    <w:rsid w:val="0085788F"/>
    <w:rsid w:val="0086236A"/>
    <w:rsid w:val="00863B3F"/>
    <w:rsid w:val="00864A4B"/>
    <w:rsid w:val="00864C4D"/>
    <w:rsid w:val="00864F05"/>
    <w:rsid w:val="008673F0"/>
    <w:rsid w:val="00873524"/>
    <w:rsid w:val="0087439A"/>
    <w:rsid w:val="00874428"/>
    <w:rsid w:val="00876066"/>
    <w:rsid w:val="00877151"/>
    <w:rsid w:val="00893251"/>
    <w:rsid w:val="0089332F"/>
    <w:rsid w:val="0089510F"/>
    <w:rsid w:val="00896D0F"/>
    <w:rsid w:val="008979E8"/>
    <w:rsid w:val="008A07E2"/>
    <w:rsid w:val="008A2ACB"/>
    <w:rsid w:val="008A53E9"/>
    <w:rsid w:val="008A5405"/>
    <w:rsid w:val="008A5EE1"/>
    <w:rsid w:val="008A6F25"/>
    <w:rsid w:val="008A75E1"/>
    <w:rsid w:val="008A7A83"/>
    <w:rsid w:val="008B0F91"/>
    <w:rsid w:val="008B188D"/>
    <w:rsid w:val="008B5872"/>
    <w:rsid w:val="008C123E"/>
    <w:rsid w:val="008C1A37"/>
    <w:rsid w:val="008C424B"/>
    <w:rsid w:val="008C4B29"/>
    <w:rsid w:val="008C7109"/>
    <w:rsid w:val="008C73EC"/>
    <w:rsid w:val="008C7A2F"/>
    <w:rsid w:val="008D0162"/>
    <w:rsid w:val="008D1D3C"/>
    <w:rsid w:val="008D3DC1"/>
    <w:rsid w:val="008D4076"/>
    <w:rsid w:val="008D5AD8"/>
    <w:rsid w:val="008D5BB9"/>
    <w:rsid w:val="008D7786"/>
    <w:rsid w:val="008E0758"/>
    <w:rsid w:val="008E28ED"/>
    <w:rsid w:val="008E34EB"/>
    <w:rsid w:val="008E43CF"/>
    <w:rsid w:val="008E5522"/>
    <w:rsid w:val="008F1DCC"/>
    <w:rsid w:val="008F42C0"/>
    <w:rsid w:val="008F46C7"/>
    <w:rsid w:val="008F5369"/>
    <w:rsid w:val="008F592D"/>
    <w:rsid w:val="008F5A05"/>
    <w:rsid w:val="008F6362"/>
    <w:rsid w:val="008F797C"/>
    <w:rsid w:val="00902164"/>
    <w:rsid w:val="00903CFC"/>
    <w:rsid w:val="00906EA2"/>
    <w:rsid w:val="00910F98"/>
    <w:rsid w:val="009141BD"/>
    <w:rsid w:val="00915EF6"/>
    <w:rsid w:val="009214EC"/>
    <w:rsid w:val="009220B6"/>
    <w:rsid w:val="009227E2"/>
    <w:rsid w:val="00922B3F"/>
    <w:rsid w:val="0092535A"/>
    <w:rsid w:val="00926A66"/>
    <w:rsid w:val="00927C32"/>
    <w:rsid w:val="00927E96"/>
    <w:rsid w:val="00930D82"/>
    <w:rsid w:val="00932585"/>
    <w:rsid w:val="00935918"/>
    <w:rsid w:val="009359A4"/>
    <w:rsid w:val="00935DFD"/>
    <w:rsid w:val="0093698D"/>
    <w:rsid w:val="00940B22"/>
    <w:rsid w:val="009418BF"/>
    <w:rsid w:val="00942B24"/>
    <w:rsid w:val="00942BE9"/>
    <w:rsid w:val="0094326D"/>
    <w:rsid w:val="00943370"/>
    <w:rsid w:val="009442A1"/>
    <w:rsid w:val="00945F48"/>
    <w:rsid w:val="0094752E"/>
    <w:rsid w:val="00951408"/>
    <w:rsid w:val="00952DE7"/>
    <w:rsid w:val="00954F3C"/>
    <w:rsid w:val="00955947"/>
    <w:rsid w:val="00957FB3"/>
    <w:rsid w:val="00960FAA"/>
    <w:rsid w:val="00961333"/>
    <w:rsid w:val="00961A1E"/>
    <w:rsid w:val="00961E42"/>
    <w:rsid w:val="00964197"/>
    <w:rsid w:val="009703BC"/>
    <w:rsid w:val="00971CC8"/>
    <w:rsid w:val="00972DCD"/>
    <w:rsid w:val="00973124"/>
    <w:rsid w:val="00973B5C"/>
    <w:rsid w:val="00974D43"/>
    <w:rsid w:val="00975E78"/>
    <w:rsid w:val="00976199"/>
    <w:rsid w:val="00976352"/>
    <w:rsid w:val="00977215"/>
    <w:rsid w:val="00977709"/>
    <w:rsid w:val="00981CC3"/>
    <w:rsid w:val="009820E5"/>
    <w:rsid w:val="00983921"/>
    <w:rsid w:val="0098562C"/>
    <w:rsid w:val="00985FAB"/>
    <w:rsid w:val="00986033"/>
    <w:rsid w:val="009861EC"/>
    <w:rsid w:val="0098691E"/>
    <w:rsid w:val="00987829"/>
    <w:rsid w:val="009901AC"/>
    <w:rsid w:val="009904F1"/>
    <w:rsid w:val="0099094C"/>
    <w:rsid w:val="00990E05"/>
    <w:rsid w:val="00991E23"/>
    <w:rsid w:val="00991F33"/>
    <w:rsid w:val="00994008"/>
    <w:rsid w:val="00994B4E"/>
    <w:rsid w:val="00995B21"/>
    <w:rsid w:val="00997669"/>
    <w:rsid w:val="009A05B3"/>
    <w:rsid w:val="009A18AC"/>
    <w:rsid w:val="009A2A3C"/>
    <w:rsid w:val="009A5516"/>
    <w:rsid w:val="009A6ED8"/>
    <w:rsid w:val="009B07CE"/>
    <w:rsid w:val="009B3E5F"/>
    <w:rsid w:val="009B62C8"/>
    <w:rsid w:val="009B6A6A"/>
    <w:rsid w:val="009C0330"/>
    <w:rsid w:val="009C1723"/>
    <w:rsid w:val="009C29EE"/>
    <w:rsid w:val="009C4247"/>
    <w:rsid w:val="009C45BE"/>
    <w:rsid w:val="009C7970"/>
    <w:rsid w:val="009C7BD7"/>
    <w:rsid w:val="009C7D14"/>
    <w:rsid w:val="009D0772"/>
    <w:rsid w:val="009D2519"/>
    <w:rsid w:val="009D2F45"/>
    <w:rsid w:val="009D3218"/>
    <w:rsid w:val="009D499D"/>
    <w:rsid w:val="009E3C39"/>
    <w:rsid w:val="009E4113"/>
    <w:rsid w:val="009E5BA6"/>
    <w:rsid w:val="009F08E1"/>
    <w:rsid w:val="009F0C87"/>
    <w:rsid w:val="009F2973"/>
    <w:rsid w:val="009F3DB7"/>
    <w:rsid w:val="009F57F3"/>
    <w:rsid w:val="009F6849"/>
    <w:rsid w:val="00A01D2F"/>
    <w:rsid w:val="00A029F1"/>
    <w:rsid w:val="00A03018"/>
    <w:rsid w:val="00A0607B"/>
    <w:rsid w:val="00A07583"/>
    <w:rsid w:val="00A11EC5"/>
    <w:rsid w:val="00A134EE"/>
    <w:rsid w:val="00A139BE"/>
    <w:rsid w:val="00A13B7B"/>
    <w:rsid w:val="00A14E1E"/>
    <w:rsid w:val="00A16287"/>
    <w:rsid w:val="00A16655"/>
    <w:rsid w:val="00A16D05"/>
    <w:rsid w:val="00A20028"/>
    <w:rsid w:val="00A23C2C"/>
    <w:rsid w:val="00A24122"/>
    <w:rsid w:val="00A245FB"/>
    <w:rsid w:val="00A256C2"/>
    <w:rsid w:val="00A26504"/>
    <w:rsid w:val="00A269C0"/>
    <w:rsid w:val="00A2720A"/>
    <w:rsid w:val="00A27606"/>
    <w:rsid w:val="00A278D4"/>
    <w:rsid w:val="00A278DB"/>
    <w:rsid w:val="00A342E6"/>
    <w:rsid w:val="00A45F7F"/>
    <w:rsid w:val="00A464EF"/>
    <w:rsid w:val="00A47BC8"/>
    <w:rsid w:val="00A52204"/>
    <w:rsid w:val="00A522E0"/>
    <w:rsid w:val="00A522F3"/>
    <w:rsid w:val="00A52CB5"/>
    <w:rsid w:val="00A5315F"/>
    <w:rsid w:val="00A55E0D"/>
    <w:rsid w:val="00A6054B"/>
    <w:rsid w:val="00A6440E"/>
    <w:rsid w:val="00A67A6C"/>
    <w:rsid w:val="00A72ECB"/>
    <w:rsid w:val="00A738FA"/>
    <w:rsid w:val="00A779E4"/>
    <w:rsid w:val="00A77A8A"/>
    <w:rsid w:val="00A8103E"/>
    <w:rsid w:val="00A81B22"/>
    <w:rsid w:val="00A82A89"/>
    <w:rsid w:val="00A82EF8"/>
    <w:rsid w:val="00A84CF3"/>
    <w:rsid w:val="00A852D7"/>
    <w:rsid w:val="00A86B80"/>
    <w:rsid w:val="00A90CD6"/>
    <w:rsid w:val="00A90F8E"/>
    <w:rsid w:val="00A91749"/>
    <w:rsid w:val="00A9175A"/>
    <w:rsid w:val="00A91A72"/>
    <w:rsid w:val="00A91EAE"/>
    <w:rsid w:val="00A93708"/>
    <w:rsid w:val="00A94D69"/>
    <w:rsid w:val="00A95739"/>
    <w:rsid w:val="00AA0775"/>
    <w:rsid w:val="00AA1C05"/>
    <w:rsid w:val="00AA58C7"/>
    <w:rsid w:val="00AB07E8"/>
    <w:rsid w:val="00AB1F30"/>
    <w:rsid w:val="00AB2909"/>
    <w:rsid w:val="00AB3685"/>
    <w:rsid w:val="00AB3C9A"/>
    <w:rsid w:val="00AB5F9F"/>
    <w:rsid w:val="00AB6309"/>
    <w:rsid w:val="00AC0920"/>
    <w:rsid w:val="00AC18C2"/>
    <w:rsid w:val="00AC206C"/>
    <w:rsid w:val="00AC2ED3"/>
    <w:rsid w:val="00AC3C7A"/>
    <w:rsid w:val="00AD129E"/>
    <w:rsid w:val="00AD30D9"/>
    <w:rsid w:val="00AD3AAA"/>
    <w:rsid w:val="00AD7B36"/>
    <w:rsid w:val="00AE10BC"/>
    <w:rsid w:val="00AE1970"/>
    <w:rsid w:val="00AE372D"/>
    <w:rsid w:val="00AE3A83"/>
    <w:rsid w:val="00AE553B"/>
    <w:rsid w:val="00AE7E40"/>
    <w:rsid w:val="00AF14B3"/>
    <w:rsid w:val="00AF1518"/>
    <w:rsid w:val="00AF1CD0"/>
    <w:rsid w:val="00AF3CD9"/>
    <w:rsid w:val="00AF5E58"/>
    <w:rsid w:val="00AF69E1"/>
    <w:rsid w:val="00B0073A"/>
    <w:rsid w:val="00B01D83"/>
    <w:rsid w:val="00B14ABC"/>
    <w:rsid w:val="00B217D2"/>
    <w:rsid w:val="00B21EDF"/>
    <w:rsid w:val="00B23085"/>
    <w:rsid w:val="00B240AC"/>
    <w:rsid w:val="00B246B8"/>
    <w:rsid w:val="00B24E06"/>
    <w:rsid w:val="00B27D31"/>
    <w:rsid w:val="00B3369A"/>
    <w:rsid w:val="00B341F5"/>
    <w:rsid w:val="00B34534"/>
    <w:rsid w:val="00B3733B"/>
    <w:rsid w:val="00B37FB4"/>
    <w:rsid w:val="00B435C7"/>
    <w:rsid w:val="00B4601C"/>
    <w:rsid w:val="00B46333"/>
    <w:rsid w:val="00B46532"/>
    <w:rsid w:val="00B46A54"/>
    <w:rsid w:val="00B52357"/>
    <w:rsid w:val="00B54782"/>
    <w:rsid w:val="00B551BB"/>
    <w:rsid w:val="00B55687"/>
    <w:rsid w:val="00B55AA6"/>
    <w:rsid w:val="00B5657B"/>
    <w:rsid w:val="00B56807"/>
    <w:rsid w:val="00B61C48"/>
    <w:rsid w:val="00B62471"/>
    <w:rsid w:val="00B627C6"/>
    <w:rsid w:val="00B62C06"/>
    <w:rsid w:val="00B63A78"/>
    <w:rsid w:val="00B63D3C"/>
    <w:rsid w:val="00B64B3E"/>
    <w:rsid w:val="00B672F2"/>
    <w:rsid w:val="00B67F8B"/>
    <w:rsid w:val="00B724D1"/>
    <w:rsid w:val="00B72BAF"/>
    <w:rsid w:val="00B749B3"/>
    <w:rsid w:val="00B76099"/>
    <w:rsid w:val="00B772FC"/>
    <w:rsid w:val="00B779F0"/>
    <w:rsid w:val="00B83880"/>
    <w:rsid w:val="00B85B5E"/>
    <w:rsid w:val="00B87EB2"/>
    <w:rsid w:val="00B90563"/>
    <w:rsid w:val="00B928F7"/>
    <w:rsid w:val="00B93C52"/>
    <w:rsid w:val="00B97177"/>
    <w:rsid w:val="00BA0624"/>
    <w:rsid w:val="00BA1872"/>
    <w:rsid w:val="00BA3ED3"/>
    <w:rsid w:val="00BA4987"/>
    <w:rsid w:val="00BA56FE"/>
    <w:rsid w:val="00BA5F75"/>
    <w:rsid w:val="00BB1545"/>
    <w:rsid w:val="00BB17D2"/>
    <w:rsid w:val="00BB3D20"/>
    <w:rsid w:val="00BB49A5"/>
    <w:rsid w:val="00BB6F72"/>
    <w:rsid w:val="00BC19E7"/>
    <w:rsid w:val="00BC1F9F"/>
    <w:rsid w:val="00BC610A"/>
    <w:rsid w:val="00BC74CC"/>
    <w:rsid w:val="00BD0403"/>
    <w:rsid w:val="00BD1CE4"/>
    <w:rsid w:val="00BD263C"/>
    <w:rsid w:val="00BD5623"/>
    <w:rsid w:val="00BD65A5"/>
    <w:rsid w:val="00BD709C"/>
    <w:rsid w:val="00BD71E3"/>
    <w:rsid w:val="00BE1A23"/>
    <w:rsid w:val="00BE1E80"/>
    <w:rsid w:val="00BE2CE7"/>
    <w:rsid w:val="00BE2FC2"/>
    <w:rsid w:val="00BE3129"/>
    <w:rsid w:val="00BE48A2"/>
    <w:rsid w:val="00BE689E"/>
    <w:rsid w:val="00BE74DF"/>
    <w:rsid w:val="00BE77AC"/>
    <w:rsid w:val="00BF1259"/>
    <w:rsid w:val="00BF21C2"/>
    <w:rsid w:val="00BF2D5F"/>
    <w:rsid w:val="00BF3299"/>
    <w:rsid w:val="00BF6B39"/>
    <w:rsid w:val="00C019E4"/>
    <w:rsid w:val="00C02253"/>
    <w:rsid w:val="00C02691"/>
    <w:rsid w:val="00C05C71"/>
    <w:rsid w:val="00C0756A"/>
    <w:rsid w:val="00C11EC2"/>
    <w:rsid w:val="00C14288"/>
    <w:rsid w:val="00C16728"/>
    <w:rsid w:val="00C20AE4"/>
    <w:rsid w:val="00C2388D"/>
    <w:rsid w:val="00C2547A"/>
    <w:rsid w:val="00C25A9D"/>
    <w:rsid w:val="00C270E4"/>
    <w:rsid w:val="00C27471"/>
    <w:rsid w:val="00C31373"/>
    <w:rsid w:val="00C31640"/>
    <w:rsid w:val="00C32127"/>
    <w:rsid w:val="00C333AF"/>
    <w:rsid w:val="00C335BC"/>
    <w:rsid w:val="00C3448A"/>
    <w:rsid w:val="00C345FD"/>
    <w:rsid w:val="00C349BD"/>
    <w:rsid w:val="00C3651C"/>
    <w:rsid w:val="00C377EE"/>
    <w:rsid w:val="00C3790A"/>
    <w:rsid w:val="00C37A15"/>
    <w:rsid w:val="00C37F18"/>
    <w:rsid w:val="00C42076"/>
    <w:rsid w:val="00C4377C"/>
    <w:rsid w:val="00C46F42"/>
    <w:rsid w:val="00C46F65"/>
    <w:rsid w:val="00C473F4"/>
    <w:rsid w:val="00C47ABD"/>
    <w:rsid w:val="00C5008A"/>
    <w:rsid w:val="00C5057C"/>
    <w:rsid w:val="00C53035"/>
    <w:rsid w:val="00C54393"/>
    <w:rsid w:val="00C54486"/>
    <w:rsid w:val="00C55D7B"/>
    <w:rsid w:val="00C56A07"/>
    <w:rsid w:val="00C56DA7"/>
    <w:rsid w:val="00C62E50"/>
    <w:rsid w:val="00C630DC"/>
    <w:rsid w:val="00C633CB"/>
    <w:rsid w:val="00C65B5B"/>
    <w:rsid w:val="00C65ED9"/>
    <w:rsid w:val="00C67CB5"/>
    <w:rsid w:val="00C702E8"/>
    <w:rsid w:val="00C70476"/>
    <w:rsid w:val="00C709F9"/>
    <w:rsid w:val="00C70B8B"/>
    <w:rsid w:val="00C70F0D"/>
    <w:rsid w:val="00C719F6"/>
    <w:rsid w:val="00C723D8"/>
    <w:rsid w:val="00C741F9"/>
    <w:rsid w:val="00C746F7"/>
    <w:rsid w:val="00C748D0"/>
    <w:rsid w:val="00C76ABA"/>
    <w:rsid w:val="00C80780"/>
    <w:rsid w:val="00C80BF4"/>
    <w:rsid w:val="00C82D0D"/>
    <w:rsid w:val="00C834D4"/>
    <w:rsid w:val="00C84649"/>
    <w:rsid w:val="00C849FB"/>
    <w:rsid w:val="00C8565B"/>
    <w:rsid w:val="00C85FE5"/>
    <w:rsid w:val="00C87108"/>
    <w:rsid w:val="00C9027E"/>
    <w:rsid w:val="00C907F2"/>
    <w:rsid w:val="00C91130"/>
    <w:rsid w:val="00C91989"/>
    <w:rsid w:val="00C93357"/>
    <w:rsid w:val="00C93F15"/>
    <w:rsid w:val="00C951D9"/>
    <w:rsid w:val="00C955D1"/>
    <w:rsid w:val="00CA0C07"/>
    <w:rsid w:val="00CA22E5"/>
    <w:rsid w:val="00CA5D3D"/>
    <w:rsid w:val="00CB04AA"/>
    <w:rsid w:val="00CB1EA2"/>
    <w:rsid w:val="00CB3182"/>
    <w:rsid w:val="00CB72B9"/>
    <w:rsid w:val="00CC02AB"/>
    <w:rsid w:val="00CC097C"/>
    <w:rsid w:val="00CC275F"/>
    <w:rsid w:val="00CC303E"/>
    <w:rsid w:val="00CC3E47"/>
    <w:rsid w:val="00CC66F0"/>
    <w:rsid w:val="00CC6D5B"/>
    <w:rsid w:val="00CD007B"/>
    <w:rsid w:val="00CD3AA7"/>
    <w:rsid w:val="00CD3B6E"/>
    <w:rsid w:val="00CE15FA"/>
    <w:rsid w:val="00CE1F82"/>
    <w:rsid w:val="00CE2698"/>
    <w:rsid w:val="00CE3277"/>
    <w:rsid w:val="00CE4F76"/>
    <w:rsid w:val="00CE78B3"/>
    <w:rsid w:val="00CE79E6"/>
    <w:rsid w:val="00CE7A95"/>
    <w:rsid w:val="00CF0994"/>
    <w:rsid w:val="00CF0DA9"/>
    <w:rsid w:val="00CF1D1F"/>
    <w:rsid w:val="00CF23C1"/>
    <w:rsid w:val="00CF2E68"/>
    <w:rsid w:val="00CF3247"/>
    <w:rsid w:val="00CF56F6"/>
    <w:rsid w:val="00CF5E4C"/>
    <w:rsid w:val="00CF785E"/>
    <w:rsid w:val="00CF78BE"/>
    <w:rsid w:val="00D00D6D"/>
    <w:rsid w:val="00D020AC"/>
    <w:rsid w:val="00D0673C"/>
    <w:rsid w:val="00D06CC2"/>
    <w:rsid w:val="00D1103F"/>
    <w:rsid w:val="00D11500"/>
    <w:rsid w:val="00D15A0A"/>
    <w:rsid w:val="00D160D9"/>
    <w:rsid w:val="00D17D15"/>
    <w:rsid w:val="00D2218D"/>
    <w:rsid w:val="00D23B67"/>
    <w:rsid w:val="00D24B03"/>
    <w:rsid w:val="00D25D8A"/>
    <w:rsid w:val="00D26C65"/>
    <w:rsid w:val="00D26D3D"/>
    <w:rsid w:val="00D307A5"/>
    <w:rsid w:val="00D3603A"/>
    <w:rsid w:val="00D36810"/>
    <w:rsid w:val="00D36F2A"/>
    <w:rsid w:val="00D41A01"/>
    <w:rsid w:val="00D421CA"/>
    <w:rsid w:val="00D44BE9"/>
    <w:rsid w:val="00D452FE"/>
    <w:rsid w:val="00D46533"/>
    <w:rsid w:val="00D46F9E"/>
    <w:rsid w:val="00D47C4A"/>
    <w:rsid w:val="00D509E2"/>
    <w:rsid w:val="00D53DA2"/>
    <w:rsid w:val="00D54A26"/>
    <w:rsid w:val="00D55C38"/>
    <w:rsid w:val="00D564C4"/>
    <w:rsid w:val="00D61704"/>
    <w:rsid w:val="00D630C7"/>
    <w:rsid w:val="00D647C2"/>
    <w:rsid w:val="00D70B03"/>
    <w:rsid w:val="00D71989"/>
    <w:rsid w:val="00D71C5D"/>
    <w:rsid w:val="00D728FB"/>
    <w:rsid w:val="00D730BE"/>
    <w:rsid w:val="00D741A2"/>
    <w:rsid w:val="00D754DA"/>
    <w:rsid w:val="00D76CAE"/>
    <w:rsid w:val="00D770EA"/>
    <w:rsid w:val="00D83BB0"/>
    <w:rsid w:val="00D8528B"/>
    <w:rsid w:val="00D8538B"/>
    <w:rsid w:val="00D85690"/>
    <w:rsid w:val="00D91EC2"/>
    <w:rsid w:val="00D967EF"/>
    <w:rsid w:val="00D97D5C"/>
    <w:rsid w:val="00DA05F6"/>
    <w:rsid w:val="00DA0C3A"/>
    <w:rsid w:val="00DA5397"/>
    <w:rsid w:val="00DB0632"/>
    <w:rsid w:val="00DB06DB"/>
    <w:rsid w:val="00DB1287"/>
    <w:rsid w:val="00DB19EA"/>
    <w:rsid w:val="00DB2032"/>
    <w:rsid w:val="00DB25CD"/>
    <w:rsid w:val="00DB26E1"/>
    <w:rsid w:val="00DB2B3F"/>
    <w:rsid w:val="00DB449F"/>
    <w:rsid w:val="00DC1AFA"/>
    <w:rsid w:val="00DC2FEF"/>
    <w:rsid w:val="00DC3875"/>
    <w:rsid w:val="00DC3C71"/>
    <w:rsid w:val="00DC5309"/>
    <w:rsid w:val="00DC556E"/>
    <w:rsid w:val="00DC5FDC"/>
    <w:rsid w:val="00DC6D51"/>
    <w:rsid w:val="00DC70C4"/>
    <w:rsid w:val="00DC7447"/>
    <w:rsid w:val="00DD03EA"/>
    <w:rsid w:val="00DD1064"/>
    <w:rsid w:val="00DD43BA"/>
    <w:rsid w:val="00DD462C"/>
    <w:rsid w:val="00DD46DE"/>
    <w:rsid w:val="00DD4ACF"/>
    <w:rsid w:val="00DD6CF1"/>
    <w:rsid w:val="00DD72F8"/>
    <w:rsid w:val="00DD7D3B"/>
    <w:rsid w:val="00DD7E4D"/>
    <w:rsid w:val="00DE12CE"/>
    <w:rsid w:val="00DE2021"/>
    <w:rsid w:val="00DE446D"/>
    <w:rsid w:val="00DE4964"/>
    <w:rsid w:val="00DE59AA"/>
    <w:rsid w:val="00DE6014"/>
    <w:rsid w:val="00DF0AB9"/>
    <w:rsid w:val="00DF2EC7"/>
    <w:rsid w:val="00DF3F5B"/>
    <w:rsid w:val="00DF3FD3"/>
    <w:rsid w:val="00DF4169"/>
    <w:rsid w:val="00DF480E"/>
    <w:rsid w:val="00DF72DD"/>
    <w:rsid w:val="00E013CA"/>
    <w:rsid w:val="00E02165"/>
    <w:rsid w:val="00E02A67"/>
    <w:rsid w:val="00E03DAD"/>
    <w:rsid w:val="00E06CC3"/>
    <w:rsid w:val="00E078C4"/>
    <w:rsid w:val="00E11829"/>
    <w:rsid w:val="00E12BB1"/>
    <w:rsid w:val="00E13FDB"/>
    <w:rsid w:val="00E14281"/>
    <w:rsid w:val="00E15DEF"/>
    <w:rsid w:val="00E2184C"/>
    <w:rsid w:val="00E23B68"/>
    <w:rsid w:val="00E2649E"/>
    <w:rsid w:val="00E271ED"/>
    <w:rsid w:val="00E31E8D"/>
    <w:rsid w:val="00E31EE9"/>
    <w:rsid w:val="00E34E50"/>
    <w:rsid w:val="00E4013D"/>
    <w:rsid w:val="00E41E07"/>
    <w:rsid w:val="00E42CB5"/>
    <w:rsid w:val="00E436DB"/>
    <w:rsid w:val="00E4586D"/>
    <w:rsid w:val="00E4758B"/>
    <w:rsid w:val="00E4796B"/>
    <w:rsid w:val="00E47C70"/>
    <w:rsid w:val="00E47C9A"/>
    <w:rsid w:val="00E517B6"/>
    <w:rsid w:val="00E519BA"/>
    <w:rsid w:val="00E54700"/>
    <w:rsid w:val="00E609E4"/>
    <w:rsid w:val="00E61F8F"/>
    <w:rsid w:val="00E622F9"/>
    <w:rsid w:val="00E661AC"/>
    <w:rsid w:val="00E6673E"/>
    <w:rsid w:val="00E709A9"/>
    <w:rsid w:val="00E72812"/>
    <w:rsid w:val="00E73ADD"/>
    <w:rsid w:val="00E7400C"/>
    <w:rsid w:val="00E768F5"/>
    <w:rsid w:val="00E77F43"/>
    <w:rsid w:val="00E81FCC"/>
    <w:rsid w:val="00E8474F"/>
    <w:rsid w:val="00E875C1"/>
    <w:rsid w:val="00E87D4F"/>
    <w:rsid w:val="00E94FDF"/>
    <w:rsid w:val="00E96856"/>
    <w:rsid w:val="00E973A2"/>
    <w:rsid w:val="00EA0012"/>
    <w:rsid w:val="00EA0525"/>
    <w:rsid w:val="00EA1195"/>
    <w:rsid w:val="00EA1FE2"/>
    <w:rsid w:val="00EA215F"/>
    <w:rsid w:val="00EA2B0D"/>
    <w:rsid w:val="00EA48AE"/>
    <w:rsid w:val="00EB04FB"/>
    <w:rsid w:val="00EB2A94"/>
    <w:rsid w:val="00EB3A8E"/>
    <w:rsid w:val="00EB56A5"/>
    <w:rsid w:val="00EB56F9"/>
    <w:rsid w:val="00EB5A2B"/>
    <w:rsid w:val="00EB6001"/>
    <w:rsid w:val="00EB6E54"/>
    <w:rsid w:val="00EC2218"/>
    <w:rsid w:val="00EC5AEC"/>
    <w:rsid w:val="00EC6C1A"/>
    <w:rsid w:val="00ED2B08"/>
    <w:rsid w:val="00ED2C89"/>
    <w:rsid w:val="00ED2F4E"/>
    <w:rsid w:val="00ED345C"/>
    <w:rsid w:val="00ED7861"/>
    <w:rsid w:val="00EE4CC4"/>
    <w:rsid w:val="00EE506E"/>
    <w:rsid w:val="00EE5E50"/>
    <w:rsid w:val="00EF217C"/>
    <w:rsid w:val="00EF24AA"/>
    <w:rsid w:val="00EF4387"/>
    <w:rsid w:val="00EF5E7E"/>
    <w:rsid w:val="00F01216"/>
    <w:rsid w:val="00F01FB2"/>
    <w:rsid w:val="00F02771"/>
    <w:rsid w:val="00F036ED"/>
    <w:rsid w:val="00F0396F"/>
    <w:rsid w:val="00F044B4"/>
    <w:rsid w:val="00F05CB5"/>
    <w:rsid w:val="00F05EBF"/>
    <w:rsid w:val="00F061F1"/>
    <w:rsid w:val="00F10372"/>
    <w:rsid w:val="00F115DF"/>
    <w:rsid w:val="00F11D58"/>
    <w:rsid w:val="00F11E25"/>
    <w:rsid w:val="00F1290B"/>
    <w:rsid w:val="00F14C05"/>
    <w:rsid w:val="00F16CD6"/>
    <w:rsid w:val="00F16E9A"/>
    <w:rsid w:val="00F17F8C"/>
    <w:rsid w:val="00F20135"/>
    <w:rsid w:val="00F2320E"/>
    <w:rsid w:val="00F247E4"/>
    <w:rsid w:val="00F259E9"/>
    <w:rsid w:val="00F27ED3"/>
    <w:rsid w:val="00F30E7A"/>
    <w:rsid w:val="00F322A2"/>
    <w:rsid w:val="00F33EF7"/>
    <w:rsid w:val="00F346C0"/>
    <w:rsid w:val="00F34EDF"/>
    <w:rsid w:val="00F36E26"/>
    <w:rsid w:val="00F43B89"/>
    <w:rsid w:val="00F441B3"/>
    <w:rsid w:val="00F44725"/>
    <w:rsid w:val="00F46278"/>
    <w:rsid w:val="00F5148B"/>
    <w:rsid w:val="00F5482F"/>
    <w:rsid w:val="00F55E7C"/>
    <w:rsid w:val="00F56A3F"/>
    <w:rsid w:val="00F61073"/>
    <w:rsid w:val="00F614FC"/>
    <w:rsid w:val="00F61EFF"/>
    <w:rsid w:val="00F62DEE"/>
    <w:rsid w:val="00F668BC"/>
    <w:rsid w:val="00F66973"/>
    <w:rsid w:val="00F67DAA"/>
    <w:rsid w:val="00F721DD"/>
    <w:rsid w:val="00F733A7"/>
    <w:rsid w:val="00F73BDA"/>
    <w:rsid w:val="00F74817"/>
    <w:rsid w:val="00F774AA"/>
    <w:rsid w:val="00F77975"/>
    <w:rsid w:val="00F80D4E"/>
    <w:rsid w:val="00F812CB"/>
    <w:rsid w:val="00F83506"/>
    <w:rsid w:val="00F83FEF"/>
    <w:rsid w:val="00F875E0"/>
    <w:rsid w:val="00F87C97"/>
    <w:rsid w:val="00F93083"/>
    <w:rsid w:val="00F93562"/>
    <w:rsid w:val="00F94B8C"/>
    <w:rsid w:val="00F96490"/>
    <w:rsid w:val="00F964B5"/>
    <w:rsid w:val="00F96FBA"/>
    <w:rsid w:val="00FA082C"/>
    <w:rsid w:val="00FA0DD1"/>
    <w:rsid w:val="00FA1975"/>
    <w:rsid w:val="00FA38EC"/>
    <w:rsid w:val="00FA3AAE"/>
    <w:rsid w:val="00FA4694"/>
    <w:rsid w:val="00FA72CF"/>
    <w:rsid w:val="00FA72EE"/>
    <w:rsid w:val="00FA7FB4"/>
    <w:rsid w:val="00FB0E1D"/>
    <w:rsid w:val="00FB18FF"/>
    <w:rsid w:val="00FB1A02"/>
    <w:rsid w:val="00FB461D"/>
    <w:rsid w:val="00FB5FB3"/>
    <w:rsid w:val="00FB6102"/>
    <w:rsid w:val="00FC175C"/>
    <w:rsid w:val="00FC586A"/>
    <w:rsid w:val="00FD10F9"/>
    <w:rsid w:val="00FD14C2"/>
    <w:rsid w:val="00FD1758"/>
    <w:rsid w:val="00FD249D"/>
    <w:rsid w:val="00FD2DED"/>
    <w:rsid w:val="00FD3091"/>
    <w:rsid w:val="00FD3129"/>
    <w:rsid w:val="00FD3932"/>
    <w:rsid w:val="00FD4AFB"/>
    <w:rsid w:val="00FD55A4"/>
    <w:rsid w:val="00FD5F74"/>
    <w:rsid w:val="00FE2CF0"/>
    <w:rsid w:val="00FE455E"/>
    <w:rsid w:val="00FE4E1C"/>
    <w:rsid w:val="00FE6295"/>
    <w:rsid w:val="00FE79C8"/>
    <w:rsid w:val="00FF05C4"/>
    <w:rsid w:val="00FF28F7"/>
    <w:rsid w:val="00FF3532"/>
    <w:rsid w:val="00FF41A5"/>
    <w:rsid w:val="00FF49C9"/>
    <w:rsid w:val="00FF58E2"/>
    <w:rsid w:val="00FF592F"/>
    <w:rsid w:val="00FF6A84"/>
    <w:rsid w:val="00FF6D00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C394B"/>
  <w15:docId w15:val="{68F2464D-AD9F-4495-8295-C40E2596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E23"/>
    <w:pPr>
      <w:ind w:left="720"/>
      <w:contextualSpacing/>
    </w:pPr>
  </w:style>
  <w:style w:type="paragraph" w:customStyle="1" w:styleId="Default">
    <w:name w:val="Default"/>
    <w:rsid w:val="006C34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87B"/>
  </w:style>
  <w:style w:type="paragraph" w:styleId="Footer">
    <w:name w:val="footer"/>
    <w:basedOn w:val="Normal"/>
    <w:link w:val="FooterChar"/>
    <w:uiPriority w:val="99"/>
    <w:unhideWhenUsed/>
    <w:rsid w:val="007D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7B"/>
  </w:style>
  <w:style w:type="paragraph" w:styleId="NoSpacing">
    <w:name w:val="No Spacing"/>
    <w:uiPriority w:val="1"/>
    <w:qFormat/>
    <w:rsid w:val="00C20AE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70E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0E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0E1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70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E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1E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4FE8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74FE8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41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0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8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92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6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2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E0C2-AFDE-46AF-AEEF-446774CE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Rubardt, Aaron</dc:creator>
  <cp:lastModifiedBy>Kim, Andrew</cp:lastModifiedBy>
  <cp:revision>2</cp:revision>
  <cp:lastPrinted>2019-03-11T16:55:00Z</cp:lastPrinted>
  <dcterms:created xsi:type="dcterms:W3CDTF">2019-09-24T02:55:00Z</dcterms:created>
  <dcterms:modified xsi:type="dcterms:W3CDTF">2019-09-24T02:55:00Z</dcterms:modified>
</cp:coreProperties>
</file>