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24DD5" w14:textId="77777777" w:rsidR="00EB5A13" w:rsidRPr="00A46A5D" w:rsidRDefault="00EB5A13" w:rsidP="00EB5A13">
      <w:pPr>
        <w:pStyle w:val="Heading2"/>
        <w:rPr>
          <w:b w:val="0"/>
          <w:sz w:val="24"/>
          <w:u w:val="none"/>
        </w:rPr>
      </w:pPr>
    </w:p>
    <w:p w14:paraId="0760C1AB" w14:textId="6CAC2EB0" w:rsidR="00EB5A13" w:rsidRPr="00F71F8C" w:rsidRDefault="00863D3B"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25F27612"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FA5A2D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1A845D0"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F8B1C06" w14:textId="77777777" w:rsidR="00EB5A13" w:rsidRPr="009349D6" w:rsidRDefault="00AF73F8"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66BED563"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20D348B" w14:textId="77777777" w:rsidR="00EB5A13" w:rsidRPr="009349D6" w:rsidRDefault="003C63E7" w:rsidP="00074A56">
            <w:pPr>
              <w:spacing w:before="40" w:after="40"/>
              <w:rPr>
                <w:rFonts w:ascii="Arial" w:hAnsi="Arial" w:cs="Arial"/>
              </w:rPr>
            </w:pPr>
            <w:r>
              <w:rPr>
                <w:rFonts w:ascii="Arial" w:hAnsi="Arial" w:cs="Arial"/>
              </w:rPr>
              <w:t>Jake Tracy</w:t>
            </w:r>
          </w:p>
        </w:tc>
      </w:tr>
      <w:tr w:rsidR="00EB5A13" w:rsidRPr="009349D6" w14:paraId="7571161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642276"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C8AF057" w14:textId="77777777" w:rsidR="00EB5A13" w:rsidRPr="009349D6" w:rsidRDefault="003C63E7" w:rsidP="00074A56">
            <w:pPr>
              <w:spacing w:before="40" w:after="40"/>
              <w:rPr>
                <w:rFonts w:ascii="Arial" w:hAnsi="Arial" w:cs="Arial"/>
              </w:rPr>
            </w:pPr>
            <w:r>
              <w:rPr>
                <w:rFonts w:ascii="Arial" w:hAnsi="Arial" w:cs="Arial"/>
              </w:rPr>
              <w:t>2019-0290</w:t>
            </w:r>
          </w:p>
        </w:tc>
        <w:tc>
          <w:tcPr>
            <w:tcW w:w="1170" w:type="dxa"/>
            <w:tcBorders>
              <w:top w:val="single" w:sz="4" w:space="0" w:color="auto"/>
              <w:left w:val="single" w:sz="4" w:space="0" w:color="auto"/>
              <w:bottom w:val="single" w:sz="4" w:space="0" w:color="auto"/>
              <w:right w:val="single" w:sz="4" w:space="0" w:color="auto"/>
            </w:tcBorders>
            <w:vAlign w:val="center"/>
          </w:tcPr>
          <w:p w14:paraId="793333E3"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C5A7617" w14:textId="77777777" w:rsidR="00EB5A13" w:rsidRPr="009349D6" w:rsidRDefault="005A45D4" w:rsidP="00074A56">
            <w:pPr>
              <w:spacing w:before="40" w:after="40"/>
              <w:rPr>
                <w:rFonts w:ascii="Arial" w:hAnsi="Arial" w:cs="Arial"/>
              </w:rPr>
            </w:pPr>
            <w:r>
              <w:rPr>
                <w:rFonts w:ascii="Arial" w:hAnsi="Arial" w:cs="Arial"/>
              </w:rPr>
              <w:t>September 24</w:t>
            </w:r>
            <w:r w:rsidR="003C63E7">
              <w:rPr>
                <w:rFonts w:ascii="Arial" w:hAnsi="Arial" w:cs="Arial"/>
              </w:rPr>
              <w:t>, 2019</w:t>
            </w:r>
          </w:p>
        </w:tc>
      </w:tr>
    </w:tbl>
    <w:p w14:paraId="0E6A3480" w14:textId="77777777" w:rsidR="00C37A37" w:rsidRPr="009864F8" w:rsidRDefault="00C37A37" w:rsidP="00C37A37">
      <w:pPr>
        <w:rPr>
          <w:rFonts w:ascii="Arial" w:hAnsi="Arial" w:cs="Arial"/>
          <w:b/>
          <w:smallCaps/>
          <w:szCs w:val="24"/>
          <w:u w:val="single"/>
        </w:rPr>
      </w:pPr>
    </w:p>
    <w:p w14:paraId="1B6CBD96" w14:textId="77777777" w:rsidR="00785660" w:rsidRDefault="00785660" w:rsidP="005B478C">
      <w:pPr>
        <w:jc w:val="both"/>
        <w:rPr>
          <w:rFonts w:ascii="Arial" w:hAnsi="Arial" w:cs="Arial"/>
          <w:b/>
          <w:szCs w:val="24"/>
          <w:u w:val="single"/>
        </w:rPr>
      </w:pPr>
    </w:p>
    <w:p w14:paraId="62CEECE3" w14:textId="77777777" w:rsidR="00863D3B" w:rsidRDefault="00863D3B" w:rsidP="00863D3B">
      <w:pPr>
        <w:rPr>
          <w:rFonts w:ascii="Arial" w:hAnsi="Arial" w:cs="Arial"/>
          <w:b/>
          <w:smallCaps/>
          <w:szCs w:val="24"/>
          <w:u w:val="single"/>
        </w:rPr>
      </w:pPr>
      <w:r>
        <w:rPr>
          <w:rFonts w:ascii="Arial" w:hAnsi="Arial" w:cs="Arial"/>
          <w:b/>
          <w:smallCaps/>
          <w:szCs w:val="24"/>
          <w:u w:val="single"/>
        </w:rPr>
        <w:t>COMMITTEE ACTION</w:t>
      </w:r>
    </w:p>
    <w:p w14:paraId="3762B2B2" w14:textId="77777777" w:rsidR="00863D3B" w:rsidRDefault="00863D3B" w:rsidP="00863D3B">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863D3B" w14:paraId="73D1A916" w14:textId="77777777" w:rsidTr="001E3F2F">
        <w:tc>
          <w:tcPr>
            <w:tcW w:w="9535" w:type="dxa"/>
          </w:tcPr>
          <w:p w14:paraId="606E19F3" w14:textId="77777777" w:rsidR="00863D3B" w:rsidRDefault="00863D3B" w:rsidP="001E3F2F">
            <w:pPr>
              <w:jc w:val="both"/>
              <w:rPr>
                <w:rFonts w:ascii="Arial" w:hAnsi="Arial" w:cs="Arial"/>
                <w:b/>
                <w:i/>
              </w:rPr>
            </w:pPr>
          </w:p>
          <w:p w14:paraId="67C1EBED" w14:textId="77777777" w:rsidR="00091CA7" w:rsidRDefault="00863D3B" w:rsidP="001E3F2F">
            <w:pPr>
              <w:jc w:val="both"/>
              <w:rPr>
                <w:rFonts w:ascii="Arial" w:hAnsi="Arial" w:cs="Arial"/>
                <w:b/>
                <w:i/>
              </w:rPr>
            </w:pPr>
            <w:r w:rsidRPr="00091CA7">
              <w:rPr>
                <w:rFonts w:ascii="Arial" w:hAnsi="Arial" w:cs="Arial"/>
                <w:b/>
                <w:i/>
              </w:rPr>
              <w:t xml:space="preserve">Proposed Substitute Ordinance 2019-0290.2, making a net supplemental appropriation of $11 million to the Conservation Futures Levy Subfund, passed out of committee on 9/24/2019, with a “Do Pass” recommendation. </w:t>
            </w:r>
          </w:p>
          <w:p w14:paraId="24C92164" w14:textId="77777777" w:rsidR="00091CA7" w:rsidRDefault="00091CA7" w:rsidP="001E3F2F">
            <w:pPr>
              <w:jc w:val="both"/>
              <w:rPr>
                <w:rFonts w:ascii="Arial" w:hAnsi="Arial" w:cs="Arial"/>
                <w:b/>
                <w:i/>
              </w:rPr>
            </w:pPr>
          </w:p>
          <w:p w14:paraId="7AE65D75" w14:textId="623F3928" w:rsidR="00863D3B" w:rsidRDefault="00863D3B" w:rsidP="001E3F2F">
            <w:pPr>
              <w:jc w:val="both"/>
              <w:rPr>
                <w:rFonts w:ascii="Arial" w:hAnsi="Arial" w:cs="Arial"/>
                <w:b/>
                <w:i/>
              </w:rPr>
            </w:pPr>
            <w:r w:rsidRPr="00091CA7">
              <w:rPr>
                <w:rFonts w:ascii="Arial" w:hAnsi="Arial" w:cs="Arial"/>
                <w:b/>
                <w:i/>
              </w:rPr>
              <w:t>The Ordinance was amended in committee with Amendment 1, which placed an expenditure restriction on the proposed $11 million and the previously appropriated $24 m</w:t>
            </w:r>
            <w:r w:rsidR="00091CA7">
              <w:rPr>
                <w:rFonts w:ascii="Arial" w:hAnsi="Arial" w:cs="Arial"/>
                <w:b/>
                <w:i/>
              </w:rPr>
              <w:t>illion, stating that those money</w:t>
            </w:r>
            <w:r w:rsidRPr="00091CA7">
              <w:rPr>
                <w:rFonts w:ascii="Arial" w:hAnsi="Arial" w:cs="Arial"/>
                <w:b/>
                <w:i/>
              </w:rPr>
              <w:t>s must be used for</w:t>
            </w:r>
            <w:r>
              <w:rPr>
                <w:rFonts w:ascii="Arial" w:hAnsi="Arial" w:cs="Arial"/>
                <w:b/>
                <w:i/>
              </w:rPr>
              <w:t xml:space="preserve"> the projects and in the amounts recommended by the CFT Advisory Committee. The ordinance was also amended with a title amendment to align with Amendment 1.</w:t>
            </w:r>
          </w:p>
          <w:p w14:paraId="729C5E11" w14:textId="77777777" w:rsidR="00863D3B" w:rsidRPr="00A11E83" w:rsidRDefault="00863D3B" w:rsidP="001E3F2F">
            <w:pPr>
              <w:jc w:val="both"/>
              <w:rPr>
                <w:rFonts w:ascii="Arial" w:hAnsi="Arial" w:cs="Arial"/>
                <w:b/>
                <w:i/>
              </w:rPr>
            </w:pPr>
          </w:p>
        </w:tc>
      </w:tr>
    </w:tbl>
    <w:p w14:paraId="2771CD8A" w14:textId="77777777" w:rsidR="00863D3B" w:rsidRDefault="00863D3B" w:rsidP="00785660">
      <w:pPr>
        <w:jc w:val="both"/>
        <w:rPr>
          <w:rFonts w:ascii="Arial" w:hAnsi="Arial" w:cs="Arial"/>
          <w:b/>
          <w:u w:val="single"/>
        </w:rPr>
      </w:pPr>
    </w:p>
    <w:p w14:paraId="35B1E7FA" w14:textId="4D509505" w:rsidR="00785660" w:rsidRPr="009349D6" w:rsidRDefault="00785660" w:rsidP="00785660">
      <w:pPr>
        <w:jc w:val="both"/>
        <w:rPr>
          <w:rFonts w:ascii="Arial" w:hAnsi="Arial" w:cs="Arial"/>
          <w:b/>
          <w:u w:val="single"/>
        </w:rPr>
      </w:pPr>
      <w:r w:rsidRPr="009349D6">
        <w:rPr>
          <w:rFonts w:ascii="Arial" w:hAnsi="Arial" w:cs="Arial"/>
          <w:b/>
          <w:u w:val="single"/>
        </w:rPr>
        <w:t>SUBJECT</w:t>
      </w:r>
    </w:p>
    <w:p w14:paraId="051D3C6A" w14:textId="77777777" w:rsidR="00785660" w:rsidRDefault="00785660" w:rsidP="00785660">
      <w:pPr>
        <w:rPr>
          <w:rFonts w:ascii="Arial" w:hAnsi="Arial" w:cs="Arial"/>
        </w:rPr>
      </w:pPr>
    </w:p>
    <w:p w14:paraId="4DA352C6" w14:textId="77777777" w:rsidR="00785660" w:rsidRPr="00C75025" w:rsidRDefault="00D011B3" w:rsidP="00785660">
      <w:pPr>
        <w:jc w:val="both"/>
        <w:rPr>
          <w:rFonts w:ascii="Arial" w:hAnsi="Arial" w:cs="Arial"/>
          <w:b/>
          <w:u w:val="single"/>
        </w:rPr>
      </w:pPr>
      <w:r>
        <w:rPr>
          <w:rFonts w:ascii="Arial" w:hAnsi="Arial" w:cs="Arial"/>
        </w:rPr>
        <w:t>The proposed ordinance makes a supplemental appropriation of eleven million dollars to the Co</w:t>
      </w:r>
      <w:r w:rsidR="00CE2B7B">
        <w:rPr>
          <w:rFonts w:ascii="Arial" w:hAnsi="Arial" w:cs="Arial"/>
        </w:rPr>
        <w:t>nservation Futures Levy subfund</w:t>
      </w:r>
      <w:r>
        <w:rPr>
          <w:rFonts w:ascii="Arial" w:hAnsi="Arial" w:cs="Arial"/>
        </w:rPr>
        <w:t>.</w:t>
      </w:r>
    </w:p>
    <w:p w14:paraId="0DAB4C7A" w14:textId="77777777" w:rsidR="00785660" w:rsidRDefault="00785660" w:rsidP="00785660">
      <w:pPr>
        <w:rPr>
          <w:rFonts w:ascii="Arial" w:hAnsi="Arial" w:cs="Arial"/>
          <w:b/>
          <w:smallCaps/>
          <w:szCs w:val="24"/>
          <w:u w:val="single"/>
        </w:rPr>
      </w:pPr>
    </w:p>
    <w:p w14:paraId="7FA18FED" w14:textId="77777777" w:rsidR="00785660" w:rsidRDefault="00785660" w:rsidP="00785660">
      <w:pPr>
        <w:rPr>
          <w:rFonts w:ascii="Arial" w:hAnsi="Arial" w:cs="Arial"/>
          <w:b/>
          <w:smallCaps/>
          <w:szCs w:val="24"/>
          <w:u w:val="single"/>
        </w:rPr>
      </w:pPr>
      <w:r w:rsidRPr="009864F8">
        <w:rPr>
          <w:rFonts w:ascii="Arial" w:hAnsi="Arial" w:cs="Arial"/>
          <w:b/>
          <w:smallCaps/>
          <w:szCs w:val="24"/>
          <w:u w:val="single"/>
        </w:rPr>
        <w:t>SUMMARY</w:t>
      </w:r>
    </w:p>
    <w:p w14:paraId="741B6C5C" w14:textId="77777777" w:rsidR="00785660" w:rsidRDefault="00785660" w:rsidP="00785660">
      <w:pPr>
        <w:rPr>
          <w:rFonts w:ascii="Arial" w:hAnsi="Arial" w:cs="Arial"/>
        </w:rPr>
      </w:pPr>
    </w:p>
    <w:p w14:paraId="591CFB07" w14:textId="77777777" w:rsidR="00E71C42" w:rsidRDefault="00133F4B" w:rsidP="00FA1C4B">
      <w:pPr>
        <w:pStyle w:val="ListParagraph0"/>
        <w:ind w:left="0"/>
        <w:jc w:val="both"/>
        <w:rPr>
          <w:rFonts w:ascii="Arial" w:hAnsi="Arial" w:cs="Arial"/>
        </w:rPr>
      </w:pPr>
      <w:r w:rsidRPr="00133F4B">
        <w:rPr>
          <w:rFonts w:ascii="Arial" w:hAnsi="Arial" w:cs="Arial"/>
        </w:rPr>
        <w:t xml:space="preserve">The proposed ordinance would appropriate an additional $11 million </w:t>
      </w:r>
      <w:r w:rsidR="00BC78C0">
        <w:rPr>
          <w:rFonts w:ascii="Arial" w:hAnsi="Arial" w:cs="Arial"/>
        </w:rPr>
        <w:t xml:space="preserve">to the </w:t>
      </w:r>
      <w:r w:rsidR="00046E19">
        <w:rPr>
          <w:rFonts w:ascii="Arial" w:hAnsi="Arial" w:cs="Arial"/>
        </w:rPr>
        <w:t>Conservation Futures Levy Capital Fund</w:t>
      </w:r>
      <w:r w:rsidR="00BC78C0">
        <w:rPr>
          <w:rFonts w:ascii="Arial" w:hAnsi="Arial" w:cs="Arial"/>
        </w:rPr>
        <w:t xml:space="preserve"> </w:t>
      </w:r>
      <w:r w:rsidRPr="00133F4B">
        <w:rPr>
          <w:rFonts w:ascii="Arial" w:hAnsi="Arial" w:cs="Arial"/>
        </w:rPr>
        <w:t xml:space="preserve">to be used for </w:t>
      </w:r>
      <w:r w:rsidR="0082581D">
        <w:rPr>
          <w:rFonts w:ascii="Arial" w:hAnsi="Arial" w:cs="Arial"/>
        </w:rPr>
        <w:t xml:space="preserve">open space land </w:t>
      </w:r>
      <w:r w:rsidR="00FA1C4B">
        <w:rPr>
          <w:rFonts w:ascii="Arial" w:hAnsi="Arial" w:cs="Arial"/>
        </w:rPr>
        <w:t>acquisition</w:t>
      </w:r>
      <w:r w:rsidR="0082581D">
        <w:rPr>
          <w:rFonts w:ascii="Arial" w:hAnsi="Arial" w:cs="Arial"/>
        </w:rPr>
        <w:t xml:space="preserve"> for conservation</w:t>
      </w:r>
      <w:r w:rsidR="00FA1C4B">
        <w:rPr>
          <w:rFonts w:ascii="Arial" w:hAnsi="Arial" w:cs="Arial"/>
        </w:rPr>
        <w:t xml:space="preserve"> with bond-backed conservation futures tax (CFT) proceeds</w:t>
      </w:r>
      <w:r w:rsidRPr="00133F4B">
        <w:rPr>
          <w:rFonts w:ascii="Arial" w:hAnsi="Arial" w:cs="Arial"/>
        </w:rPr>
        <w:t>. Together with the $24 million that was appropriated in the 2019-2020 biennial budget, a total of $35 million in bond funding is proposed for CFT projects in 2020. The executive expects $8 million in bond revenue in the current biennium</w:t>
      </w:r>
      <w:r w:rsidR="00EC6FC9">
        <w:rPr>
          <w:rFonts w:ascii="Arial" w:hAnsi="Arial" w:cs="Arial"/>
        </w:rPr>
        <w:t xml:space="preserve"> but plans to expend $28 million </w:t>
      </w:r>
      <w:r w:rsidR="00F440D5">
        <w:rPr>
          <w:rFonts w:ascii="Arial" w:hAnsi="Arial" w:cs="Arial"/>
        </w:rPr>
        <w:t>in</w:t>
      </w:r>
      <w:r w:rsidR="00EC6FC9">
        <w:rPr>
          <w:rFonts w:ascii="Arial" w:hAnsi="Arial" w:cs="Arial"/>
        </w:rPr>
        <w:t xml:space="preserve"> funding. T</w:t>
      </w:r>
      <w:r w:rsidRPr="00133F4B">
        <w:rPr>
          <w:rFonts w:ascii="Arial" w:hAnsi="Arial" w:cs="Arial"/>
        </w:rPr>
        <w:t xml:space="preserve">he remaining $27 million </w:t>
      </w:r>
      <w:r w:rsidR="00F440D5">
        <w:rPr>
          <w:rFonts w:ascii="Arial" w:hAnsi="Arial" w:cs="Arial"/>
        </w:rPr>
        <w:t>in</w:t>
      </w:r>
      <w:r w:rsidR="00EC6FC9">
        <w:rPr>
          <w:rFonts w:ascii="Arial" w:hAnsi="Arial" w:cs="Arial"/>
        </w:rPr>
        <w:t xml:space="preserve"> bond proceeds would </w:t>
      </w:r>
      <w:r w:rsidRPr="00133F4B">
        <w:rPr>
          <w:rFonts w:ascii="Arial" w:hAnsi="Arial" w:cs="Arial"/>
        </w:rPr>
        <w:t>be recei</w:t>
      </w:r>
      <w:r w:rsidR="00FA1C4B">
        <w:rPr>
          <w:rFonts w:ascii="Arial" w:hAnsi="Arial" w:cs="Arial"/>
        </w:rPr>
        <w:t xml:space="preserve">ved in the 2021-2022 biennium. </w:t>
      </w:r>
    </w:p>
    <w:p w14:paraId="2136C3F5" w14:textId="77777777" w:rsidR="00E71C42" w:rsidRDefault="00E71C42" w:rsidP="00FA1C4B">
      <w:pPr>
        <w:pStyle w:val="ListParagraph0"/>
        <w:ind w:left="0"/>
        <w:jc w:val="both"/>
        <w:rPr>
          <w:rFonts w:ascii="Arial" w:hAnsi="Arial" w:cs="Arial"/>
        </w:rPr>
      </w:pPr>
    </w:p>
    <w:p w14:paraId="5B18E99A" w14:textId="47D71468" w:rsidR="00FA1C4B" w:rsidRDefault="00D7287E" w:rsidP="00FA1C4B">
      <w:pPr>
        <w:pStyle w:val="ListParagraph0"/>
        <w:ind w:left="0"/>
        <w:jc w:val="both"/>
        <w:rPr>
          <w:rFonts w:ascii="Arial" w:hAnsi="Arial" w:cs="Arial"/>
          <w:szCs w:val="20"/>
        </w:rPr>
      </w:pPr>
      <w:r>
        <w:rPr>
          <w:rFonts w:ascii="Arial" w:hAnsi="Arial" w:cs="Arial"/>
        </w:rPr>
        <w:t xml:space="preserve">The executive has proposed to </w:t>
      </w:r>
      <w:r w:rsidR="00046E19">
        <w:rPr>
          <w:rFonts w:ascii="Arial" w:hAnsi="Arial" w:cs="Arial"/>
        </w:rPr>
        <w:t xml:space="preserve">initially </w:t>
      </w:r>
      <w:r w:rsidR="00C979A1">
        <w:rPr>
          <w:rFonts w:ascii="Arial" w:hAnsi="Arial" w:cs="Arial"/>
        </w:rPr>
        <w:t xml:space="preserve">fund the expenditures using </w:t>
      </w:r>
      <w:r w:rsidR="00F440D5">
        <w:rPr>
          <w:rFonts w:ascii="Arial" w:hAnsi="Arial" w:cs="Arial"/>
        </w:rPr>
        <w:t xml:space="preserve">a </w:t>
      </w:r>
      <w:r w:rsidR="0082581D">
        <w:rPr>
          <w:rFonts w:ascii="Arial" w:hAnsi="Arial" w:cs="Arial"/>
        </w:rPr>
        <w:t>county</w:t>
      </w:r>
      <w:r>
        <w:rPr>
          <w:rFonts w:ascii="Arial" w:hAnsi="Arial" w:cs="Arial"/>
        </w:rPr>
        <w:t xml:space="preserve"> interfund loan </w:t>
      </w:r>
      <w:r w:rsidR="00046E19">
        <w:rPr>
          <w:rFonts w:ascii="Arial" w:hAnsi="Arial" w:cs="Arial"/>
        </w:rPr>
        <w:t xml:space="preserve">which would be repaid through </w:t>
      </w:r>
      <w:r>
        <w:rPr>
          <w:rFonts w:ascii="Arial" w:hAnsi="Arial" w:cs="Arial"/>
        </w:rPr>
        <w:t>bond proceeds.</w:t>
      </w:r>
      <w:r w:rsidR="00046E19">
        <w:rPr>
          <w:rFonts w:ascii="Arial" w:hAnsi="Arial" w:cs="Arial"/>
        </w:rPr>
        <w:t xml:space="preserve"> </w:t>
      </w:r>
      <w:r w:rsidR="00102C53">
        <w:rPr>
          <w:rFonts w:ascii="Arial" w:hAnsi="Arial" w:cs="Arial"/>
        </w:rPr>
        <w:t>The Executive Finance Committee has approved a</w:t>
      </w:r>
      <w:r w:rsidR="00046E19">
        <w:rPr>
          <w:rFonts w:ascii="Arial" w:hAnsi="Arial" w:cs="Arial"/>
        </w:rPr>
        <w:t>n</w:t>
      </w:r>
      <w:r w:rsidR="00102C53">
        <w:rPr>
          <w:rFonts w:ascii="Arial" w:hAnsi="Arial" w:cs="Arial"/>
        </w:rPr>
        <w:t xml:space="preserve"> official intent </w:t>
      </w:r>
      <w:r w:rsidR="00046E19">
        <w:rPr>
          <w:rFonts w:ascii="Arial" w:hAnsi="Arial" w:cs="Arial"/>
        </w:rPr>
        <w:t>reimbursement motion for the initial $24 million and the executive intends to propose another motion</w:t>
      </w:r>
      <w:r w:rsidR="0082581D">
        <w:rPr>
          <w:rFonts w:ascii="Arial" w:hAnsi="Arial" w:cs="Arial"/>
        </w:rPr>
        <w:t xml:space="preserve"> for</w:t>
      </w:r>
      <w:r w:rsidR="00046E19">
        <w:rPr>
          <w:rFonts w:ascii="Arial" w:hAnsi="Arial" w:cs="Arial"/>
        </w:rPr>
        <w:t xml:space="preserve"> the </w:t>
      </w:r>
      <w:r w:rsidR="0082581D">
        <w:rPr>
          <w:rFonts w:ascii="Arial" w:hAnsi="Arial" w:cs="Arial"/>
        </w:rPr>
        <w:t>remaining</w:t>
      </w:r>
      <w:r w:rsidR="00046E19">
        <w:rPr>
          <w:rFonts w:ascii="Arial" w:hAnsi="Arial" w:cs="Arial"/>
        </w:rPr>
        <w:t xml:space="preserve"> $11 million if this </w:t>
      </w:r>
      <w:r w:rsidR="00046E19">
        <w:rPr>
          <w:rFonts w:ascii="Arial" w:hAnsi="Arial" w:cs="Arial"/>
        </w:rPr>
        <w:lastRenderedPageBreak/>
        <w:t xml:space="preserve">proposed </w:t>
      </w:r>
      <w:r w:rsidR="00EC6FC9">
        <w:rPr>
          <w:rFonts w:ascii="Arial" w:hAnsi="Arial" w:cs="Arial"/>
        </w:rPr>
        <w:t xml:space="preserve">appropriation </w:t>
      </w:r>
      <w:r w:rsidR="00046E19">
        <w:rPr>
          <w:rFonts w:ascii="Arial" w:hAnsi="Arial" w:cs="Arial"/>
        </w:rPr>
        <w:t>ordinance is approved by council.</w:t>
      </w:r>
      <w:r w:rsidR="00102C53">
        <w:rPr>
          <w:rFonts w:ascii="Arial" w:hAnsi="Arial" w:cs="Arial"/>
        </w:rPr>
        <w:t xml:space="preserve"> </w:t>
      </w:r>
      <w:r w:rsidR="00FA1C4B">
        <w:rPr>
          <w:rFonts w:ascii="Arial" w:hAnsi="Arial" w:cs="Arial"/>
          <w:szCs w:val="20"/>
        </w:rPr>
        <w:t>The executive anticipates transmitting a bond ordinance to the Council in early 2020.</w:t>
      </w:r>
    </w:p>
    <w:p w14:paraId="358C4B65" w14:textId="62353695" w:rsidR="00A640E0" w:rsidRDefault="00A640E0" w:rsidP="00FA1C4B">
      <w:pPr>
        <w:pStyle w:val="ListParagraph0"/>
        <w:ind w:left="0"/>
        <w:jc w:val="both"/>
        <w:rPr>
          <w:rFonts w:ascii="Arial" w:hAnsi="Arial" w:cs="Arial"/>
          <w:szCs w:val="20"/>
        </w:rPr>
      </w:pPr>
    </w:p>
    <w:p w14:paraId="2E7BEA9D" w14:textId="6848F4CC" w:rsidR="00A640E0" w:rsidRDefault="00A640E0" w:rsidP="00FA1C4B">
      <w:pPr>
        <w:pStyle w:val="ListParagraph0"/>
        <w:ind w:left="0"/>
        <w:jc w:val="both"/>
        <w:rPr>
          <w:rFonts w:ascii="Arial" w:hAnsi="Arial" w:cs="Arial"/>
          <w:szCs w:val="20"/>
        </w:rPr>
      </w:pPr>
      <w:r>
        <w:rPr>
          <w:rFonts w:ascii="Arial" w:hAnsi="Arial" w:cs="Arial"/>
          <w:szCs w:val="20"/>
        </w:rPr>
        <w:t xml:space="preserve">Staff has prepared Amendment 1 which would </w:t>
      </w:r>
      <w:r w:rsidRPr="00A640E0">
        <w:rPr>
          <w:rFonts w:ascii="Arial" w:hAnsi="Arial" w:cs="Arial"/>
          <w:szCs w:val="20"/>
        </w:rPr>
        <w:t xml:space="preserve">place an expenditure restriction on both the $11 million proposed in this </w:t>
      </w:r>
      <w:r w:rsidR="00EC6FC9">
        <w:rPr>
          <w:rFonts w:ascii="Arial" w:hAnsi="Arial" w:cs="Arial"/>
          <w:szCs w:val="20"/>
        </w:rPr>
        <w:t xml:space="preserve">appropriation </w:t>
      </w:r>
      <w:r w:rsidRPr="00A640E0">
        <w:rPr>
          <w:rFonts w:ascii="Arial" w:hAnsi="Arial" w:cs="Arial"/>
          <w:szCs w:val="20"/>
        </w:rPr>
        <w:t xml:space="preserve">ordinance, as well as the $24 million previously appropriated. The restriction would state that the $35 million must be spent for the projects </w:t>
      </w:r>
      <w:r w:rsidR="0082581D">
        <w:rPr>
          <w:rFonts w:ascii="Arial" w:hAnsi="Arial" w:cs="Arial"/>
          <w:szCs w:val="20"/>
        </w:rPr>
        <w:t xml:space="preserve">as recommended by the </w:t>
      </w:r>
      <w:r w:rsidR="0082581D" w:rsidRPr="00AF73F8">
        <w:rPr>
          <w:rFonts w:ascii="Arial" w:hAnsi="Arial" w:cs="Arial"/>
          <w:szCs w:val="20"/>
        </w:rPr>
        <w:t>CFT Advisory Committee</w:t>
      </w:r>
      <w:r w:rsidR="0082581D">
        <w:rPr>
          <w:rFonts w:ascii="Arial" w:hAnsi="Arial" w:cs="Arial"/>
          <w:szCs w:val="20"/>
        </w:rPr>
        <w:t xml:space="preserve"> for 2020.</w:t>
      </w:r>
    </w:p>
    <w:p w14:paraId="65C68D3D" w14:textId="77777777" w:rsidR="00C75025" w:rsidRDefault="00C75025" w:rsidP="005B478C">
      <w:pPr>
        <w:jc w:val="both"/>
        <w:rPr>
          <w:rFonts w:ascii="Arial" w:hAnsi="Arial" w:cs="Arial"/>
          <w:szCs w:val="24"/>
        </w:rPr>
      </w:pPr>
    </w:p>
    <w:p w14:paraId="0D254444"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69B895C7" w14:textId="77777777" w:rsidR="00074A56" w:rsidRDefault="00074A56" w:rsidP="005B478C">
      <w:pPr>
        <w:jc w:val="both"/>
        <w:rPr>
          <w:rFonts w:ascii="Arial" w:hAnsi="Arial" w:cs="Arial"/>
        </w:rPr>
      </w:pPr>
    </w:p>
    <w:p w14:paraId="6956F285" w14:textId="77777777" w:rsidR="00BD0ABE" w:rsidRPr="00EF480F" w:rsidRDefault="00BD0ABE" w:rsidP="00BD0ABE">
      <w:pPr>
        <w:jc w:val="both"/>
        <w:rPr>
          <w:rFonts w:ascii="Arial" w:hAnsi="Arial" w:cs="Arial"/>
        </w:rPr>
      </w:pPr>
      <w:r w:rsidRPr="00EF480F">
        <w:rPr>
          <w:rFonts w:ascii="Arial" w:hAnsi="Arial" w:cs="Arial"/>
        </w:rPr>
        <w:t>King County Code</w:t>
      </w:r>
      <w:r>
        <w:rPr>
          <w:rFonts w:ascii="Arial" w:hAnsi="Arial" w:cs="Arial"/>
        </w:rPr>
        <w:t>,</w:t>
      </w:r>
      <w:r>
        <w:rPr>
          <w:rStyle w:val="FootnoteReference"/>
          <w:rFonts w:ascii="Arial" w:hAnsi="Arial" w:cs="Arial"/>
        </w:rPr>
        <w:footnoteReference w:id="1"/>
      </w:r>
      <w:r w:rsidRPr="00EF480F">
        <w:rPr>
          <w:rFonts w:ascii="Arial" w:hAnsi="Arial" w:cs="Arial"/>
        </w:rPr>
        <w:t xml:space="preserve"> Motion 12587</w:t>
      </w:r>
      <w:r w:rsidR="004624D4">
        <w:rPr>
          <w:rStyle w:val="FootnoteReference"/>
          <w:rFonts w:ascii="Arial" w:hAnsi="Arial" w:cs="Arial"/>
        </w:rPr>
        <w:footnoteReference w:id="2"/>
      </w:r>
      <w:r w:rsidRPr="00EF480F">
        <w:rPr>
          <w:rFonts w:ascii="Arial" w:hAnsi="Arial" w:cs="Arial"/>
        </w:rPr>
        <w:t xml:space="preserve"> </w:t>
      </w:r>
      <w:r>
        <w:rPr>
          <w:rFonts w:ascii="Arial" w:hAnsi="Arial" w:cs="Arial"/>
        </w:rPr>
        <w:t>and Ordinance 18890</w:t>
      </w:r>
      <w:r w:rsidR="004624D4">
        <w:rPr>
          <w:rStyle w:val="FootnoteReference"/>
          <w:rFonts w:ascii="Arial" w:hAnsi="Arial" w:cs="Arial"/>
        </w:rPr>
        <w:footnoteReference w:id="3"/>
      </w:r>
      <w:r>
        <w:rPr>
          <w:rFonts w:ascii="Arial" w:hAnsi="Arial" w:cs="Arial"/>
        </w:rPr>
        <w:t xml:space="preserve"> provide for</w:t>
      </w:r>
      <w:r w:rsidRPr="00EF480F">
        <w:rPr>
          <w:rFonts w:ascii="Arial" w:hAnsi="Arial" w:cs="Arial"/>
        </w:rPr>
        <w:t xml:space="preserve"> a process for an annual allocation </w:t>
      </w:r>
      <w:r>
        <w:rPr>
          <w:rFonts w:ascii="Arial" w:hAnsi="Arial" w:cs="Arial"/>
        </w:rPr>
        <w:t xml:space="preserve">of </w:t>
      </w:r>
      <w:r w:rsidRPr="00EF480F">
        <w:rPr>
          <w:rFonts w:ascii="Arial" w:hAnsi="Arial" w:cs="Arial"/>
        </w:rPr>
        <w:t xml:space="preserve">CFT and Parks Levy </w:t>
      </w:r>
      <w:r>
        <w:rPr>
          <w:rFonts w:ascii="Arial" w:hAnsi="Arial" w:cs="Arial"/>
        </w:rPr>
        <w:t xml:space="preserve">open space acquisition </w:t>
      </w:r>
      <w:r w:rsidRPr="00EF480F">
        <w:rPr>
          <w:rFonts w:ascii="Arial" w:hAnsi="Arial" w:cs="Arial"/>
        </w:rPr>
        <w:t xml:space="preserve">funds through a review managed by the </w:t>
      </w:r>
      <w:r>
        <w:rPr>
          <w:rFonts w:ascii="Arial" w:hAnsi="Arial" w:cs="Arial"/>
        </w:rPr>
        <w:t>King County Conservation Futures Advisory Committee</w:t>
      </w:r>
      <w:r w:rsidRPr="00EF480F">
        <w:rPr>
          <w:rFonts w:ascii="Arial" w:hAnsi="Arial" w:cs="Arial"/>
        </w:rPr>
        <w:t>.</w:t>
      </w:r>
      <w:r>
        <w:rPr>
          <w:rStyle w:val="FootnoteReference"/>
          <w:rFonts w:ascii="Arial" w:hAnsi="Arial" w:cs="Arial"/>
        </w:rPr>
        <w:footnoteReference w:id="4"/>
      </w:r>
      <w:r>
        <w:rPr>
          <w:rFonts w:ascii="Arial" w:hAnsi="Arial" w:cs="Arial"/>
        </w:rPr>
        <w:t xml:space="preserve"> On an annual basis, members of the Advisory Committee</w:t>
      </w:r>
      <w:r w:rsidRPr="00EF480F">
        <w:rPr>
          <w:rFonts w:ascii="Arial" w:hAnsi="Arial" w:cs="Arial"/>
        </w:rPr>
        <w:t xml:space="preserve"> present their </w:t>
      </w:r>
      <w:r>
        <w:rPr>
          <w:rFonts w:ascii="Arial" w:hAnsi="Arial" w:cs="Arial"/>
        </w:rPr>
        <w:t xml:space="preserve">funding </w:t>
      </w:r>
      <w:r w:rsidRPr="00EF480F">
        <w:rPr>
          <w:rFonts w:ascii="Arial" w:hAnsi="Arial" w:cs="Arial"/>
        </w:rPr>
        <w:t>recommendations, including the factors influencing those recommendations.</w:t>
      </w:r>
      <w:r>
        <w:rPr>
          <w:rFonts w:ascii="Arial" w:hAnsi="Arial" w:cs="Arial"/>
        </w:rPr>
        <w:t xml:space="preserve"> These recommendations are then transmitted to the Executive, who determines how to incorporate them into the proposed budget.  </w:t>
      </w:r>
    </w:p>
    <w:p w14:paraId="47A2C27D" w14:textId="77777777" w:rsidR="00BD0ABE" w:rsidRPr="00450D58" w:rsidRDefault="00BD0ABE" w:rsidP="00BD0ABE">
      <w:pPr>
        <w:jc w:val="both"/>
        <w:rPr>
          <w:rFonts w:ascii="Arial" w:hAnsi="Arial" w:cs="Arial"/>
        </w:rPr>
      </w:pPr>
    </w:p>
    <w:p w14:paraId="4A0C1E02" w14:textId="77777777" w:rsidR="00BD0ABE" w:rsidRDefault="00BD0ABE" w:rsidP="00BD0ABE">
      <w:pPr>
        <w:jc w:val="both"/>
        <w:rPr>
          <w:rFonts w:ascii="Arial" w:hAnsi="Arial" w:cs="Arial"/>
        </w:rPr>
      </w:pPr>
      <w:r w:rsidRPr="00CF1C81">
        <w:rPr>
          <w:rFonts w:ascii="Arial" w:hAnsi="Arial" w:cs="Arial"/>
        </w:rPr>
        <w:t>The CFT</w:t>
      </w:r>
      <w:r>
        <w:rPr>
          <w:rFonts w:ascii="Arial" w:hAnsi="Arial" w:cs="Arial"/>
        </w:rPr>
        <w:t xml:space="preserve"> is a dedicated portion of the property tax that is authorized by state law</w:t>
      </w:r>
      <w:r>
        <w:rPr>
          <w:rStyle w:val="FootnoteReference"/>
          <w:rFonts w:ascii="Arial" w:hAnsi="Arial" w:cs="Arial"/>
        </w:rPr>
        <w:footnoteReference w:id="5"/>
      </w:r>
      <w:r>
        <w:rPr>
          <w:rFonts w:ascii="Arial" w:hAnsi="Arial" w:cs="Arial"/>
        </w:rPr>
        <w:t xml:space="preserve"> to acquire property rights to conserve open space lands</w:t>
      </w:r>
      <w:r w:rsidRPr="0039366E">
        <w:rPr>
          <w:rFonts w:ascii="Arial" w:hAnsi="Arial" w:cs="Arial"/>
        </w:rPr>
        <w:t xml:space="preserve">. </w:t>
      </w:r>
      <w:r>
        <w:rPr>
          <w:rFonts w:ascii="Arial" w:hAnsi="Arial" w:cs="Arial"/>
        </w:rPr>
        <w:t xml:space="preserve">It has been collected in </w:t>
      </w:r>
      <w:r w:rsidRPr="006B454B">
        <w:rPr>
          <w:rFonts w:ascii="Arial" w:hAnsi="Arial" w:cs="Arial"/>
        </w:rPr>
        <w:t xml:space="preserve">King County </w:t>
      </w:r>
      <w:r>
        <w:rPr>
          <w:rFonts w:ascii="Arial" w:hAnsi="Arial" w:cs="Arial"/>
        </w:rPr>
        <w:t>since 1982.</w:t>
      </w:r>
      <w:r w:rsidRPr="006B454B">
        <w:rPr>
          <w:rFonts w:ascii="Arial" w:hAnsi="Arial" w:cs="Arial"/>
        </w:rPr>
        <w:t xml:space="preserve"> </w:t>
      </w:r>
      <w:r w:rsidRPr="002E0104">
        <w:rPr>
          <w:rFonts w:ascii="Arial" w:hAnsi="Arial" w:cs="Arial"/>
        </w:rPr>
        <w:t xml:space="preserve">Open space lands are defined in K.C.C. 26.12.003 and RCW 84.34.020 </w:t>
      </w:r>
      <w:r>
        <w:rPr>
          <w:rFonts w:ascii="Arial" w:hAnsi="Arial" w:cs="Arial"/>
        </w:rPr>
        <w:t>to</w:t>
      </w:r>
      <w:r w:rsidRPr="002E0104">
        <w:rPr>
          <w:rFonts w:ascii="Arial" w:hAnsi="Arial" w:cs="Arial"/>
        </w:rPr>
        <w:t xml:space="preserve"> include open space, agricultural lands, and timber lands. </w:t>
      </w:r>
      <w:r>
        <w:rPr>
          <w:rFonts w:ascii="Arial" w:hAnsi="Arial" w:cs="Arial"/>
        </w:rPr>
        <w:t>CFT funds</w:t>
      </w:r>
      <w:r w:rsidRPr="002E0104">
        <w:rPr>
          <w:rFonts w:ascii="Arial" w:hAnsi="Arial" w:cs="Arial"/>
        </w:rPr>
        <w:t xml:space="preserve"> are allowed to be used to protect, preserve, maintain, improve, restore, limit the future use of, or other otherwise conserve open space lands.</w:t>
      </w:r>
      <w:r>
        <w:rPr>
          <w:rFonts w:ascii="Arial" w:hAnsi="Arial" w:cs="Arial"/>
        </w:rPr>
        <w:t xml:space="preserve"> </w:t>
      </w:r>
    </w:p>
    <w:p w14:paraId="4DE82272" w14:textId="77777777" w:rsidR="00BD0ABE" w:rsidRDefault="00BD0ABE" w:rsidP="00BD0ABE">
      <w:pPr>
        <w:jc w:val="both"/>
        <w:rPr>
          <w:rFonts w:ascii="Arial" w:hAnsi="Arial" w:cs="Arial"/>
        </w:rPr>
      </w:pPr>
    </w:p>
    <w:p w14:paraId="5D7E4295" w14:textId="01C5AB08" w:rsidR="00BD0ABE" w:rsidRDefault="00BD0ABE" w:rsidP="00BD0ABE">
      <w:pPr>
        <w:jc w:val="both"/>
        <w:rPr>
          <w:rFonts w:ascii="Arial" w:hAnsi="Arial" w:cs="Arial"/>
        </w:rPr>
      </w:pPr>
      <w:r w:rsidRPr="009B536B">
        <w:rPr>
          <w:rFonts w:ascii="Arial" w:hAnsi="Arial" w:cs="Arial"/>
        </w:rPr>
        <w:t xml:space="preserve">State law sets the maximum rate for the CFT at 6.25 cents per $1,000 of assessed valuation. King County’s CFT rate was originally set at that level, but </w:t>
      </w:r>
      <w:r>
        <w:rPr>
          <w:rFonts w:ascii="Arial" w:hAnsi="Arial" w:cs="Arial"/>
        </w:rPr>
        <w:t>due to a state-imposed limit on annual property tax growth</w:t>
      </w:r>
      <w:r w:rsidR="00CD5F36">
        <w:rPr>
          <w:rFonts w:ascii="Arial" w:hAnsi="Arial" w:cs="Arial"/>
        </w:rPr>
        <w:t xml:space="preserve"> </w:t>
      </w:r>
      <w:r w:rsidR="00F440D5">
        <w:rPr>
          <w:rFonts w:ascii="Arial" w:hAnsi="Arial" w:cs="Arial"/>
        </w:rPr>
        <w:t>of</w:t>
      </w:r>
      <w:r w:rsidR="00CD5F36">
        <w:rPr>
          <w:rFonts w:ascii="Arial" w:hAnsi="Arial" w:cs="Arial"/>
        </w:rPr>
        <w:t xml:space="preserve"> 1%</w:t>
      </w:r>
      <w:r>
        <w:rPr>
          <w:rFonts w:ascii="Arial" w:hAnsi="Arial" w:cs="Arial"/>
        </w:rPr>
        <w:t xml:space="preserve">, </w:t>
      </w:r>
      <w:r w:rsidRPr="009B536B">
        <w:rPr>
          <w:rFonts w:ascii="Arial" w:hAnsi="Arial" w:cs="Arial"/>
        </w:rPr>
        <w:t xml:space="preserve">the tax rate has eroded over time and by 2018 was being collected at </w:t>
      </w:r>
      <w:r>
        <w:rPr>
          <w:rFonts w:ascii="Arial" w:hAnsi="Arial" w:cs="Arial"/>
        </w:rPr>
        <w:t>less than</w:t>
      </w:r>
      <w:r w:rsidRPr="009B536B">
        <w:rPr>
          <w:rFonts w:ascii="Arial" w:hAnsi="Arial" w:cs="Arial"/>
        </w:rPr>
        <w:t xml:space="preserve"> </w:t>
      </w:r>
      <w:r>
        <w:rPr>
          <w:rFonts w:ascii="Arial" w:hAnsi="Arial" w:cs="Arial"/>
        </w:rPr>
        <w:t xml:space="preserve">4 </w:t>
      </w:r>
      <w:r w:rsidRPr="009B536B">
        <w:rPr>
          <w:rFonts w:ascii="Arial" w:hAnsi="Arial" w:cs="Arial"/>
        </w:rPr>
        <w:t>cents per $1,000.</w:t>
      </w:r>
      <w:r w:rsidRPr="009B536B">
        <w:rPr>
          <w:rStyle w:val="FootnoteReference"/>
          <w:rFonts w:ascii="Arial" w:hAnsi="Arial" w:cs="Arial"/>
        </w:rPr>
        <w:footnoteReference w:id="6"/>
      </w:r>
      <w:r>
        <w:rPr>
          <w:rFonts w:ascii="Arial" w:hAnsi="Arial" w:cs="Arial"/>
        </w:rPr>
        <w:t xml:space="preserve"> </w:t>
      </w:r>
    </w:p>
    <w:p w14:paraId="4FCD3FCB" w14:textId="77777777" w:rsidR="00BD0ABE" w:rsidRDefault="00BD0ABE" w:rsidP="00BD0ABE">
      <w:pPr>
        <w:jc w:val="both"/>
        <w:rPr>
          <w:rFonts w:ascii="Arial" w:hAnsi="Arial" w:cs="Arial"/>
        </w:rPr>
      </w:pPr>
    </w:p>
    <w:p w14:paraId="10153DA5" w14:textId="77777777" w:rsidR="00575B03" w:rsidRDefault="00BD0ABE" w:rsidP="00BD0ABE">
      <w:pPr>
        <w:jc w:val="both"/>
        <w:rPr>
          <w:rFonts w:ascii="Arial" w:hAnsi="Arial" w:cs="Arial"/>
        </w:rPr>
      </w:pPr>
      <w:r>
        <w:rPr>
          <w:rFonts w:ascii="Arial" w:hAnsi="Arial" w:cs="Arial"/>
        </w:rPr>
        <w:t>In 2018, the King County Council passed Ordinance 18774, which adopted changes to the CFT program in accordance with recommendations from the Land Conservation Advisory Group, which was convened in 2016 to advise the Council on ways to preserve remaining conservations lands within a generation. One major change to the CFT program was a</w:t>
      </w:r>
      <w:r w:rsidRPr="008B188D">
        <w:rPr>
          <w:rFonts w:ascii="Arial" w:hAnsi="Arial" w:cs="Arial"/>
        </w:rPr>
        <w:t>n increase to the bond cap from 50</w:t>
      </w:r>
      <w:r>
        <w:rPr>
          <w:rFonts w:ascii="Arial" w:hAnsi="Arial" w:cs="Arial"/>
        </w:rPr>
        <w:t xml:space="preserve"> percent</w:t>
      </w:r>
      <w:r w:rsidRPr="008B188D">
        <w:rPr>
          <w:rFonts w:ascii="Arial" w:hAnsi="Arial" w:cs="Arial"/>
        </w:rPr>
        <w:t xml:space="preserve"> to 80</w:t>
      </w:r>
      <w:r>
        <w:rPr>
          <w:rFonts w:ascii="Arial" w:hAnsi="Arial" w:cs="Arial"/>
        </w:rPr>
        <w:t xml:space="preserve"> percent</w:t>
      </w:r>
      <w:r w:rsidRPr="008B188D">
        <w:rPr>
          <w:rFonts w:ascii="Arial" w:hAnsi="Arial" w:cs="Arial"/>
        </w:rPr>
        <w:t xml:space="preserve"> of anticipated annual conservation futures tax levy funds for debt service</w:t>
      </w:r>
      <w:r>
        <w:rPr>
          <w:rFonts w:ascii="Arial" w:hAnsi="Arial" w:cs="Arial"/>
        </w:rPr>
        <w:t>.</w:t>
      </w:r>
    </w:p>
    <w:p w14:paraId="19EA8FD3" w14:textId="77777777" w:rsidR="000543C1" w:rsidRDefault="000543C1" w:rsidP="00BD0ABE">
      <w:pPr>
        <w:jc w:val="both"/>
        <w:rPr>
          <w:rFonts w:ascii="Arial" w:hAnsi="Arial" w:cs="Arial"/>
        </w:rPr>
      </w:pPr>
    </w:p>
    <w:p w14:paraId="569C63EC" w14:textId="109952F3" w:rsidR="000543C1" w:rsidRDefault="00F440D5" w:rsidP="00BD0ABE">
      <w:pPr>
        <w:jc w:val="both"/>
        <w:rPr>
          <w:rFonts w:ascii="Arial" w:hAnsi="Arial" w:cs="Arial"/>
        </w:rPr>
      </w:pPr>
      <w:r>
        <w:rPr>
          <w:rFonts w:ascii="Arial" w:hAnsi="Arial" w:cs="Arial"/>
        </w:rPr>
        <w:t xml:space="preserve">On September 11, 2019, the Council passed Ordinance 18978, Ordinance 18981, and Motion 15513, which together </w:t>
      </w:r>
      <w:r w:rsidR="00E71C42">
        <w:rPr>
          <w:rFonts w:ascii="Arial" w:hAnsi="Arial" w:cs="Arial"/>
        </w:rPr>
        <w:t xml:space="preserve">updated the code requirements, </w:t>
      </w:r>
      <w:r>
        <w:rPr>
          <w:rFonts w:ascii="Arial" w:hAnsi="Arial" w:cs="Arial"/>
        </w:rPr>
        <w:t xml:space="preserve">interlocal agreement (ILA) template, and project criteria for CFT projects. These changes were made in </w:t>
      </w:r>
      <w:r>
        <w:rPr>
          <w:rFonts w:ascii="Arial" w:hAnsi="Arial" w:cs="Arial"/>
        </w:rPr>
        <w:lastRenderedPageBreak/>
        <w:t>accordance with the recommendations of the Open Space Equity Cabinet, which was convened in 2018 in response to the Land Conservation Advisory Group. The updated ILA template contains language and conditions for bond-backed projects, something that the template previously lacked.</w:t>
      </w:r>
    </w:p>
    <w:p w14:paraId="48B23F82" w14:textId="77777777" w:rsidR="00BD0ABE" w:rsidRDefault="00BD0ABE" w:rsidP="00BD0ABE">
      <w:pPr>
        <w:jc w:val="both"/>
        <w:rPr>
          <w:rFonts w:ascii="Arial" w:hAnsi="Arial" w:cs="Arial"/>
        </w:rPr>
      </w:pPr>
    </w:p>
    <w:p w14:paraId="793B31D8"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6EF42094" w14:textId="77777777" w:rsidR="00117339" w:rsidRDefault="00117339" w:rsidP="00117339">
      <w:pPr>
        <w:pStyle w:val="ListParagraph0"/>
        <w:jc w:val="both"/>
        <w:rPr>
          <w:rFonts w:ascii="Arial" w:hAnsi="Arial" w:cs="Arial"/>
          <w:szCs w:val="20"/>
        </w:rPr>
      </w:pPr>
    </w:p>
    <w:tbl>
      <w:tblPr>
        <w:tblStyle w:val="TableGrid"/>
        <w:tblW w:w="0" w:type="auto"/>
        <w:tblLook w:val="04A0" w:firstRow="1" w:lastRow="0" w:firstColumn="1" w:lastColumn="0" w:noHBand="0" w:noVBand="1"/>
      </w:tblPr>
      <w:tblGrid>
        <w:gridCol w:w="7668"/>
        <w:gridCol w:w="1908"/>
      </w:tblGrid>
      <w:tr w:rsidR="002B10B5" w14:paraId="57FF61B6" w14:textId="77777777" w:rsidTr="006B1A17">
        <w:tc>
          <w:tcPr>
            <w:tcW w:w="7668" w:type="dxa"/>
            <w:tcBorders>
              <w:top w:val="nil"/>
              <w:left w:val="nil"/>
              <w:bottom w:val="single" w:sz="12" w:space="0" w:color="auto"/>
              <w:right w:val="nil"/>
            </w:tcBorders>
          </w:tcPr>
          <w:p w14:paraId="2692CA60" w14:textId="0D4E1BE4" w:rsidR="002B10B5" w:rsidRPr="00C56497" w:rsidRDefault="00835F1C" w:rsidP="0080477A">
            <w:pPr>
              <w:pStyle w:val="BodyText"/>
              <w:rPr>
                <w:rFonts w:ascii="Arial" w:hAnsi="Arial" w:cs="Arial"/>
                <w:b/>
                <w:i w:val="0"/>
                <w:smallCaps/>
                <w:szCs w:val="24"/>
              </w:rPr>
            </w:pPr>
            <w:r>
              <w:rPr>
                <w:rFonts w:ascii="Arial" w:hAnsi="Arial" w:cs="Arial"/>
                <w:b/>
                <w:i w:val="0"/>
              </w:rPr>
              <w:t>Conservation Futures Levy Subfund</w:t>
            </w:r>
          </w:p>
        </w:tc>
        <w:tc>
          <w:tcPr>
            <w:tcW w:w="1908" w:type="dxa"/>
            <w:tcBorders>
              <w:top w:val="nil"/>
              <w:left w:val="nil"/>
              <w:bottom w:val="single" w:sz="12" w:space="0" w:color="auto"/>
              <w:right w:val="nil"/>
            </w:tcBorders>
          </w:tcPr>
          <w:p w14:paraId="686A7B0C" w14:textId="77777777" w:rsidR="002B10B5" w:rsidRDefault="002B10B5" w:rsidP="0080477A">
            <w:pPr>
              <w:pStyle w:val="BodyText"/>
              <w:jc w:val="right"/>
              <w:rPr>
                <w:rFonts w:ascii="Arial" w:hAnsi="Arial" w:cs="Arial"/>
                <w:b/>
                <w:i w:val="0"/>
                <w:smallCaps/>
                <w:szCs w:val="24"/>
              </w:rPr>
            </w:pPr>
            <w:r>
              <w:rPr>
                <w:rFonts w:ascii="Arial" w:hAnsi="Arial" w:cs="Arial"/>
                <w:b/>
                <w:i w:val="0"/>
                <w:smallCaps/>
                <w:szCs w:val="24"/>
              </w:rPr>
              <w:t>$11,000,000</w:t>
            </w:r>
          </w:p>
        </w:tc>
      </w:tr>
      <w:tr w:rsidR="002B10B5" w14:paraId="6DB1CE77" w14:textId="77777777" w:rsidTr="006B1A17">
        <w:tc>
          <w:tcPr>
            <w:tcW w:w="7668" w:type="dxa"/>
            <w:tcBorders>
              <w:top w:val="single" w:sz="12" w:space="0" w:color="auto"/>
              <w:left w:val="nil"/>
              <w:bottom w:val="nil"/>
              <w:right w:val="nil"/>
            </w:tcBorders>
          </w:tcPr>
          <w:p w14:paraId="7B546199" w14:textId="77777777" w:rsidR="002B10B5" w:rsidRDefault="002B10B5" w:rsidP="0080477A">
            <w:pPr>
              <w:pStyle w:val="BodyText"/>
              <w:jc w:val="right"/>
              <w:rPr>
                <w:rFonts w:ascii="Arial" w:hAnsi="Arial" w:cs="Arial"/>
                <w:b/>
              </w:rPr>
            </w:pPr>
          </w:p>
          <w:p w14:paraId="6F312CA8" w14:textId="77777777" w:rsidR="002B10B5" w:rsidRPr="00C56497" w:rsidRDefault="002B10B5" w:rsidP="0080477A">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908" w:type="dxa"/>
            <w:tcBorders>
              <w:top w:val="single" w:sz="12" w:space="0" w:color="auto"/>
              <w:left w:val="nil"/>
              <w:bottom w:val="nil"/>
              <w:right w:val="nil"/>
            </w:tcBorders>
          </w:tcPr>
          <w:p w14:paraId="4C8B0F75" w14:textId="77777777" w:rsidR="002B10B5" w:rsidRDefault="002B10B5" w:rsidP="0080477A">
            <w:pPr>
              <w:pStyle w:val="BodyText"/>
              <w:jc w:val="right"/>
              <w:rPr>
                <w:rFonts w:ascii="Arial" w:hAnsi="Arial" w:cs="Arial"/>
                <w:b/>
                <w:i w:val="0"/>
                <w:smallCaps/>
                <w:szCs w:val="24"/>
              </w:rPr>
            </w:pPr>
          </w:p>
          <w:p w14:paraId="0DDCE109" w14:textId="0890A61D" w:rsidR="002B10B5" w:rsidRDefault="002B10B5" w:rsidP="0080477A">
            <w:pPr>
              <w:pStyle w:val="BodyText"/>
              <w:jc w:val="right"/>
              <w:rPr>
                <w:rFonts w:ascii="Arial" w:hAnsi="Arial" w:cs="Arial"/>
                <w:b/>
                <w:i w:val="0"/>
                <w:smallCaps/>
                <w:szCs w:val="24"/>
              </w:rPr>
            </w:pPr>
            <w:r>
              <w:rPr>
                <w:rFonts w:ascii="Arial" w:hAnsi="Arial" w:cs="Arial"/>
                <w:b/>
                <w:i w:val="0"/>
                <w:smallCaps/>
                <w:szCs w:val="24"/>
              </w:rPr>
              <w:t>$</w:t>
            </w:r>
            <w:r w:rsidR="00835F1C">
              <w:t xml:space="preserve"> </w:t>
            </w:r>
            <w:r w:rsidR="00835F1C" w:rsidRPr="00835F1C">
              <w:rPr>
                <w:rFonts w:ascii="Arial" w:hAnsi="Arial" w:cs="Arial"/>
                <w:b/>
                <w:i w:val="0"/>
                <w:smallCaps/>
                <w:szCs w:val="24"/>
              </w:rPr>
              <w:t>$72,261,837</w:t>
            </w:r>
          </w:p>
        </w:tc>
      </w:tr>
      <w:tr w:rsidR="002B10B5" w14:paraId="6C7B00F9" w14:textId="77777777" w:rsidTr="006B1A17">
        <w:tc>
          <w:tcPr>
            <w:tcW w:w="7668" w:type="dxa"/>
            <w:tcBorders>
              <w:top w:val="nil"/>
              <w:left w:val="nil"/>
              <w:bottom w:val="nil"/>
              <w:right w:val="nil"/>
            </w:tcBorders>
          </w:tcPr>
          <w:p w14:paraId="594A8DE9" w14:textId="77777777" w:rsidR="002B10B5" w:rsidRPr="00C56497" w:rsidRDefault="002B10B5" w:rsidP="0080477A">
            <w:pPr>
              <w:pStyle w:val="BodyText"/>
              <w:jc w:val="right"/>
              <w:rPr>
                <w:rFonts w:ascii="Arial" w:hAnsi="Arial" w:cs="Arial"/>
                <w:b/>
                <w:i w:val="0"/>
                <w:smallCaps/>
                <w:szCs w:val="24"/>
              </w:rPr>
            </w:pPr>
            <w:r w:rsidRPr="00C56497">
              <w:rPr>
                <w:rFonts w:ascii="Arial" w:hAnsi="Arial" w:cs="Arial"/>
                <w:b/>
              </w:rPr>
              <w:t>Supplemental Appropriations to Date:</w:t>
            </w:r>
          </w:p>
        </w:tc>
        <w:tc>
          <w:tcPr>
            <w:tcW w:w="1908" w:type="dxa"/>
            <w:tcBorders>
              <w:top w:val="nil"/>
              <w:left w:val="nil"/>
              <w:bottom w:val="single" w:sz="8" w:space="0" w:color="auto"/>
              <w:right w:val="nil"/>
            </w:tcBorders>
          </w:tcPr>
          <w:p w14:paraId="1C330607" w14:textId="3041676D" w:rsidR="002B10B5" w:rsidRDefault="00835F1C" w:rsidP="0080477A">
            <w:pPr>
              <w:pStyle w:val="BodyText"/>
              <w:jc w:val="right"/>
              <w:rPr>
                <w:rFonts w:ascii="Arial" w:hAnsi="Arial" w:cs="Arial"/>
                <w:b/>
                <w:i w:val="0"/>
                <w:smallCaps/>
                <w:szCs w:val="24"/>
              </w:rPr>
            </w:pPr>
            <w:r>
              <w:rPr>
                <w:rFonts w:ascii="Arial" w:hAnsi="Arial" w:cs="Arial"/>
                <w:b/>
                <w:i w:val="0"/>
                <w:smallCaps/>
                <w:szCs w:val="24"/>
              </w:rPr>
              <w:t>$0</w:t>
            </w:r>
          </w:p>
        </w:tc>
      </w:tr>
      <w:tr w:rsidR="002B10B5" w14:paraId="2B14ECDF" w14:textId="77777777" w:rsidTr="006B1A17">
        <w:tc>
          <w:tcPr>
            <w:tcW w:w="7668" w:type="dxa"/>
            <w:tcBorders>
              <w:top w:val="nil"/>
              <w:left w:val="nil"/>
              <w:bottom w:val="nil"/>
              <w:right w:val="nil"/>
            </w:tcBorders>
          </w:tcPr>
          <w:p w14:paraId="45E146C5" w14:textId="77777777" w:rsidR="002B10B5" w:rsidRPr="00C56497" w:rsidRDefault="002B10B5" w:rsidP="0080477A">
            <w:pPr>
              <w:pStyle w:val="BodyText"/>
              <w:jc w:val="right"/>
              <w:rPr>
                <w:rFonts w:ascii="Arial" w:hAnsi="Arial" w:cs="Arial"/>
                <w:b/>
                <w:i w:val="0"/>
                <w:smallCaps/>
                <w:szCs w:val="24"/>
              </w:rPr>
            </w:pPr>
            <w:r w:rsidRPr="00C56497">
              <w:rPr>
                <w:rFonts w:ascii="Arial" w:hAnsi="Arial" w:cs="Arial"/>
                <w:b/>
              </w:rPr>
              <w:t>Total Appropriation to Date:</w:t>
            </w:r>
          </w:p>
        </w:tc>
        <w:tc>
          <w:tcPr>
            <w:tcW w:w="1908" w:type="dxa"/>
            <w:tcBorders>
              <w:top w:val="single" w:sz="8" w:space="0" w:color="auto"/>
              <w:left w:val="nil"/>
              <w:bottom w:val="nil"/>
              <w:right w:val="nil"/>
            </w:tcBorders>
          </w:tcPr>
          <w:p w14:paraId="6E64C636" w14:textId="58297F9C" w:rsidR="002B10B5" w:rsidRDefault="002B10B5" w:rsidP="0080477A">
            <w:pPr>
              <w:pStyle w:val="BodyText"/>
              <w:jc w:val="right"/>
              <w:rPr>
                <w:rFonts w:ascii="Arial" w:hAnsi="Arial" w:cs="Arial"/>
                <w:b/>
                <w:i w:val="0"/>
                <w:smallCaps/>
                <w:szCs w:val="24"/>
              </w:rPr>
            </w:pPr>
            <w:r>
              <w:rPr>
                <w:rFonts w:ascii="Arial" w:hAnsi="Arial" w:cs="Arial"/>
                <w:b/>
                <w:i w:val="0"/>
                <w:smallCaps/>
                <w:szCs w:val="24"/>
              </w:rPr>
              <w:t>$</w:t>
            </w:r>
            <w:r w:rsidR="00835F1C">
              <w:t xml:space="preserve"> </w:t>
            </w:r>
            <w:r w:rsidR="00835F1C" w:rsidRPr="00835F1C">
              <w:rPr>
                <w:rFonts w:ascii="Arial" w:hAnsi="Arial" w:cs="Arial"/>
                <w:b/>
                <w:i w:val="0"/>
                <w:smallCaps/>
                <w:szCs w:val="24"/>
              </w:rPr>
              <w:t>$72,261,837</w:t>
            </w:r>
          </w:p>
        </w:tc>
      </w:tr>
    </w:tbl>
    <w:p w14:paraId="5CCFE62D" w14:textId="77777777" w:rsidR="002B10B5" w:rsidRDefault="002B10B5" w:rsidP="00117339">
      <w:pPr>
        <w:pStyle w:val="ListParagraph0"/>
        <w:ind w:left="0"/>
        <w:jc w:val="both"/>
        <w:rPr>
          <w:rFonts w:ascii="Arial" w:hAnsi="Arial" w:cs="Arial"/>
          <w:szCs w:val="20"/>
        </w:rPr>
      </w:pPr>
    </w:p>
    <w:p w14:paraId="17998642" w14:textId="77777777" w:rsidR="003D2C0E" w:rsidRDefault="003D2C0E" w:rsidP="00117339">
      <w:pPr>
        <w:pStyle w:val="ListParagraph0"/>
        <w:ind w:left="0"/>
        <w:jc w:val="both"/>
        <w:rPr>
          <w:rFonts w:ascii="Arial" w:hAnsi="Arial" w:cs="Arial"/>
          <w:szCs w:val="20"/>
        </w:rPr>
      </w:pPr>
    </w:p>
    <w:p w14:paraId="2EBE2AE9" w14:textId="061CBD5F" w:rsidR="005A6CC1" w:rsidRDefault="00117339" w:rsidP="00117339">
      <w:pPr>
        <w:pStyle w:val="ListParagraph0"/>
        <w:ind w:left="0"/>
        <w:jc w:val="both"/>
        <w:rPr>
          <w:rFonts w:ascii="Arial" w:hAnsi="Arial" w:cs="Arial"/>
          <w:szCs w:val="20"/>
        </w:rPr>
      </w:pPr>
      <w:r>
        <w:rPr>
          <w:rFonts w:ascii="Arial" w:hAnsi="Arial" w:cs="Arial"/>
          <w:szCs w:val="20"/>
        </w:rPr>
        <w:t xml:space="preserve">The proposed ordinance would appropriate an additional $11 million </w:t>
      </w:r>
      <w:r w:rsidR="00CD5F36">
        <w:rPr>
          <w:rFonts w:ascii="Arial" w:hAnsi="Arial" w:cs="Arial"/>
          <w:szCs w:val="20"/>
        </w:rPr>
        <w:t xml:space="preserve">to the Conservation Futures Levy capital fund </w:t>
      </w:r>
      <w:r>
        <w:rPr>
          <w:rFonts w:ascii="Arial" w:hAnsi="Arial" w:cs="Arial"/>
          <w:szCs w:val="20"/>
        </w:rPr>
        <w:t>to be used for CFT projects. Together with the $24 million that was appropriated in the 2019-2020 biennial budget, a total of $35 million in bond f</w:t>
      </w:r>
      <w:r w:rsidR="00E965CD">
        <w:rPr>
          <w:rFonts w:ascii="Arial" w:hAnsi="Arial" w:cs="Arial"/>
          <w:szCs w:val="20"/>
        </w:rPr>
        <w:t xml:space="preserve">unding is proposed for CFT projects in 2020. The executive expects $8 million in bond revenue in the current biennium, and the remaining $27 million to be received in the 2021-2022 biennium. </w:t>
      </w:r>
      <w:r w:rsidR="00813A4F">
        <w:rPr>
          <w:rFonts w:ascii="Arial" w:hAnsi="Arial" w:cs="Arial"/>
          <w:szCs w:val="20"/>
        </w:rPr>
        <w:t xml:space="preserve">Although only $8 million will be available in 2020, </w:t>
      </w:r>
      <w:r w:rsidR="005A6CC1">
        <w:rPr>
          <w:rFonts w:ascii="Arial" w:hAnsi="Arial" w:cs="Arial"/>
          <w:szCs w:val="20"/>
        </w:rPr>
        <w:t>the executive</w:t>
      </w:r>
      <w:r w:rsidR="00E965CD">
        <w:rPr>
          <w:rFonts w:ascii="Arial" w:hAnsi="Arial" w:cs="Arial"/>
          <w:szCs w:val="20"/>
        </w:rPr>
        <w:t xml:space="preserve"> expects to distribute $28 million of the funding to projects in the current biennium</w:t>
      </w:r>
      <w:r w:rsidR="005A6CC1">
        <w:rPr>
          <w:rFonts w:ascii="Arial" w:hAnsi="Arial" w:cs="Arial"/>
          <w:szCs w:val="20"/>
        </w:rPr>
        <w:t xml:space="preserve">. </w:t>
      </w:r>
    </w:p>
    <w:p w14:paraId="5080E8F6" w14:textId="77777777" w:rsidR="005A6CC1" w:rsidRDefault="005A6CC1" w:rsidP="00117339">
      <w:pPr>
        <w:pStyle w:val="ListParagraph0"/>
        <w:ind w:left="0"/>
        <w:jc w:val="both"/>
        <w:rPr>
          <w:rFonts w:ascii="Arial" w:hAnsi="Arial" w:cs="Arial"/>
          <w:szCs w:val="20"/>
        </w:rPr>
      </w:pPr>
    </w:p>
    <w:p w14:paraId="7C7607AB" w14:textId="18814630" w:rsidR="00E965CD" w:rsidRDefault="005A6CC1" w:rsidP="00117339">
      <w:pPr>
        <w:pStyle w:val="ListParagraph0"/>
        <w:ind w:left="0"/>
        <w:jc w:val="both"/>
        <w:rPr>
          <w:rFonts w:ascii="Arial" w:hAnsi="Arial" w:cs="Arial"/>
          <w:szCs w:val="20"/>
        </w:rPr>
      </w:pPr>
      <w:r>
        <w:rPr>
          <w:rFonts w:ascii="Arial" w:hAnsi="Arial" w:cs="Arial"/>
          <w:szCs w:val="20"/>
        </w:rPr>
        <w:t>These initial expenditures would be made from conservation futures cash and/or inter-fund loans, which would be reimbursed after the bond is issued. The executive anticipates transmitting a bond ordinance to the Council in early 2020</w:t>
      </w:r>
      <w:r w:rsidR="00EC6FC9">
        <w:rPr>
          <w:rFonts w:ascii="Arial" w:hAnsi="Arial" w:cs="Arial"/>
          <w:szCs w:val="20"/>
        </w:rPr>
        <w:t xml:space="preserve"> for the initial $8 million with the remaining $27 million to be bonded in the next biennium</w:t>
      </w:r>
      <w:r>
        <w:rPr>
          <w:rFonts w:ascii="Arial" w:hAnsi="Arial" w:cs="Arial"/>
          <w:szCs w:val="20"/>
        </w:rPr>
        <w:t>. An official intent reimbursement motion has been approved by the Executive Finance Committee for the initial $24 million, and the executive intends to make an additional reimbursement motion for the $11 million if approved by the Council.</w:t>
      </w:r>
    </w:p>
    <w:p w14:paraId="57113750" w14:textId="77777777" w:rsidR="005A6CC1" w:rsidRDefault="005A6CC1" w:rsidP="00117339">
      <w:pPr>
        <w:pStyle w:val="ListParagraph0"/>
        <w:ind w:left="0"/>
        <w:jc w:val="both"/>
        <w:rPr>
          <w:rFonts w:ascii="Arial" w:hAnsi="Arial" w:cs="Arial"/>
          <w:szCs w:val="20"/>
        </w:rPr>
      </w:pPr>
    </w:p>
    <w:p w14:paraId="4A83CC35" w14:textId="28C94412" w:rsidR="005A6CC1" w:rsidRDefault="005A6CC1" w:rsidP="00117339">
      <w:pPr>
        <w:pStyle w:val="ListParagraph0"/>
        <w:ind w:left="0"/>
        <w:jc w:val="both"/>
        <w:rPr>
          <w:rFonts w:ascii="Arial" w:hAnsi="Arial" w:cs="Arial"/>
          <w:szCs w:val="20"/>
        </w:rPr>
      </w:pPr>
      <w:r>
        <w:rPr>
          <w:rFonts w:ascii="Arial" w:hAnsi="Arial" w:cs="Arial"/>
          <w:szCs w:val="20"/>
        </w:rPr>
        <w:t xml:space="preserve">While the preamble of the appropriation ordinance </w:t>
      </w:r>
      <w:r w:rsidR="002B10B5">
        <w:rPr>
          <w:rFonts w:ascii="Arial" w:hAnsi="Arial" w:cs="Arial"/>
          <w:szCs w:val="20"/>
        </w:rPr>
        <w:t>states "</w:t>
      </w:r>
      <w:r w:rsidR="002B10B5" w:rsidRPr="002B10B5">
        <w:rPr>
          <w:rFonts w:ascii="Arial" w:hAnsi="Arial" w:cs="Arial"/>
          <w:szCs w:val="20"/>
        </w:rPr>
        <w:t>This ordinance allocates the King County conservation futures tax levy appropriation to subprojects within the bond project as recommended by the committee report</w:t>
      </w:r>
      <w:r w:rsidR="002B10B5">
        <w:rPr>
          <w:rFonts w:ascii="Arial" w:hAnsi="Arial" w:cs="Arial"/>
          <w:szCs w:val="20"/>
        </w:rPr>
        <w:t xml:space="preserve">," this does not bind the funding to those specific projects. </w:t>
      </w:r>
      <w:r w:rsidR="00D7287E">
        <w:rPr>
          <w:rFonts w:ascii="Arial" w:hAnsi="Arial" w:cs="Arial"/>
          <w:szCs w:val="20"/>
        </w:rPr>
        <w:t>T</w:t>
      </w:r>
      <w:r w:rsidR="002B10B5">
        <w:rPr>
          <w:rFonts w:ascii="Arial" w:hAnsi="Arial" w:cs="Arial"/>
          <w:szCs w:val="20"/>
        </w:rPr>
        <w:t>able</w:t>
      </w:r>
      <w:r w:rsidR="00D7287E">
        <w:rPr>
          <w:rFonts w:ascii="Arial" w:hAnsi="Arial" w:cs="Arial"/>
          <w:szCs w:val="20"/>
        </w:rPr>
        <w:t xml:space="preserve"> 1</w:t>
      </w:r>
      <w:r w:rsidR="002B10B5">
        <w:rPr>
          <w:rFonts w:ascii="Arial" w:hAnsi="Arial" w:cs="Arial"/>
          <w:szCs w:val="20"/>
        </w:rPr>
        <w:t xml:space="preserve"> below shows the projects proposed by the Advisory Committee to be funded with the $11 million, as well as the projects proposed to be funded with the already appropriated $24 million.</w:t>
      </w:r>
      <w:r>
        <w:rPr>
          <w:rFonts w:ascii="Arial" w:hAnsi="Arial" w:cs="Arial"/>
          <w:szCs w:val="20"/>
        </w:rPr>
        <w:t xml:space="preserve"> </w:t>
      </w:r>
    </w:p>
    <w:p w14:paraId="3D3DE66B" w14:textId="77777777" w:rsidR="00E965CD" w:rsidRDefault="00E965CD" w:rsidP="00117339">
      <w:pPr>
        <w:pStyle w:val="ListParagraph0"/>
        <w:ind w:left="0"/>
        <w:jc w:val="both"/>
        <w:rPr>
          <w:rFonts w:ascii="Arial" w:hAnsi="Arial" w:cs="Arial"/>
          <w:szCs w:val="20"/>
        </w:rPr>
      </w:pPr>
    </w:p>
    <w:p w14:paraId="0ABD768F" w14:textId="77777777" w:rsidR="002B10B5" w:rsidRDefault="00AF73F8" w:rsidP="002B10B5">
      <w:pPr>
        <w:pStyle w:val="ListParagraph0"/>
        <w:ind w:left="0"/>
        <w:jc w:val="center"/>
        <w:rPr>
          <w:rFonts w:ascii="Arial" w:hAnsi="Arial" w:cs="Arial"/>
          <w:szCs w:val="20"/>
        </w:rPr>
      </w:pPr>
      <w:r w:rsidRPr="00AF73F8">
        <w:rPr>
          <w:rFonts w:ascii="Arial" w:hAnsi="Arial" w:cs="Arial"/>
          <w:b/>
          <w:szCs w:val="20"/>
        </w:rPr>
        <w:t>Table 1.</w:t>
      </w:r>
      <w:r>
        <w:rPr>
          <w:rFonts w:ascii="Arial" w:hAnsi="Arial" w:cs="Arial"/>
          <w:szCs w:val="20"/>
        </w:rPr>
        <w:t xml:space="preserve"> </w:t>
      </w:r>
      <w:r w:rsidR="002B10B5" w:rsidRPr="00AF73F8">
        <w:rPr>
          <w:rFonts w:ascii="Arial" w:hAnsi="Arial" w:cs="Arial"/>
          <w:szCs w:val="20"/>
        </w:rPr>
        <w:t>CFT Advisory Committee Recommendations for Bond-Backed Funding, 2020</w:t>
      </w:r>
    </w:p>
    <w:p w14:paraId="2179FDB4" w14:textId="77777777" w:rsidR="00264BE1" w:rsidRDefault="00264BE1" w:rsidP="005B478C">
      <w:pPr>
        <w:pStyle w:val="BodyText"/>
        <w:jc w:val="both"/>
        <w:rPr>
          <w:rFonts w:ascii="Arial" w:hAnsi="Arial" w:cs="Arial"/>
          <w:b/>
          <w:i w:val="0"/>
          <w:smallCap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40"/>
        <w:gridCol w:w="1620"/>
        <w:gridCol w:w="1710"/>
        <w:gridCol w:w="1710"/>
        <w:gridCol w:w="1368"/>
      </w:tblGrid>
      <w:tr w:rsidR="00AF73F8" w:rsidRPr="00D41837" w14:paraId="41759225" w14:textId="77777777" w:rsidTr="00524489">
        <w:trPr>
          <w:cantSplit/>
          <w:trHeight w:val="368"/>
          <w:tblHeader/>
        </w:trPr>
        <w:tc>
          <w:tcPr>
            <w:tcW w:w="1836" w:type="dxa"/>
            <w:shd w:val="clear" w:color="auto" w:fill="000000" w:themeFill="text1"/>
          </w:tcPr>
          <w:p w14:paraId="6006AD3E" w14:textId="77777777" w:rsidR="005A6CC1" w:rsidRPr="008909DF" w:rsidRDefault="005A6CC1" w:rsidP="00524489">
            <w:pPr>
              <w:autoSpaceDE w:val="0"/>
              <w:autoSpaceDN w:val="0"/>
              <w:adjustRightInd w:val="0"/>
              <w:jc w:val="center"/>
              <w:rPr>
                <w:rFonts w:ascii="Arial" w:hAnsi="Arial" w:cs="Arial"/>
                <w:color w:val="FFFFFF" w:themeColor="background1"/>
                <w:sz w:val="20"/>
              </w:rPr>
            </w:pPr>
            <w:r w:rsidRPr="008909DF">
              <w:rPr>
                <w:rFonts w:ascii="Arial" w:hAnsi="Arial" w:cs="Arial"/>
                <w:b/>
                <w:bCs/>
                <w:color w:val="FFFFFF" w:themeColor="background1"/>
                <w:sz w:val="20"/>
              </w:rPr>
              <w:t>General Location</w:t>
            </w:r>
          </w:p>
          <w:p w14:paraId="7B310EF8" w14:textId="77777777" w:rsidR="005A6CC1" w:rsidRPr="008909DF" w:rsidRDefault="005A6CC1" w:rsidP="00524489">
            <w:pPr>
              <w:autoSpaceDE w:val="0"/>
              <w:autoSpaceDN w:val="0"/>
              <w:adjustRightInd w:val="0"/>
              <w:jc w:val="center"/>
              <w:rPr>
                <w:rFonts w:ascii="Arial" w:hAnsi="Arial" w:cs="Arial"/>
                <w:color w:val="FFFFFF" w:themeColor="background1"/>
                <w:sz w:val="20"/>
              </w:rPr>
            </w:pPr>
          </w:p>
        </w:tc>
        <w:tc>
          <w:tcPr>
            <w:tcW w:w="1440" w:type="dxa"/>
            <w:shd w:val="clear" w:color="auto" w:fill="000000" w:themeFill="text1"/>
          </w:tcPr>
          <w:p w14:paraId="24182C11" w14:textId="77777777" w:rsidR="005A6CC1" w:rsidRPr="008909DF" w:rsidRDefault="005A6CC1" w:rsidP="00524489">
            <w:pPr>
              <w:autoSpaceDE w:val="0"/>
              <w:autoSpaceDN w:val="0"/>
              <w:adjustRightInd w:val="0"/>
              <w:jc w:val="center"/>
              <w:rPr>
                <w:rFonts w:ascii="Arial" w:hAnsi="Arial" w:cs="Arial"/>
                <w:color w:val="FFFFFF" w:themeColor="background1"/>
                <w:sz w:val="20"/>
              </w:rPr>
            </w:pPr>
            <w:r w:rsidRPr="008909DF">
              <w:rPr>
                <w:rFonts w:ascii="Arial" w:hAnsi="Arial" w:cs="Arial"/>
                <w:b/>
                <w:bCs/>
                <w:color w:val="FFFFFF" w:themeColor="background1"/>
                <w:sz w:val="20"/>
              </w:rPr>
              <w:t>Agency/ Location</w:t>
            </w:r>
          </w:p>
        </w:tc>
        <w:tc>
          <w:tcPr>
            <w:tcW w:w="1620" w:type="dxa"/>
            <w:shd w:val="clear" w:color="auto" w:fill="000000" w:themeFill="text1"/>
          </w:tcPr>
          <w:p w14:paraId="4E5F5846" w14:textId="77777777" w:rsidR="005A6CC1" w:rsidRPr="008909DF" w:rsidRDefault="005A6CC1" w:rsidP="00524489">
            <w:pPr>
              <w:autoSpaceDE w:val="0"/>
              <w:autoSpaceDN w:val="0"/>
              <w:adjustRightInd w:val="0"/>
              <w:jc w:val="center"/>
              <w:rPr>
                <w:rFonts w:ascii="Arial" w:hAnsi="Arial" w:cs="Arial"/>
                <w:color w:val="FFFFFF" w:themeColor="background1"/>
                <w:sz w:val="20"/>
              </w:rPr>
            </w:pPr>
            <w:r w:rsidRPr="008909DF">
              <w:rPr>
                <w:rFonts w:ascii="Arial" w:hAnsi="Arial" w:cs="Arial"/>
                <w:b/>
                <w:bCs/>
                <w:color w:val="FFFFFF" w:themeColor="background1"/>
                <w:sz w:val="20"/>
              </w:rPr>
              <w:t>Project Name</w:t>
            </w:r>
          </w:p>
        </w:tc>
        <w:tc>
          <w:tcPr>
            <w:tcW w:w="1710" w:type="dxa"/>
            <w:shd w:val="clear" w:color="auto" w:fill="000000" w:themeFill="text1"/>
          </w:tcPr>
          <w:p w14:paraId="3ACA55F0" w14:textId="77777777" w:rsidR="005A6CC1" w:rsidRPr="008909DF" w:rsidRDefault="005A6CC1" w:rsidP="00524489">
            <w:pPr>
              <w:autoSpaceDE w:val="0"/>
              <w:autoSpaceDN w:val="0"/>
              <w:adjustRightInd w:val="0"/>
              <w:jc w:val="center"/>
              <w:rPr>
                <w:rFonts w:ascii="Arial" w:hAnsi="Arial" w:cs="Arial"/>
                <w:color w:val="FFFFFF" w:themeColor="background1"/>
                <w:sz w:val="20"/>
              </w:rPr>
            </w:pPr>
            <w:r w:rsidRPr="008909DF">
              <w:rPr>
                <w:rFonts w:ascii="Arial" w:hAnsi="Arial" w:cs="Arial"/>
                <w:b/>
                <w:bCs/>
                <w:color w:val="FFFFFF" w:themeColor="background1"/>
                <w:sz w:val="20"/>
              </w:rPr>
              <w:t>Recommended for $24M Bond Funding</w:t>
            </w:r>
          </w:p>
        </w:tc>
        <w:tc>
          <w:tcPr>
            <w:tcW w:w="1710" w:type="dxa"/>
            <w:shd w:val="clear" w:color="auto" w:fill="000000" w:themeFill="text1"/>
          </w:tcPr>
          <w:p w14:paraId="7F4FB03A" w14:textId="77777777" w:rsidR="005A6CC1" w:rsidRPr="008909DF" w:rsidRDefault="005A6CC1" w:rsidP="00524489">
            <w:pPr>
              <w:autoSpaceDE w:val="0"/>
              <w:autoSpaceDN w:val="0"/>
              <w:adjustRightInd w:val="0"/>
              <w:jc w:val="center"/>
              <w:rPr>
                <w:rFonts w:ascii="Arial" w:hAnsi="Arial" w:cs="Arial"/>
                <w:color w:val="FFFFFF" w:themeColor="background1"/>
                <w:sz w:val="20"/>
              </w:rPr>
            </w:pPr>
            <w:r w:rsidRPr="008909DF">
              <w:rPr>
                <w:rFonts w:ascii="Arial" w:hAnsi="Arial" w:cs="Arial"/>
                <w:b/>
                <w:bCs/>
                <w:color w:val="FFFFFF" w:themeColor="background1"/>
                <w:sz w:val="20"/>
              </w:rPr>
              <w:t>Recommended for Additional $11M Bond Funding</w:t>
            </w:r>
          </w:p>
        </w:tc>
        <w:tc>
          <w:tcPr>
            <w:tcW w:w="1368" w:type="dxa"/>
            <w:shd w:val="clear" w:color="auto" w:fill="000000" w:themeFill="text1"/>
          </w:tcPr>
          <w:p w14:paraId="2F288B52" w14:textId="77777777" w:rsidR="005A6CC1" w:rsidRPr="008909DF" w:rsidRDefault="005A6CC1" w:rsidP="00524489">
            <w:pPr>
              <w:autoSpaceDE w:val="0"/>
              <w:autoSpaceDN w:val="0"/>
              <w:adjustRightInd w:val="0"/>
              <w:jc w:val="center"/>
              <w:rPr>
                <w:rFonts w:ascii="Arial" w:hAnsi="Arial" w:cs="Arial"/>
                <w:color w:val="FFFFFF" w:themeColor="background1"/>
                <w:sz w:val="20"/>
              </w:rPr>
            </w:pPr>
            <w:r w:rsidRPr="008909DF">
              <w:rPr>
                <w:rFonts w:ascii="Arial" w:hAnsi="Arial" w:cs="Arial"/>
                <w:b/>
                <w:bCs/>
                <w:color w:val="FFFFFF" w:themeColor="background1"/>
                <w:sz w:val="20"/>
              </w:rPr>
              <w:t>Total</w:t>
            </w:r>
          </w:p>
        </w:tc>
      </w:tr>
      <w:tr w:rsidR="00AF73F8" w:rsidRPr="00D41837" w14:paraId="1DD35846" w14:textId="77777777" w:rsidTr="00524489">
        <w:trPr>
          <w:cantSplit/>
          <w:trHeight w:val="138"/>
        </w:trPr>
        <w:tc>
          <w:tcPr>
            <w:tcW w:w="1836" w:type="dxa"/>
            <w:vAlign w:val="bottom"/>
          </w:tcPr>
          <w:p w14:paraId="5674689C"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Cities </w:t>
            </w:r>
          </w:p>
        </w:tc>
        <w:tc>
          <w:tcPr>
            <w:tcW w:w="1440" w:type="dxa"/>
            <w:vAlign w:val="bottom"/>
          </w:tcPr>
          <w:p w14:paraId="4ADE1A56"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Des Moines </w:t>
            </w:r>
          </w:p>
        </w:tc>
        <w:tc>
          <w:tcPr>
            <w:tcW w:w="1620" w:type="dxa"/>
            <w:vAlign w:val="bottom"/>
          </w:tcPr>
          <w:p w14:paraId="45A54423"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Midway Park Expansion </w:t>
            </w:r>
          </w:p>
        </w:tc>
        <w:tc>
          <w:tcPr>
            <w:tcW w:w="1710" w:type="dxa"/>
            <w:vAlign w:val="bottom"/>
          </w:tcPr>
          <w:p w14:paraId="7033C5F5"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$675,900 </w:t>
            </w:r>
          </w:p>
        </w:tc>
        <w:tc>
          <w:tcPr>
            <w:tcW w:w="1710" w:type="dxa"/>
            <w:vAlign w:val="bottom"/>
          </w:tcPr>
          <w:p w14:paraId="0D3E40A4"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vAlign w:val="bottom"/>
          </w:tcPr>
          <w:p w14:paraId="28429824"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$675,900 </w:t>
            </w:r>
          </w:p>
        </w:tc>
      </w:tr>
      <w:tr w:rsidR="00AF73F8" w:rsidRPr="00D41837" w14:paraId="22857768" w14:textId="77777777" w:rsidTr="00524489">
        <w:trPr>
          <w:cantSplit/>
          <w:trHeight w:val="138"/>
        </w:trPr>
        <w:tc>
          <w:tcPr>
            <w:tcW w:w="1836" w:type="dxa"/>
            <w:vAlign w:val="bottom"/>
          </w:tcPr>
          <w:p w14:paraId="4FEE3BF0"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Cities </w:t>
            </w:r>
          </w:p>
        </w:tc>
        <w:tc>
          <w:tcPr>
            <w:tcW w:w="1440" w:type="dxa"/>
            <w:vAlign w:val="bottom"/>
          </w:tcPr>
          <w:p w14:paraId="017E3D1C"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Issaquah </w:t>
            </w:r>
          </w:p>
        </w:tc>
        <w:tc>
          <w:tcPr>
            <w:tcW w:w="1620" w:type="dxa"/>
            <w:vAlign w:val="bottom"/>
          </w:tcPr>
          <w:p w14:paraId="62FB0342"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Bergsma Acquisition </w:t>
            </w:r>
          </w:p>
        </w:tc>
        <w:tc>
          <w:tcPr>
            <w:tcW w:w="1710" w:type="dxa"/>
            <w:vAlign w:val="bottom"/>
          </w:tcPr>
          <w:p w14:paraId="52B8DBA2"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$3,000,000 </w:t>
            </w:r>
          </w:p>
        </w:tc>
        <w:tc>
          <w:tcPr>
            <w:tcW w:w="1710" w:type="dxa"/>
            <w:vAlign w:val="bottom"/>
          </w:tcPr>
          <w:p w14:paraId="18CEC74C"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$2,322,282 </w:t>
            </w:r>
          </w:p>
        </w:tc>
        <w:tc>
          <w:tcPr>
            <w:tcW w:w="1368" w:type="dxa"/>
            <w:vAlign w:val="bottom"/>
          </w:tcPr>
          <w:p w14:paraId="4FC0623C"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$5,322,282 </w:t>
            </w:r>
          </w:p>
        </w:tc>
      </w:tr>
      <w:tr w:rsidR="00AF73F8" w:rsidRPr="00D41837" w14:paraId="6A6C7E97" w14:textId="77777777" w:rsidTr="00524489">
        <w:trPr>
          <w:cantSplit/>
          <w:trHeight w:val="138"/>
        </w:trPr>
        <w:tc>
          <w:tcPr>
            <w:tcW w:w="1836" w:type="dxa"/>
            <w:vAlign w:val="bottom"/>
          </w:tcPr>
          <w:p w14:paraId="7542A1E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lastRenderedPageBreak/>
              <w:t xml:space="preserve">In Cities </w:t>
            </w:r>
          </w:p>
        </w:tc>
        <w:tc>
          <w:tcPr>
            <w:tcW w:w="1440" w:type="dxa"/>
            <w:vAlign w:val="bottom"/>
          </w:tcPr>
          <w:p w14:paraId="184AF670"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Kent </w:t>
            </w:r>
          </w:p>
        </w:tc>
        <w:tc>
          <w:tcPr>
            <w:tcW w:w="1620" w:type="dxa"/>
            <w:vAlign w:val="bottom"/>
          </w:tcPr>
          <w:p w14:paraId="0EDCEB8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Upper Mill Creek Canyon Expansion </w:t>
            </w:r>
          </w:p>
        </w:tc>
        <w:tc>
          <w:tcPr>
            <w:tcW w:w="1710" w:type="dxa"/>
            <w:vAlign w:val="bottom"/>
          </w:tcPr>
          <w:p w14:paraId="4C4530E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$325,000 </w:t>
            </w:r>
          </w:p>
        </w:tc>
        <w:tc>
          <w:tcPr>
            <w:tcW w:w="1710" w:type="dxa"/>
            <w:vAlign w:val="bottom"/>
          </w:tcPr>
          <w:p w14:paraId="1572D07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vAlign w:val="bottom"/>
          </w:tcPr>
          <w:p w14:paraId="70B4FD76"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$325,000 </w:t>
            </w:r>
          </w:p>
        </w:tc>
      </w:tr>
      <w:tr w:rsidR="00AF73F8" w:rsidRPr="00D41837" w14:paraId="3E9C0547" w14:textId="77777777" w:rsidTr="00524489">
        <w:trPr>
          <w:cantSplit/>
          <w:trHeight w:val="138"/>
        </w:trPr>
        <w:tc>
          <w:tcPr>
            <w:tcW w:w="1836" w:type="dxa"/>
            <w:vAlign w:val="bottom"/>
          </w:tcPr>
          <w:p w14:paraId="5F416841"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Cities </w:t>
            </w:r>
          </w:p>
        </w:tc>
        <w:tc>
          <w:tcPr>
            <w:tcW w:w="1440" w:type="dxa"/>
            <w:vAlign w:val="bottom"/>
          </w:tcPr>
          <w:p w14:paraId="6B497A0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Normandy Park </w:t>
            </w:r>
          </w:p>
        </w:tc>
        <w:tc>
          <w:tcPr>
            <w:tcW w:w="1620" w:type="dxa"/>
            <w:vAlign w:val="bottom"/>
          </w:tcPr>
          <w:p w14:paraId="7CDC28E6"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Beaconsfield Nearshore </w:t>
            </w:r>
          </w:p>
        </w:tc>
        <w:tc>
          <w:tcPr>
            <w:tcW w:w="1710" w:type="dxa"/>
            <w:vAlign w:val="bottom"/>
          </w:tcPr>
          <w:p w14:paraId="2519FA37"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$42,500 </w:t>
            </w:r>
          </w:p>
        </w:tc>
        <w:tc>
          <w:tcPr>
            <w:tcW w:w="1710" w:type="dxa"/>
            <w:vAlign w:val="bottom"/>
          </w:tcPr>
          <w:p w14:paraId="70A0D0CA"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vAlign w:val="bottom"/>
          </w:tcPr>
          <w:p w14:paraId="6476DA27"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$42,500 </w:t>
            </w:r>
          </w:p>
        </w:tc>
      </w:tr>
      <w:tr w:rsidR="00AF73F8" w:rsidRPr="00D41837" w14:paraId="1216E7E2" w14:textId="77777777" w:rsidTr="00524489">
        <w:trPr>
          <w:cantSplit/>
          <w:trHeight w:val="138"/>
        </w:trPr>
        <w:tc>
          <w:tcPr>
            <w:tcW w:w="1836" w:type="dxa"/>
            <w:vAlign w:val="bottom"/>
          </w:tcPr>
          <w:p w14:paraId="028338FB"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Cities </w:t>
            </w:r>
          </w:p>
        </w:tc>
        <w:tc>
          <w:tcPr>
            <w:tcW w:w="1440" w:type="dxa"/>
            <w:vAlign w:val="bottom"/>
          </w:tcPr>
          <w:p w14:paraId="7F2DB3E5"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Sammamish </w:t>
            </w:r>
          </w:p>
        </w:tc>
        <w:tc>
          <w:tcPr>
            <w:tcW w:w="1620" w:type="dxa"/>
            <w:vAlign w:val="bottom"/>
          </w:tcPr>
          <w:p w14:paraId="175B59AC"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Beaton Hill Park </w:t>
            </w:r>
          </w:p>
        </w:tc>
        <w:tc>
          <w:tcPr>
            <w:tcW w:w="1710" w:type="dxa"/>
            <w:vAlign w:val="bottom"/>
          </w:tcPr>
          <w:p w14:paraId="268BE13F"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$1,367,800 </w:t>
            </w:r>
          </w:p>
        </w:tc>
        <w:tc>
          <w:tcPr>
            <w:tcW w:w="1710" w:type="dxa"/>
            <w:vAlign w:val="bottom"/>
          </w:tcPr>
          <w:p w14:paraId="5F4CE57B"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vAlign w:val="bottom"/>
          </w:tcPr>
          <w:p w14:paraId="240C9759"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$1,367,800 </w:t>
            </w:r>
          </w:p>
        </w:tc>
      </w:tr>
      <w:tr w:rsidR="00AF73F8" w:rsidRPr="00D41837" w14:paraId="7A6F853B" w14:textId="77777777" w:rsidTr="00524489">
        <w:trPr>
          <w:cantSplit/>
          <w:trHeight w:val="138"/>
        </w:trPr>
        <w:tc>
          <w:tcPr>
            <w:tcW w:w="1836" w:type="dxa"/>
            <w:vAlign w:val="bottom"/>
          </w:tcPr>
          <w:p w14:paraId="13CA8592"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Cities </w:t>
            </w:r>
          </w:p>
        </w:tc>
        <w:tc>
          <w:tcPr>
            <w:tcW w:w="1440" w:type="dxa"/>
            <w:vAlign w:val="bottom"/>
          </w:tcPr>
          <w:p w14:paraId="5B72FBEB"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Sammamish </w:t>
            </w:r>
          </w:p>
        </w:tc>
        <w:tc>
          <w:tcPr>
            <w:tcW w:w="1620" w:type="dxa"/>
            <w:vAlign w:val="bottom"/>
          </w:tcPr>
          <w:p w14:paraId="653743F4"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George Davis Creek Fish Passage </w:t>
            </w:r>
          </w:p>
        </w:tc>
        <w:tc>
          <w:tcPr>
            <w:tcW w:w="1710" w:type="dxa"/>
            <w:vAlign w:val="bottom"/>
          </w:tcPr>
          <w:p w14:paraId="1436E2D3"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$2,000,000 </w:t>
            </w:r>
          </w:p>
        </w:tc>
        <w:tc>
          <w:tcPr>
            <w:tcW w:w="1710" w:type="dxa"/>
            <w:vAlign w:val="bottom"/>
          </w:tcPr>
          <w:p w14:paraId="18A883CF"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vAlign w:val="bottom"/>
          </w:tcPr>
          <w:p w14:paraId="13D556CC"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$2,000,000 </w:t>
            </w:r>
          </w:p>
        </w:tc>
      </w:tr>
      <w:tr w:rsidR="00AF73F8" w:rsidRPr="00D41837" w14:paraId="130A1F06" w14:textId="77777777" w:rsidTr="00524489">
        <w:trPr>
          <w:cantSplit/>
          <w:trHeight w:val="138"/>
        </w:trPr>
        <w:tc>
          <w:tcPr>
            <w:tcW w:w="1836" w:type="dxa"/>
            <w:vAlign w:val="bottom"/>
          </w:tcPr>
          <w:p w14:paraId="23572052"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Cities </w:t>
            </w:r>
          </w:p>
        </w:tc>
        <w:tc>
          <w:tcPr>
            <w:tcW w:w="1440" w:type="dxa"/>
            <w:vAlign w:val="bottom"/>
          </w:tcPr>
          <w:p w14:paraId="607FB53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SeaTac </w:t>
            </w:r>
          </w:p>
        </w:tc>
        <w:tc>
          <w:tcPr>
            <w:tcW w:w="1620" w:type="dxa"/>
            <w:vAlign w:val="bottom"/>
          </w:tcPr>
          <w:p w14:paraId="1E58E1FE"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Des Moines Creek Park </w:t>
            </w:r>
          </w:p>
        </w:tc>
        <w:tc>
          <w:tcPr>
            <w:tcW w:w="1710" w:type="dxa"/>
            <w:vAlign w:val="bottom"/>
          </w:tcPr>
          <w:p w14:paraId="52E29847"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$1,100,000 </w:t>
            </w:r>
          </w:p>
        </w:tc>
        <w:tc>
          <w:tcPr>
            <w:tcW w:w="1710" w:type="dxa"/>
            <w:vAlign w:val="bottom"/>
          </w:tcPr>
          <w:p w14:paraId="59F8AED0"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vAlign w:val="bottom"/>
          </w:tcPr>
          <w:p w14:paraId="3457454B"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$1,100,000 </w:t>
            </w:r>
          </w:p>
        </w:tc>
      </w:tr>
      <w:tr w:rsidR="00AF73F8" w:rsidRPr="00D41837" w14:paraId="2607D5B8" w14:textId="77777777" w:rsidTr="00524489">
        <w:trPr>
          <w:cantSplit/>
          <w:trHeight w:val="138"/>
        </w:trPr>
        <w:tc>
          <w:tcPr>
            <w:tcW w:w="1836" w:type="dxa"/>
            <w:vAlign w:val="bottom"/>
          </w:tcPr>
          <w:p w14:paraId="0654D551"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Cities </w:t>
            </w:r>
          </w:p>
        </w:tc>
        <w:tc>
          <w:tcPr>
            <w:tcW w:w="1440" w:type="dxa"/>
            <w:vAlign w:val="bottom"/>
          </w:tcPr>
          <w:p w14:paraId="7F883760"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Seattle </w:t>
            </w:r>
          </w:p>
        </w:tc>
        <w:tc>
          <w:tcPr>
            <w:tcW w:w="1620" w:type="dxa"/>
            <w:vAlign w:val="bottom"/>
          </w:tcPr>
          <w:p w14:paraId="27C14B7F"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Thornton Creek: North Branch </w:t>
            </w:r>
          </w:p>
        </w:tc>
        <w:tc>
          <w:tcPr>
            <w:tcW w:w="1710" w:type="dxa"/>
            <w:vAlign w:val="bottom"/>
          </w:tcPr>
          <w:p w14:paraId="3D7A1716"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$600,000 </w:t>
            </w:r>
          </w:p>
        </w:tc>
        <w:tc>
          <w:tcPr>
            <w:tcW w:w="1710" w:type="dxa"/>
            <w:vAlign w:val="bottom"/>
          </w:tcPr>
          <w:p w14:paraId="0FD47991"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vAlign w:val="bottom"/>
          </w:tcPr>
          <w:p w14:paraId="65486998"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$600,000 </w:t>
            </w:r>
          </w:p>
        </w:tc>
      </w:tr>
      <w:tr w:rsidR="00AF73F8" w:rsidRPr="00D41837" w14:paraId="14FE3A91" w14:textId="77777777" w:rsidTr="00524489">
        <w:trPr>
          <w:cantSplit/>
          <w:trHeight w:val="138"/>
        </w:trPr>
        <w:tc>
          <w:tcPr>
            <w:tcW w:w="1836" w:type="dxa"/>
            <w:vAlign w:val="bottom"/>
          </w:tcPr>
          <w:p w14:paraId="159EC418"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Cities </w:t>
            </w:r>
          </w:p>
        </w:tc>
        <w:tc>
          <w:tcPr>
            <w:tcW w:w="1440" w:type="dxa"/>
            <w:vAlign w:val="bottom"/>
          </w:tcPr>
          <w:p w14:paraId="06D594CE"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Shoreline </w:t>
            </w:r>
          </w:p>
        </w:tc>
        <w:tc>
          <w:tcPr>
            <w:tcW w:w="1620" w:type="dxa"/>
            <w:vAlign w:val="bottom"/>
          </w:tcPr>
          <w:p w14:paraId="4ABA4C45"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185th Street Open Space Acquisition </w:t>
            </w:r>
          </w:p>
        </w:tc>
        <w:tc>
          <w:tcPr>
            <w:tcW w:w="1710" w:type="dxa"/>
            <w:vAlign w:val="bottom"/>
          </w:tcPr>
          <w:p w14:paraId="680CDE10"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$1,076,900 </w:t>
            </w:r>
          </w:p>
        </w:tc>
        <w:tc>
          <w:tcPr>
            <w:tcW w:w="1710" w:type="dxa"/>
            <w:vAlign w:val="bottom"/>
          </w:tcPr>
          <w:p w14:paraId="50AFF456"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vAlign w:val="bottom"/>
          </w:tcPr>
          <w:p w14:paraId="093D6FFF"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$1,076,900 </w:t>
            </w:r>
          </w:p>
        </w:tc>
      </w:tr>
      <w:tr w:rsidR="00AF73F8" w:rsidRPr="00D41837" w14:paraId="49B303C5" w14:textId="77777777" w:rsidTr="00524489">
        <w:trPr>
          <w:cantSplit/>
          <w:trHeight w:val="138"/>
        </w:trPr>
        <w:tc>
          <w:tcPr>
            <w:tcW w:w="1836" w:type="dxa"/>
            <w:vAlign w:val="bottom"/>
          </w:tcPr>
          <w:p w14:paraId="7819979A"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Cities </w:t>
            </w:r>
          </w:p>
        </w:tc>
        <w:tc>
          <w:tcPr>
            <w:tcW w:w="1440" w:type="dxa"/>
            <w:vAlign w:val="bottom"/>
          </w:tcPr>
          <w:p w14:paraId="08D9E15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Shoreline </w:t>
            </w:r>
          </w:p>
        </w:tc>
        <w:tc>
          <w:tcPr>
            <w:tcW w:w="1620" w:type="dxa"/>
            <w:vAlign w:val="bottom"/>
          </w:tcPr>
          <w:p w14:paraId="29A76E59"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Paramount Park Open Space Acquisition III </w:t>
            </w:r>
          </w:p>
        </w:tc>
        <w:tc>
          <w:tcPr>
            <w:tcW w:w="1710" w:type="dxa"/>
            <w:vAlign w:val="bottom"/>
          </w:tcPr>
          <w:p w14:paraId="174123B4"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710" w:type="dxa"/>
            <w:vAlign w:val="bottom"/>
          </w:tcPr>
          <w:p w14:paraId="39035BE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$297,800 </w:t>
            </w:r>
          </w:p>
        </w:tc>
        <w:tc>
          <w:tcPr>
            <w:tcW w:w="1368" w:type="dxa"/>
            <w:vAlign w:val="bottom"/>
          </w:tcPr>
          <w:p w14:paraId="50EA5B07"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$297,800 </w:t>
            </w:r>
          </w:p>
        </w:tc>
      </w:tr>
      <w:tr w:rsidR="00AF73F8" w:rsidRPr="00D41837" w14:paraId="54BA150C" w14:textId="77777777" w:rsidTr="00524489">
        <w:trPr>
          <w:cantSplit/>
          <w:trHeight w:val="138"/>
        </w:trPr>
        <w:tc>
          <w:tcPr>
            <w:tcW w:w="1836" w:type="dxa"/>
            <w:vAlign w:val="bottom"/>
          </w:tcPr>
          <w:p w14:paraId="73A46971"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Cities </w:t>
            </w:r>
          </w:p>
        </w:tc>
        <w:tc>
          <w:tcPr>
            <w:tcW w:w="1440" w:type="dxa"/>
            <w:vAlign w:val="bottom"/>
          </w:tcPr>
          <w:p w14:paraId="056DFBD5"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Tukwila </w:t>
            </w:r>
          </w:p>
        </w:tc>
        <w:tc>
          <w:tcPr>
            <w:tcW w:w="1620" w:type="dxa"/>
            <w:vAlign w:val="bottom"/>
          </w:tcPr>
          <w:p w14:paraId="6762BD85"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Duwamish River Habitat Corridor </w:t>
            </w:r>
          </w:p>
        </w:tc>
        <w:tc>
          <w:tcPr>
            <w:tcW w:w="1710" w:type="dxa"/>
            <w:vAlign w:val="bottom"/>
          </w:tcPr>
          <w:p w14:paraId="520D786C"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$335,000 </w:t>
            </w:r>
          </w:p>
        </w:tc>
        <w:tc>
          <w:tcPr>
            <w:tcW w:w="1710" w:type="dxa"/>
            <w:vAlign w:val="bottom"/>
          </w:tcPr>
          <w:p w14:paraId="69D1B0A8"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vAlign w:val="bottom"/>
          </w:tcPr>
          <w:p w14:paraId="2C730CA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$335,000 </w:t>
            </w:r>
          </w:p>
        </w:tc>
      </w:tr>
      <w:tr w:rsidR="00AF73F8" w:rsidRPr="00D41837" w14:paraId="5D489416" w14:textId="77777777" w:rsidTr="00524489">
        <w:trPr>
          <w:cantSplit/>
          <w:trHeight w:val="138"/>
        </w:trPr>
        <w:tc>
          <w:tcPr>
            <w:tcW w:w="1836" w:type="dxa"/>
            <w:vAlign w:val="bottom"/>
          </w:tcPr>
          <w:p w14:paraId="01C66327"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vAlign w:val="bottom"/>
          </w:tcPr>
          <w:p w14:paraId="32D670F6"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Forterra (Sky.) </w:t>
            </w:r>
          </w:p>
        </w:tc>
        <w:tc>
          <w:tcPr>
            <w:tcW w:w="1620" w:type="dxa"/>
            <w:vAlign w:val="bottom"/>
          </w:tcPr>
          <w:p w14:paraId="67B86422"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Windy Ridge </w:t>
            </w:r>
          </w:p>
        </w:tc>
        <w:tc>
          <w:tcPr>
            <w:tcW w:w="1710" w:type="dxa"/>
            <w:vAlign w:val="bottom"/>
          </w:tcPr>
          <w:p w14:paraId="27E66A3C"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710" w:type="dxa"/>
            <w:vAlign w:val="bottom"/>
          </w:tcPr>
          <w:p w14:paraId="4D863944"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$175,000 </w:t>
            </w:r>
          </w:p>
        </w:tc>
        <w:tc>
          <w:tcPr>
            <w:tcW w:w="1368" w:type="dxa"/>
            <w:vAlign w:val="bottom"/>
          </w:tcPr>
          <w:p w14:paraId="314FCBC2"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$175,000 </w:t>
            </w:r>
          </w:p>
        </w:tc>
      </w:tr>
      <w:tr w:rsidR="00AF73F8" w:rsidRPr="00D41837" w14:paraId="188F3DC8" w14:textId="77777777" w:rsidTr="00524489">
        <w:trPr>
          <w:cantSplit/>
          <w:trHeight w:val="138"/>
        </w:trPr>
        <w:tc>
          <w:tcPr>
            <w:tcW w:w="1836" w:type="dxa"/>
            <w:vAlign w:val="bottom"/>
          </w:tcPr>
          <w:p w14:paraId="4465FC30"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vAlign w:val="bottom"/>
          </w:tcPr>
          <w:p w14:paraId="1788A25E"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Si View MPD </w:t>
            </w:r>
          </w:p>
        </w:tc>
        <w:tc>
          <w:tcPr>
            <w:tcW w:w="1620" w:type="dxa"/>
            <w:vAlign w:val="bottom"/>
          </w:tcPr>
          <w:p w14:paraId="6FC9BD52"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Community Park at Exit 32 </w:t>
            </w:r>
          </w:p>
        </w:tc>
        <w:tc>
          <w:tcPr>
            <w:tcW w:w="1710" w:type="dxa"/>
            <w:vAlign w:val="bottom"/>
          </w:tcPr>
          <w:p w14:paraId="2970F671"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$350,000 </w:t>
            </w:r>
          </w:p>
        </w:tc>
        <w:tc>
          <w:tcPr>
            <w:tcW w:w="1710" w:type="dxa"/>
            <w:vAlign w:val="bottom"/>
          </w:tcPr>
          <w:p w14:paraId="6DAB0612"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vAlign w:val="bottom"/>
          </w:tcPr>
          <w:p w14:paraId="5514C325"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$350,000 </w:t>
            </w:r>
          </w:p>
        </w:tc>
      </w:tr>
      <w:tr w:rsidR="00AF73F8" w:rsidRPr="00D41837" w14:paraId="1A83D9C7" w14:textId="77777777" w:rsidTr="00524489">
        <w:trPr>
          <w:cantSplit/>
          <w:trHeight w:val="138"/>
        </w:trPr>
        <w:tc>
          <w:tcPr>
            <w:tcW w:w="1836" w:type="dxa"/>
            <w:vAlign w:val="bottom"/>
          </w:tcPr>
          <w:p w14:paraId="4A41E53E"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vAlign w:val="bottom"/>
          </w:tcPr>
          <w:p w14:paraId="5D044F38"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Si View MPD </w:t>
            </w:r>
          </w:p>
        </w:tc>
        <w:tc>
          <w:tcPr>
            <w:tcW w:w="1620" w:type="dxa"/>
            <w:vAlign w:val="bottom"/>
          </w:tcPr>
          <w:p w14:paraId="095FED11"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Edgewick Trail Connection </w:t>
            </w:r>
          </w:p>
        </w:tc>
        <w:tc>
          <w:tcPr>
            <w:tcW w:w="1710" w:type="dxa"/>
            <w:vAlign w:val="bottom"/>
          </w:tcPr>
          <w:p w14:paraId="401650DC"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710" w:type="dxa"/>
            <w:vAlign w:val="bottom"/>
          </w:tcPr>
          <w:p w14:paraId="3328DDCA"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$163,400 </w:t>
            </w:r>
          </w:p>
        </w:tc>
        <w:tc>
          <w:tcPr>
            <w:tcW w:w="1368" w:type="dxa"/>
            <w:vAlign w:val="bottom"/>
          </w:tcPr>
          <w:p w14:paraId="41D16E5E"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$163,400 </w:t>
            </w:r>
          </w:p>
        </w:tc>
      </w:tr>
      <w:tr w:rsidR="00AF73F8" w:rsidRPr="00D41837" w14:paraId="734003B1" w14:textId="77777777" w:rsidTr="00524489">
        <w:trPr>
          <w:cantSplit/>
          <w:trHeight w:val="138"/>
        </w:trPr>
        <w:tc>
          <w:tcPr>
            <w:tcW w:w="1836" w:type="dxa"/>
            <w:vAlign w:val="bottom"/>
          </w:tcPr>
          <w:p w14:paraId="4F4661A9"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vAlign w:val="bottom"/>
          </w:tcPr>
          <w:p w14:paraId="5A1D7D57"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7 </w:t>
            </w:r>
          </w:p>
        </w:tc>
        <w:tc>
          <w:tcPr>
            <w:tcW w:w="1620" w:type="dxa"/>
            <w:vAlign w:val="bottom"/>
          </w:tcPr>
          <w:p w14:paraId="385E507E"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Fall City Open Space </w:t>
            </w:r>
          </w:p>
        </w:tc>
        <w:tc>
          <w:tcPr>
            <w:tcW w:w="1710" w:type="dxa"/>
            <w:vAlign w:val="bottom"/>
          </w:tcPr>
          <w:p w14:paraId="1542BC1B"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710" w:type="dxa"/>
            <w:vAlign w:val="bottom"/>
          </w:tcPr>
          <w:p w14:paraId="3C37127A"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$300,000 </w:t>
            </w:r>
          </w:p>
        </w:tc>
        <w:tc>
          <w:tcPr>
            <w:tcW w:w="1368" w:type="dxa"/>
            <w:vAlign w:val="bottom"/>
          </w:tcPr>
          <w:p w14:paraId="27CCB4C7"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$300,000 </w:t>
            </w:r>
          </w:p>
        </w:tc>
      </w:tr>
      <w:tr w:rsidR="00AF73F8" w:rsidRPr="00D41837" w14:paraId="70A59432" w14:textId="77777777" w:rsidTr="00524489">
        <w:trPr>
          <w:cantSplit/>
          <w:trHeight w:val="138"/>
        </w:trPr>
        <w:tc>
          <w:tcPr>
            <w:tcW w:w="1836" w:type="dxa"/>
            <w:vAlign w:val="bottom"/>
          </w:tcPr>
          <w:p w14:paraId="79DA8F7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vAlign w:val="bottom"/>
          </w:tcPr>
          <w:p w14:paraId="50BFA7B8"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7 </w:t>
            </w:r>
          </w:p>
        </w:tc>
        <w:tc>
          <w:tcPr>
            <w:tcW w:w="1620" w:type="dxa"/>
            <w:vAlign w:val="bottom"/>
          </w:tcPr>
          <w:p w14:paraId="63921AAE"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Mitchell Hill Forest Additions </w:t>
            </w:r>
          </w:p>
        </w:tc>
        <w:tc>
          <w:tcPr>
            <w:tcW w:w="1710" w:type="dxa"/>
            <w:vAlign w:val="bottom"/>
          </w:tcPr>
          <w:p w14:paraId="77166112"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$1,000,000 </w:t>
            </w:r>
          </w:p>
        </w:tc>
        <w:tc>
          <w:tcPr>
            <w:tcW w:w="1710" w:type="dxa"/>
            <w:vAlign w:val="bottom"/>
          </w:tcPr>
          <w:p w14:paraId="3096E3E7"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vAlign w:val="bottom"/>
          </w:tcPr>
          <w:p w14:paraId="27B1F235"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$1,000,000 </w:t>
            </w:r>
          </w:p>
        </w:tc>
      </w:tr>
      <w:tr w:rsidR="00AF73F8" w:rsidRPr="00D41837" w14:paraId="2EEF2A0A" w14:textId="77777777" w:rsidTr="00524489">
        <w:trPr>
          <w:cantSplit/>
          <w:trHeight w:val="138"/>
        </w:trPr>
        <w:tc>
          <w:tcPr>
            <w:tcW w:w="1836" w:type="dxa"/>
            <w:vAlign w:val="bottom"/>
          </w:tcPr>
          <w:p w14:paraId="1B33442B"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vAlign w:val="bottom"/>
          </w:tcPr>
          <w:p w14:paraId="18CADECB"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7 </w:t>
            </w:r>
          </w:p>
        </w:tc>
        <w:tc>
          <w:tcPr>
            <w:tcW w:w="1620" w:type="dxa"/>
            <w:vAlign w:val="bottom"/>
          </w:tcPr>
          <w:p w14:paraId="39D1DBE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Moss Lake Natural Area Additions </w:t>
            </w:r>
          </w:p>
        </w:tc>
        <w:tc>
          <w:tcPr>
            <w:tcW w:w="1710" w:type="dxa"/>
            <w:vAlign w:val="bottom"/>
          </w:tcPr>
          <w:p w14:paraId="42EEE631"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$825,000 </w:t>
            </w:r>
          </w:p>
        </w:tc>
        <w:tc>
          <w:tcPr>
            <w:tcW w:w="1710" w:type="dxa"/>
            <w:vAlign w:val="bottom"/>
          </w:tcPr>
          <w:p w14:paraId="6201D07F"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vAlign w:val="bottom"/>
          </w:tcPr>
          <w:p w14:paraId="7AA88B26"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$825,000 </w:t>
            </w:r>
          </w:p>
        </w:tc>
      </w:tr>
      <w:tr w:rsidR="00AF73F8" w:rsidRPr="00D41837" w14:paraId="08267F09" w14:textId="77777777" w:rsidTr="00524489">
        <w:trPr>
          <w:cantSplit/>
          <w:trHeight w:val="138"/>
        </w:trPr>
        <w:tc>
          <w:tcPr>
            <w:tcW w:w="1836" w:type="dxa"/>
            <w:vAlign w:val="bottom"/>
          </w:tcPr>
          <w:p w14:paraId="282C9794"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vAlign w:val="bottom"/>
          </w:tcPr>
          <w:p w14:paraId="51BFC95A"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7 </w:t>
            </w:r>
          </w:p>
        </w:tc>
        <w:tc>
          <w:tcPr>
            <w:tcW w:w="1620" w:type="dxa"/>
            <w:vAlign w:val="bottom"/>
          </w:tcPr>
          <w:p w14:paraId="459C7190"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Patterson Creek </w:t>
            </w:r>
          </w:p>
        </w:tc>
        <w:tc>
          <w:tcPr>
            <w:tcW w:w="1710" w:type="dxa"/>
            <w:vAlign w:val="bottom"/>
          </w:tcPr>
          <w:p w14:paraId="1DBD826C"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710" w:type="dxa"/>
            <w:vAlign w:val="bottom"/>
          </w:tcPr>
          <w:p w14:paraId="0A412C4C"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$560,000 </w:t>
            </w:r>
          </w:p>
        </w:tc>
        <w:tc>
          <w:tcPr>
            <w:tcW w:w="1368" w:type="dxa"/>
            <w:vAlign w:val="bottom"/>
          </w:tcPr>
          <w:p w14:paraId="014D28E5"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$560,000 </w:t>
            </w:r>
          </w:p>
        </w:tc>
      </w:tr>
      <w:tr w:rsidR="00AF73F8" w:rsidRPr="00D41837" w14:paraId="327F1641" w14:textId="77777777" w:rsidTr="00524489">
        <w:trPr>
          <w:cantSplit/>
          <w:trHeight w:val="138"/>
        </w:trPr>
        <w:tc>
          <w:tcPr>
            <w:tcW w:w="1836" w:type="dxa"/>
            <w:vAlign w:val="bottom"/>
          </w:tcPr>
          <w:p w14:paraId="47E42555"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vAlign w:val="bottom"/>
          </w:tcPr>
          <w:p w14:paraId="1679018A"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7 </w:t>
            </w:r>
          </w:p>
        </w:tc>
        <w:tc>
          <w:tcPr>
            <w:tcW w:w="1620" w:type="dxa"/>
            <w:vAlign w:val="bottom"/>
          </w:tcPr>
          <w:p w14:paraId="3B3CCA39"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Raging River Natural Area </w:t>
            </w:r>
          </w:p>
        </w:tc>
        <w:tc>
          <w:tcPr>
            <w:tcW w:w="1710" w:type="dxa"/>
            <w:vAlign w:val="bottom"/>
          </w:tcPr>
          <w:p w14:paraId="2626C44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710" w:type="dxa"/>
            <w:vAlign w:val="bottom"/>
          </w:tcPr>
          <w:p w14:paraId="38457E69"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$1,228,000 </w:t>
            </w:r>
          </w:p>
        </w:tc>
        <w:tc>
          <w:tcPr>
            <w:tcW w:w="1368" w:type="dxa"/>
            <w:vAlign w:val="bottom"/>
          </w:tcPr>
          <w:p w14:paraId="5D0F6413"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$1,228,000 </w:t>
            </w:r>
          </w:p>
        </w:tc>
      </w:tr>
      <w:tr w:rsidR="00AF73F8" w:rsidRPr="00D41837" w14:paraId="301D3013" w14:textId="77777777" w:rsidTr="00524489">
        <w:trPr>
          <w:cantSplit/>
          <w:trHeight w:val="138"/>
        </w:trPr>
        <w:tc>
          <w:tcPr>
            <w:tcW w:w="1836" w:type="dxa"/>
            <w:vAlign w:val="bottom"/>
          </w:tcPr>
          <w:p w14:paraId="50857DE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vAlign w:val="bottom"/>
          </w:tcPr>
          <w:p w14:paraId="2C3CBD6C"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7 </w:t>
            </w:r>
          </w:p>
        </w:tc>
        <w:tc>
          <w:tcPr>
            <w:tcW w:w="1620" w:type="dxa"/>
            <w:vAlign w:val="bottom"/>
          </w:tcPr>
          <w:p w14:paraId="313BA749"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Snoqualmie at Fall City </w:t>
            </w:r>
          </w:p>
        </w:tc>
        <w:tc>
          <w:tcPr>
            <w:tcW w:w="1710" w:type="dxa"/>
            <w:vAlign w:val="bottom"/>
          </w:tcPr>
          <w:p w14:paraId="588D6732"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$2,772,500 </w:t>
            </w:r>
          </w:p>
        </w:tc>
        <w:tc>
          <w:tcPr>
            <w:tcW w:w="1710" w:type="dxa"/>
            <w:vAlign w:val="bottom"/>
          </w:tcPr>
          <w:p w14:paraId="43BCD489"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vAlign w:val="bottom"/>
          </w:tcPr>
          <w:p w14:paraId="3E3270C6"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$2,772,500 </w:t>
            </w:r>
          </w:p>
        </w:tc>
      </w:tr>
      <w:tr w:rsidR="00AF73F8" w:rsidRPr="00D41837" w14:paraId="7D66E2C7" w14:textId="77777777" w:rsidTr="00524489">
        <w:trPr>
          <w:cantSplit/>
          <w:trHeight w:val="138"/>
        </w:trPr>
        <w:tc>
          <w:tcPr>
            <w:tcW w:w="1836" w:type="dxa"/>
          </w:tcPr>
          <w:p w14:paraId="6ACA2211"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tcPr>
          <w:p w14:paraId="6789C5DB"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8 </w:t>
            </w:r>
          </w:p>
        </w:tc>
        <w:tc>
          <w:tcPr>
            <w:tcW w:w="1620" w:type="dxa"/>
          </w:tcPr>
          <w:p w14:paraId="2B78611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Bear Creek Basin Conservation Initiative </w:t>
            </w:r>
          </w:p>
        </w:tc>
        <w:tc>
          <w:tcPr>
            <w:tcW w:w="1710" w:type="dxa"/>
          </w:tcPr>
          <w:p w14:paraId="4432675B"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$440,000 </w:t>
            </w:r>
          </w:p>
        </w:tc>
        <w:tc>
          <w:tcPr>
            <w:tcW w:w="1710" w:type="dxa"/>
          </w:tcPr>
          <w:p w14:paraId="5CB3F562"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tcPr>
          <w:p w14:paraId="7ED99CF2"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$440,000 </w:t>
            </w:r>
          </w:p>
        </w:tc>
      </w:tr>
      <w:tr w:rsidR="00AF73F8" w:rsidRPr="00D41837" w14:paraId="5DB0BFFC" w14:textId="77777777" w:rsidTr="00524489">
        <w:trPr>
          <w:cantSplit/>
          <w:trHeight w:val="138"/>
        </w:trPr>
        <w:tc>
          <w:tcPr>
            <w:tcW w:w="1836" w:type="dxa"/>
          </w:tcPr>
          <w:p w14:paraId="6F16D7AA"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tcPr>
          <w:p w14:paraId="5A5C79D6"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8 </w:t>
            </w:r>
          </w:p>
        </w:tc>
        <w:tc>
          <w:tcPr>
            <w:tcW w:w="1620" w:type="dxa"/>
          </w:tcPr>
          <w:p w14:paraId="28BAE1EF"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Cedar River Land Conservation </w:t>
            </w:r>
          </w:p>
        </w:tc>
        <w:tc>
          <w:tcPr>
            <w:tcW w:w="1710" w:type="dxa"/>
          </w:tcPr>
          <w:p w14:paraId="247A437A"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$715,000 </w:t>
            </w:r>
          </w:p>
        </w:tc>
        <w:tc>
          <w:tcPr>
            <w:tcW w:w="1710" w:type="dxa"/>
          </w:tcPr>
          <w:p w14:paraId="017B54E6"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$904,418 </w:t>
            </w:r>
          </w:p>
        </w:tc>
        <w:tc>
          <w:tcPr>
            <w:tcW w:w="1368" w:type="dxa"/>
          </w:tcPr>
          <w:p w14:paraId="7374AA28"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$1,619,418 </w:t>
            </w:r>
          </w:p>
        </w:tc>
      </w:tr>
      <w:tr w:rsidR="00AF73F8" w:rsidRPr="00D41837" w14:paraId="25DD978A" w14:textId="77777777" w:rsidTr="00524489">
        <w:trPr>
          <w:cantSplit/>
          <w:trHeight w:val="138"/>
        </w:trPr>
        <w:tc>
          <w:tcPr>
            <w:tcW w:w="1836" w:type="dxa"/>
          </w:tcPr>
          <w:p w14:paraId="60C20AE0"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lastRenderedPageBreak/>
              <w:t xml:space="preserve">In Unincorporated King County </w:t>
            </w:r>
          </w:p>
        </w:tc>
        <w:tc>
          <w:tcPr>
            <w:tcW w:w="1440" w:type="dxa"/>
          </w:tcPr>
          <w:p w14:paraId="0F281589"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8 </w:t>
            </w:r>
          </w:p>
        </w:tc>
        <w:tc>
          <w:tcPr>
            <w:tcW w:w="1620" w:type="dxa"/>
          </w:tcPr>
          <w:p w14:paraId="0FCEDA4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Cedar River Mitigation Reserves Program </w:t>
            </w:r>
          </w:p>
        </w:tc>
        <w:tc>
          <w:tcPr>
            <w:tcW w:w="1710" w:type="dxa"/>
          </w:tcPr>
          <w:p w14:paraId="0D9971E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$400,000 </w:t>
            </w:r>
          </w:p>
        </w:tc>
        <w:tc>
          <w:tcPr>
            <w:tcW w:w="1710" w:type="dxa"/>
          </w:tcPr>
          <w:p w14:paraId="52B43C2E"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tcPr>
          <w:p w14:paraId="67759B8E"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$400,000 </w:t>
            </w:r>
          </w:p>
        </w:tc>
      </w:tr>
      <w:tr w:rsidR="00AF73F8" w:rsidRPr="00D41837" w14:paraId="0442A336" w14:textId="77777777" w:rsidTr="00524489">
        <w:trPr>
          <w:cantSplit/>
          <w:trHeight w:val="138"/>
        </w:trPr>
        <w:tc>
          <w:tcPr>
            <w:tcW w:w="1836" w:type="dxa"/>
          </w:tcPr>
          <w:p w14:paraId="410B53C3"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tcPr>
          <w:p w14:paraId="6A993661"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8 </w:t>
            </w:r>
          </w:p>
        </w:tc>
        <w:tc>
          <w:tcPr>
            <w:tcW w:w="1620" w:type="dxa"/>
          </w:tcPr>
          <w:p w14:paraId="12C81F94"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Cougar Mountain Regional Wildland Park Adds </w:t>
            </w:r>
          </w:p>
        </w:tc>
        <w:tc>
          <w:tcPr>
            <w:tcW w:w="1710" w:type="dxa"/>
          </w:tcPr>
          <w:p w14:paraId="2270194E"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$300,000 </w:t>
            </w:r>
          </w:p>
        </w:tc>
        <w:tc>
          <w:tcPr>
            <w:tcW w:w="1710" w:type="dxa"/>
          </w:tcPr>
          <w:p w14:paraId="41878314"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tcPr>
          <w:p w14:paraId="06BC6385"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$300,000 </w:t>
            </w:r>
          </w:p>
        </w:tc>
      </w:tr>
      <w:tr w:rsidR="00AF73F8" w:rsidRPr="00D41837" w14:paraId="6A903F5E" w14:textId="77777777" w:rsidTr="00524489">
        <w:trPr>
          <w:cantSplit/>
          <w:trHeight w:val="138"/>
        </w:trPr>
        <w:tc>
          <w:tcPr>
            <w:tcW w:w="1836" w:type="dxa"/>
          </w:tcPr>
          <w:p w14:paraId="0B7C0372"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tcPr>
          <w:p w14:paraId="2F9CE210"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8 </w:t>
            </w:r>
          </w:p>
        </w:tc>
        <w:tc>
          <w:tcPr>
            <w:tcW w:w="1620" w:type="dxa"/>
          </w:tcPr>
          <w:p w14:paraId="30995BC0"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Crow Marsh Natural Area </w:t>
            </w:r>
          </w:p>
        </w:tc>
        <w:tc>
          <w:tcPr>
            <w:tcW w:w="1710" w:type="dxa"/>
          </w:tcPr>
          <w:p w14:paraId="0661A9B9"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710" w:type="dxa"/>
          </w:tcPr>
          <w:p w14:paraId="6BB8D0EE"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$210,000 </w:t>
            </w:r>
          </w:p>
        </w:tc>
        <w:tc>
          <w:tcPr>
            <w:tcW w:w="1368" w:type="dxa"/>
          </w:tcPr>
          <w:p w14:paraId="2C34398A"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$210,000 </w:t>
            </w:r>
          </w:p>
        </w:tc>
      </w:tr>
      <w:tr w:rsidR="00AF73F8" w:rsidRPr="00D41837" w14:paraId="4854EC22" w14:textId="77777777" w:rsidTr="00524489">
        <w:trPr>
          <w:cantSplit/>
          <w:trHeight w:val="138"/>
        </w:trPr>
        <w:tc>
          <w:tcPr>
            <w:tcW w:w="1836" w:type="dxa"/>
          </w:tcPr>
          <w:p w14:paraId="3ADBE9FE"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tcPr>
          <w:p w14:paraId="21AC7DE2"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8 </w:t>
            </w:r>
          </w:p>
        </w:tc>
        <w:tc>
          <w:tcPr>
            <w:tcW w:w="1620" w:type="dxa"/>
          </w:tcPr>
          <w:p w14:paraId="7165FAF3"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Evans Creek/Emerald Necklace TDR </w:t>
            </w:r>
          </w:p>
        </w:tc>
        <w:tc>
          <w:tcPr>
            <w:tcW w:w="1710" w:type="dxa"/>
          </w:tcPr>
          <w:p w14:paraId="705930CA"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$400,000 </w:t>
            </w:r>
          </w:p>
        </w:tc>
        <w:tc>
          <w:tcPr>
            <w:tcW w:w="1710" w:type="dxa"/>
          </w:tcPr>
          <w:p w14:paraId="28B1A09B"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tcPr>
          <w:p w14:paraId="416B3173"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$400,000 </w:t>
            </w:r>
          </w:p>
        </w:tc>
      </w:tr>
      <w:tr w:rsidR="00AF73F8" w:rsidRPr="00D41837" w14:paraId="549C4F9A" w14:textId="77777777" w:rsidTr="00524489">
        <w:trPr>
          <w:cantSplit/>
          <w:trHeight w:val="138"/>
        </w:trPr>
        <w:tc>
          <w:tcPr>
            <w:tcW w:w="1836" w:type="dxa"/>
          </w:tcPr>
          <w:p w14:paraId="7CF3A8A4"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tcPr>
          <w:p w14:paraId="2A99A90B"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8 </w:t>
            </w:r>
          </w:p>
        </w:tc>
        <w:tc>
          <w:tcPr>
            <w:tcW w:w="1620" w:type="dxa"/>
          </w:tcPr>
          <w:p w14:paraId="63F6E26F"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Issaquah Creek Headwaters Protection </w:t>
            </w:r>
          </w:p>
        </w:tc>
        <w:tc>
          <w:tcPr>
            <w:tcW w:w="1710" w:type="dxa"/>
          </w:tcPr>
          <w:p w14:paraId="1159BB8E"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$701,000 </w:t>
            </w:r>
          </w:p>
        </w:tc>
        <w:tc>
          <w:tcPr>
            <w:tcW w:w="1710" w:type="dxa"/>
          </w:tcPr>
          <w:p w14:paraId="3A7CFA66"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tcPr>
          <w:p w14:paraId="679EDD4A"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$701,000 </w:t>
            </w:r>
          </w:p>
        </w:tc>
      </w:tr>
      <w:tr w:rsidR="00AF73F8" w:rsidRPr="00D41837" w14:paraId="1BF23E21" w14:textId="77777777" w:rsidTr="00524489">
        <w:trPr>
          <w:cantSplit/>
          <w:trHeight w:val="138"/>
        </w:trPr>
        <w:tc>
          <w:tcPr>
            <w:tcW w:w="1836" w:type="dxa"/>
          </w:tcPr>
          <w:p w14:paraId="0BA69A1F"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tcPr>
          <w:p w14:paraId="11733C34"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9 </w:t>
            </w:r>
          </w:p>
        </w:tc>
        <w:tc>
          <w:tcPr>
            <w:tcW w:w="1620" w:type="dxa"/>
          </w:tcPr>
          <w:p w14:paraId="0CD95F6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Bass Lake Complex Acquisition </w:t>
            </w:r>
          </w:p>
        </w:tc>
        <w:tc>
          <w:tcPr>
            <w:tcW w:w="1710" w:type="dxa"/>
          </w:tcPr>
          <w:p w14:paraId="0A2E857C"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$650,000 </w:t>
            </w:r>
          </w:p>
        </w:tc>
        <w:tc>
          <w:tcPr>
            <w:tcW w:w="1710" w:type="dxa"/>
          </w:tcPr>
          <w:p w14:paraId="35C391F5"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tcPr>
          <w:p w14:paraId="2AC3286A"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$650,000 </w:t>
            </w:r>
          </w:p>
        </w:tc>
      </w:tr>
      <w:tr w:rsidR="00AF73F8" w:rsidRPr="00D41837" w14:paraId="7F522F16" w14:textId="77777777" w:rsidTr="00524489">
        <w:trPr>
          <w:cantSplit/>
          <w:trHeight w:val="138"/>
        </w:trPr>
        <w:tc>
          <w:tcPr>
            <w:tcW w:w="1836" w:type="dxa"/>
          </w:tcPr>
          <w:p w14:paraId="374646BD"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In Unincorporated King County </w:t>
            </w:r>
          </w:p>
        </w:tc>
        <w:tc>
          <w:tcPr>
            <w:tcW w:w="1440" w:type="dxa"/>
          </w:tcPr>
          <w:p w14:paraId="1E1496D5"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KC - WRIA 9 </w:t>
            </w:r>
          </w:p>
        </w:tc>
        <w:tc>
          <w:tcPr>
            <w:tcW w:w="1620" w:type="dxa"/>
          </w:tcPr>
          <w:p w14:paraId="16EB1883"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color w:val="000000"/>
                <w:sz w:val="20"/>
              </w:rPr>
              <w:t xml:space="preserve">Black Diamond Open Space </w:t>
            </w:r>
          </w:p>
        </w:tc>
        <w:tc>
          <w:tcPr>
            <w:tcW w:w="1710" w:type="dxa"/>
          </w:tcPr>
          <w:p w14:paraId="541816BB"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$600,000 </w:t>
            </w:r>
          </w:p>
        </w:tc>
        <w:tc>
          <w:tcPr>
            <w:tcW w:w="1710" w:type="dxa"/>
          </w:tcPr>
          <w:p w14:paraId="3B2CE62A"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i/>
                <w:iCs/>
                <w:color w:val="000000"/>
                <w:sz w:val="20"/>
              </w:rPr>
              <w:t xml:space="preserve">$0 </w:t>
            </w:r>
          </w:p>
        </w:tc>
        <w:tc>
          <w:tcPr>
            <w:tcW w:w="1368" w:type="dxa"/>
          </w:tcPr>
          <w:p w14:paraId="4486B81E" w14:textId="77777777" w:rsidR="005A6CC1" w:rsidRPr="008909DF" w:rsidRDefault="005A6CC1" w:rsidP="0080477A">
            <w:pPr>
              <w:autoSpaceDE w:val="0"/>
              <w:autoSpaceDN w:val="0"/>
              <w:adjustRightInd w:val="0"/>
              <w:jc w:val="right"/>
              <w:rPr>
                <w:rFonts w:ascii="Arial" w:hAnsi="Arial" w:cs="Arial"/>
                <w:color w:val="000000"/>
                <w:sz w:val="20"/>
              </w:rPr>
            </w:pPr>
            <w:r w:rsidRPr="008909DF">
              <w:rPr>
                <w:rFonts w:ascii="Arial" w:hAnsi="Arial" w:cs="Arial"/>
                <w:b/>
                <w:bCs/>
                <w:color w:val="000000"/>
                <w:sz w:val="20"/>
              </w:rPr>
              <w:t xml:space="preserve">$600,000 </w:t>
            </w:r>
          </w:p>
        </w:tc>
      </w:tr>
    </w:tbl>
    <w:p w14:paraId="0EE5572E" w14:textId="77777777" w:rsidR="00202D9F" w:rsidRDefault="00202D9F" w:rsidP="005B478C">
      <w:pPr>
        <w:pStyle w:val="BodyText"/>
        <w:jc w:val="both"/>
        <w:rPr>
          <w:rFonts w:ascii="Arial" w:hAnsi="Arial" w:cs="Arial"/>
          <w:b/>
          <w:i w:val="0"/>
          <w:smallCaps/>
          <w:color w:val="FF0000"/>
          <w:szCs w:val="24"/>
        </w:rPr>
      </w:pPr>
    </w:p>
    <w:p w14:paraId="0F4E40AD" w14:textId="77777777" w:rsidR="008812BF" w:rsidRPr="001C4B19" w:rsidRDefault="008812BF" w:rsidP="005B478C">
      <w:pPr>
        <w:pStyle w:val="BodyText"/>
        <w:jc w:val="both"/>
        <w:rPr>
          <w:rFonts w:ascii="Arial" w:hAnsi="Arial" w:cs="Arial"/>
          <w:b/>
          <w:i w:val="0"/>
          <w:smallCaps/>
          <w:szCs w:val="24"/>
        </w:rPr>
      </w:pPr>
    </w:p>
    <w:p w14:paraId="4813F2D5" w14:textId="77777777" w:rsidR="00785660" w:rsidRDefault="00E96DDA" w:rsidP="005A2E96">
      <w:pPr>
        <w:pStyle w:val="BodyText"/>
        <w:jc w:val="both"/>
        <w:rPr>
          <w:rFonts w:ascii="Arial" w:hAnsi="Arial" w:cs="Arial"/>
          <w:b/>
          <w:i w:val="0"/>
          <w:szCs w:val="24"/>
          <w:u w:val="single"/>
        </w:rPr>
      </w:pPr>
      <w:r w:rsidRPr="001C4B19">
        <w:rPr>
          <w:rFonts w:ascii="Arial" w:hAnsi="Arial" w:cs="Arial"/>
          <w:b/>
          <w:i w:val="0"/>
          <w:szCs w:val="24"/>
          <w:u w:val="single"/>
        </w:rPr>
        <w:t>AMENDMENT</w:t>
      </w:r>
    </w:p>
    <w:p w14:paraId="4057A1E2" w14:textId="77777777" w:rsidR="005A2E96" w:rsidRDefault="005A2E96" w:rsidP="005A2E96">
      <w:pPr>
        <w:pStyle w:val="BodyText"/>
        <w:jc w:val="both"/>
        <w:rPr>
          <w:rFonts w:ascii="Arial" w:hAnsi="Arial" w:cs="Arial"/>
          <w:b/>
          <w:i w:val="0"/>
          <w:szCs w:val="24"/>
          <w:u w:val="single"/>
        </w:rPr>
      </w:pPr>
    </w:p>
    <w:p w14:paraId="7CEA2008" w14:textId="4C453CB5" w:rsidR="005A2E96" w:rsidRDefault="005A2E96" w:rsidP="005A2E96">
      <w:pPr>
        <w:pStyle w:val="BodyText"/>
        <w:jc w:val="both"/>
        <w:rPr>
          <w:rFonts w:ascii="Arial" w:hAnsi="Arial" w:cs="Arial"/>
          <w:i w:val="0"/>
          <w:szCs w:val="24"/>
        </w:rPr>
      </w:pPr>
      <w:r>
        <w:rPr>
          <w:rFonts w:ascii="Arial" w:hAnsi="Arial" w:cs="Arial"/>
          <w:i w:val="0"/>
          <w:szCs w:val="24"/>
        </w:rPr>
        <w:t>Amendment 1 would place an expenditure restriction on both the $11 million proposed in this ordinance, as well as the $24 million previously appropriated. The restriction would state that the $35 million must be spent for the projects and in the amounts li</w:t>
      </w:r>
      <w:r w:rsidR="000247BA">
        <w:rPr>
          <w:rFonts w:ascii="Arial" w:hAnsi="Arial" w:cs="Arial"/>
          <w:i w:val="0"/>
          <w:szCs w:val="24"/>
        </w:rPr>
        <w:t>sted in the new attachment C</w:t>
      </w:r>
      <w:r>
        <w:rPr>
          <w:rFonts w:ascii="Arial" w:hAnsi="Arial" w:cs="Arial"/>
          <w:i w:val="0"/>
          <w:szCs w:val="24"/>
        </w:rPr>
        <w:t xml:space="preserve">, which is identical to </w:t>
      </w:r>
      <w:r w:rsidR="00BC78C0">
        <w:rPr>
          <w:rFonts w:ascii="Arial" w:hAnsi="Arial" w:cs="Arial"/>
          <w:i w:val="0"/>
          <w:szCs w:val="24"/>
        </w:rPr>
        <w:t>T</w:t>
      </w:r>
      <w:r>
        <w:rPr>
          <w:rFonts w:ascii="Arial" w:hAnsi="Arial" w:cs="Arial"/>
          <w:i w:val="0"/>
          <w:szCs w:val="24"/>
        </w:rPr>
        <w:t xml:space="preserve">able </w:t>
      </w:r>
      <w:r w:rsidR="00BC78C0">
        <w:rPr>
          <w:rFonts w:ascii="Arial" w:hAnsi="Arial" w:cs="Arial"/>
          <w:i w:val="0"/>
          <w:szCs w:val="24"/>
        </w:rPr>
        <w:t xml:space="preserve">1 </w:t>
      </w:r>
      <w:r>
        <w:rPr>
          <w:rFonts w:ascii="Arial" w:hAnsi="Arial" w:cs="Arial"/>
          <w:i w:val="0"/>
          <w:szCs w:val="24"/>
        </w:rPr>
        <w:t xml:space="preserve">above. </w:t>
      </w:r>
    </w:p>
    <w:p w14:paraId="3CDBD74E" w14:textId="77777777" w:rsidR="00BC78C0" w:rsidRDefault="00BC78C0" w:rsidP="005A2E96">
      <w:pPr>
        <w:pStyle w:val="BodyText"/>
        <w:jc w:val="both"/>
        <w:rPr>
          <w:rFonts w:ascii="Arial" w:hAnsi="Arial" w:cs="Arial"/>
          <w:i w:val="0"/>
          <w:szCs w:val="24"/>
        </w:rPr>
      </w:pPr>
    </w:p>
    <w:p w14:paraId="49B7596C" w14:textId="682AEB8F" w:rsidR="0024144D" w:rsidRPr="005A2E96" w:rsidRDefault="00BC78C0" w:rsidP="005A2E96">
      <w:pPr>
        <w:pStyle w:val="BodyText"/>
        <w:jc w:val="both"/>
        <w:rPr>
          <w:rFonts w:ascii="Arial" w:hAnsi="Arial" w:cs="Arial"/>
          <w:i w:val="0"/>
          <w:szCs w:val="24"/>
        </w:rPr>
      </w:pPr>
      <w:r>
        <w:rPr>
          <w:rFonts w:ascii="Arial" w:hAnsi="Arial" w:cs="Arial"/>
          <w:i w:val="0"/>
          <w:szCs w:val="24"/>
        </w:rPr>
        <w:t>Title Amendment 1 would correspond to the changes made in Amendment 1.</w:t>
      </w:r>
    </w:p>
    <w:p w14:paraId="19EE700F" w14:textId="77777777" w:rsidR="00575B03" w:rsidRDefault="00575B03" w:rsidP="005B478C">
      <w:pPr>
        <w:pStyle w:val="BodyText"/>
        <w:jc w:val="both"/>
        <w:rPr>
          <w:rFonts w:ascii="Arial" w:hAnsi="Arial" w:cs="Arial"/>
          <w:i w:val="0"/>
          <w:szCs w:val="24"/>
        </w:rPr>
      </w:pPr>
    </w:p>
    <w:p w14:paraId="705C279D" w14:textId="77777777" w:rsidR="00C521D8" w:rsidRPr="001C4B19" w:rsidRDefault="00C521D8" w:rsidP="005B478C">
      <w:pPr>
        <w:pStyle w:val="BodyText"/>
        <w:jc w:val="both"/>
        <w:rPr>
          <w:rFonts w:ascii="Arial" w:hAnsi="Arial" w:cs="Arial"/>
          <w:b/>
          <w:i w:val="0"/>
          <w:szCs w:val="24"/>
          <w:u w:val="single"/>
        </w:rPr>
      </w:pPr>
      <w:bookmarkStart w:id="0" w:name="_GoBack"/>
      <w:bookmarkEnd w:id="0"/>
    </w:p>
    <w:p w14:paraId="1A6896BE" w14:textId="77777777" w:rsidR="001C4B19" w:rsidRPr="001C4B19" w:rsidRDefault="001C4B19" w:rsidP="005B478C">
      <w:pPr>
        <w:jc w:val="both"/>
        <w:rPr>
          <w:rFonts w:ascii="Arial" w:hAnsi="Arial" w:cs="Arial"/>
          <w:szCs w:val="24"/>
        </w:rPr>
      </w:pPr>
    </w:p>
    <w:sectPr w:rsidR="001C4B19" w:rsidRPr="001C4B19"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8C172" w14:textId="77777777" w:rsidR="00DB50C7" w:rsidRDefault="00DB50C7">
      <w:r>
        <w:separator/>
      </w:r>
    </w:p>
  </w:endnote>
  <w:endnote w:type="continuationSeparator" w:id="0">
    <w:p w14:paraId="63AB69EB"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C8FC"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F6C5"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E96F"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2D63" w14:textId="77777777" w:rsidR="00DB50C7" w:rsidRDefault="00DB50C7">
      <w:r>
        <w:separator/>
      </w:r>
    </w:p>
  </w:footnote>
  <w:footnote w:type="continuationSeparator" w:id="0">
    <w:p w14:paraId="2533B34D" w14:textId="77777777" w:rsidR="00DB50C7" w:rsidRDefault="00DB50C7">
      <w:r>
        <w:continuationSeparator/>
      </w:r>
    </w:p>
  </w:footnote>
  <w:footnote w:id="1">
    <w:p w14:paraId="0763ACF4" w14:textId="77777777" w:rsidR="00BD0ABE" w:rsidRPr="00AB393B" w:rsidRDefault="00BD0ABE" w:rsidP="00BD0ABE">
      <w:pPr>
        <w:pStyle w:val="FootnoteText"/>
        <w:rPr>
          <w:rFonts w:ascii="Arial" w:hAnsi="Arial" w:cs="Arial"/>
        </w:rPr>
      </w:pPr>
      <w:r w:rsidRPr="00AB393B">
        <w:rPr>
          <w:rStyle w:val="FootnoteReference"/>
          <w:rFonts w:ascii="Arial" w:hAnsi="Arial" w:cs="Arial"/>
        </w:rPr>
        <w:footnoteRef/>
      </w:r>
      <w:r w:rsidRPr="00AB393B">
        <w:rPr>
          <w:rFonts w:ascii="Arial" w:hAnsi="Arial" w:cs="Arial"/>
        </w:rPr>
        <w:t xml:space="preserve"> K.C.C. 26.12</w:t>
      </w:r>
    </w:p>
  </w:footnote>
  <w:footnote w:id="2">
    <w:p w14:paraId="15EEAFEF" w14:textId="66036F10" w:rsidR="004624D4" w:rsidRDefault="004624D4">
      <w:pPr>
        <w:pStyle w:val="FootnoteText"/>
      </w:pPr>
      <w:r>
        <w:rPr>
          <w:rStyle w:val="FootnoteReference"/>
        </w:rPr>
        <w:footnoteRef/>
      </w:r>
      <w:r>
        <w:t xml:space="preserve"> </w:t>
      </w:r>
      <w:r w:rsidR="00A011D2">
        <w:rPr>
          <w:rFonts w:ascii="Arial" w:hAnsi="Arial" w:cs="Arial"/>
        </w:rPr>
        <w:t>A motion</w:t>
      </w:r>
      <w:r w:rsidR="00A011D2" w:rsidRPr="00A011D2">
        <w:rPr>
          <w:rFonts w:ascii="Arial" w:hAnsi="Arial" w:cs="Arial"/>
        </w:rPr>
        <w:t xml:space="preserve"> requesting the executive to establish a process by which parks expansion levy projects will be developed, reviewed and recommended to the King County council.</w:t>
      </w:r>
      <w:r w:rsidR="00A011D2">
        <w:rPr>
          <w:rFonts w:ascii="Arial" w:hAnsi="Arial" w:cs="Arial"/>
        </w:rPr>
        <w:t xml:space="preserve"> </w:t>
      </w:r>
      <w:r w:rsidRPr="00A011D2">
        <w:rPr>
          <w:rFonts w:ascii="Arial" w:hAnsi="Arial" w:cs="Arial"/>
        </w:rPr>
        <w:t>Adopted October 1, 2007.</w:t>
      </w:r>
    </w:p>
  </w:footnote>
  <w:footnote w:id="3">
    <w:p w14:paraId="00E02C82" w14:textId="70C50F7F" w:rsidR="004624D4" w:rsidRPr="00A011D2" w:rsidRDefault="004624D4">
      <w:pPr>
        <w:pStyle w:val="FootnoteText"/>
        <w:rPr>
          <w:rFonts w:ascii="Arial" w:hAnsi="Arial" w:cs="Arial"/>
        </w:rPr>
      </w:pPr>
      <w:r>
        <w:rPr>
          <w:rStyle w:val="FootnoteReference"/>
        </w:rPr>
        <w:footnoteRef/>
      </w:r>
      <w:r>
        <w:t xml:space="preserve"> </w:t>
      </w:r>
      <w:r w:rsidR="00A011D2">
        <w:rPr>
          <w:rFonts w:ascii="Arial" w:hAnsi="Arial" w:cs="Arial"/>
        </w:rPr>
        <w:t>2020-2025 Parks Levy Ballot Proposition Ordinance. Adopted April 17, 2019.</w:t>
      </w:r>
    </w:p>
  </w:footnote>
  <w:footnote w:id="4">
    <w:p w14:paraId="3318320C" w14:textId="337606DD" w:rsidR="00BD0ABE" w:rsidRDefault="00BD0ABE" w:rsidP="00BD0ABE">
      <w:pPr>
        <w:pStyle w:val="FootnoteText"/>
      </w:pPr>
      <w:r w:rsidRPr="000956D6">
        <w:rPr>
          <w:rFonts w:ascii="Arial" w:hAnsi="Arial" w:cs="Arial"/>
          <w:vertAlign w:val="superscript"/>
        </w:rPr>
        <w:footnoteRef/>
      </w:r>
      <w:r w:rsidRPr="009B6F1E">
        <w:rPr>
          <w:rFonts w:ascii="Arial" w:hAnsi="Arial" w:cs="Arial"/>
        </w:rPr>
        <w:t xml:space="preserve"> </w:t>
      </w:r>
      <w:r w:rsidR="004624D4">
        <w:rPr>
          <w:rFonts w:ascii="Arial" w:hAnsi="Arial" w:cs="Arial"/>
        </w:rPr>
        <w:t xml:space="preserve">Ordinance 18981, adopted on September 11, 2019 </w:t>
      </w:r>
      <w:r w:rsidRPr="009B6F1E">
        <w:rPr>
          <w:rFonts w:ascii="Arial" w:hAnsi="Arial" w:cs="Arial"/>
        </w:rPr>
        <w:t>change</w:t>
      </w:r>
      <w:r w:rsidR="004624D4">
        <w:rPr>
          <w:rFonts w:ascii="Arial" w:hAnsi="Arial" w:cs="Arial"/>
        </w:rPr>
        <w:t>d</w:t>
      </w:r>
      <w:r w:rsidRPr="009B6F1E">
        <w:rPr>
          <w:rFonts w:ascii="Arial" w:hAnsi="Arial" w:cs="Arial"/>
        </w:rPr>
        <w:t xml:space="preserve"> the name </w:t>
      </w:r>
      <w:r w:rsidR="004624D4">
        <w:rPr>
          <w:rFonts w:ascii="Arial" w:hAnsi="Arial" w:cs="Arial"/>
        </w:rPr>
        <w:t xml:space="preserve">from the </w:t>
      </w:r>
      <w:r w:rsidR="004624D4" w:rsidRPr="009B6F1E">
        <w:rPr>
          <w:rFonts w:ascii="Arial" w:hAnsi="Arial" w:cs="Arial"/>
        </w:rPr>
        <w:t>"Conservation Futu</w:t>
      </w:r>
      <w:r w:rsidR="004624D4">
        <w:rPr>
          <w:rFonts w:ascii="Arial" w:hAnsi="Arial" w:cs="Arial"/>
        </w:rPr>
        <w:t>res Citizen Oversight Committee</w:t>
      </w:r>
      <w:r w:rsidR="004624D4" w:rsidRPr="009B6F1E">
        <w:rPr>
          <w:rFonts w:ascii="Arial" w:hAnsi="Arial" w:cs="Arial"/>
        </w:rPr>
        <w:t xml:space="preserve">" </w:t>
      </w:r>
      <w:r w:rsidRPr="009B6F1E">
        <w:rPr>
          <w:rFonts w:ascii="Arial" w:hAnsi="Arial" w:cs="Arial"/>
        </w:rPr>
        <w:t xml:space="preserve">to </w:t>
      </w:r>
      <w:r w:rsidR="004624D4">
        <w:rPr>
          <w:rFonts w:ascii="Arial" w:hAnsi="Arial" w:cs="Arial"/>
        </w:rPr>
        <w:t xml:space="preserve">the </w:t>
      </w:r>
      <w:r w:rsidRPr="009B6F1E">
        <w:rPr>
          <w:rFonts w:ascii="Arial" w:hAnsi="Arial" w:cs="Arial"/>
        </w:rPr>
        <w:t>"Conservati</w:t>
      </w:r>
      <w:r>
        <w:rPr>
          <w:rFonts w:ascii="Arial" w:hAnsi="Arial" w:cs="Arial"/>
        </w:rPr>
        <w:t>on Futures Advisory Committee."</w:t>
      </w:r>
    </w:p>
  </w:footnote>
  <w:footnote w:id="5">
    <w:p w14:paraId="4244C064" w14:textId="77777777" w:rsidR="00BD0ABE" w:rsidRPr="008210F7" w:rsidRDefault="00BD0ABE" w:rsidP="00BD0ABE">
      <w:pPr>
        <w:pStyle w:val="FootnoteText"/>
        <w:rPr>
          <w:rFonts w:ascii="Arial" w:hAnsi="Arial" w:cs="Arial"/>
        </w:rPr>
      </w:pPr>
      <w:r w:rsidRPr="008210F7">
        <w:rPr>
          <w:rStyle w:val="FootnoteReference"/>
          <w:rFonts w:ascii="Arial" w:hAnsi="Arial" w:cs="Arial"/>
        </w:rPr>
        <w:footnoteRef/>
      </w:r>
      <w:r w:rsidRPr="008210F7">
        <w:rPr>
          <w:rFonts w:ascii="Arial" w:hAnsi="Arial" w:cs="Arial"/>
        </w:rPr>
        <w:t xml:space="preserve"> Conservation futures are established in RCW 84.34.200 through </w:t>
      </w:r>
      <w:r w:rsidR="004624D4" w:rsidRPr="008210F7">
        <w:rPr>
          <w:rFonts w:ascii="Arial" w:hAnsi="Arial" w:cs="Arial"/>
        </w:rPr>
        <w:t>84.34</w:t>
      </w:r>
      <w:r w:rsidRPr="008210F7">
        <w:rPr>
          <w:rFonts w:ascii="Arial" w:hAnsi="Arial" w:cs="Arial"/>
        </w:rPr>
        <w:t>.240.</w:t>
      </w:r>
    </w:p>
  </w:footnote>
  <w:footnote w:id="6">
    <w:p w14:paraId="62958CFD" w14:textId="4BF0773B" w:rsidR="00BD0ABE" w:rsidRPr="00AB393B" w:rsidRDefault="00BD0ABE" w:rsidP="00BD0ABE">
      <w:pPr>
        <w:pStyle w:val="FootnoteText"/>
        <w:rPr>
          <w:rFonts w:ascii="Arial" w:hAnsi="Arial" w:cs="Arial"/>
        </w:rPr>
      </w:pPr>
      <w:r w:rsidRPr="00AB393B">
        <w:rPr>
          <w:rStyle w:val="FootnoteReference"/>
          <w:rFonts w:ascii="Arial" w:hAnsi="Arial" w:cs="Arial"/>
        </w:rPr>
        <w:footnoteRef/>
      </w:r>
      <w:r w:rsidRPr="00AB393B">
        <w:rPr>
          <w:rFonts w:ascii="Arial" w:hAnsi="Arial" w:cs="Arial"/>
        </w:rPr>
        <w:t xml:space="preserve"> Increasing the CFT to its State-authorized maximum would require a </w:t>
      </w:r>
      <w:r w:rsidR="00CD5F36">
        <w:rPr>
          <w:rFonts w:ascii="Arial" w:hAnsi="Arial" w:cs="Arial"/>
        </w:rPr>
        <w:t xml:space="preserve">State Constitutional amendment to remove the 1% annual increase limitation which would require a </w:t>
      </w:r>
      <w:r w:rsidRPr="00AB393B">
        <w:rPr>
          <w:rFonts w:ascii="Arial" w:hAnsi="Arial" w:cs="Arial"/>
        </w:rPr>
        <w:t>vote of the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315C"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1F35"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EF4B" w14:textId="77777777" w:rsidR="00C75025" w:rsidRDefault="00C75025" w:rsidP="00C75025">
    <w:pPr>
      <w:jc w:val="center"/>
    </w:pPr>
    <w:r>
      <w:rPr>
        <w:noProof/>
      </w:rPr>
      <w:drawing>
        <wp:inline distT="0" distB="0" distL="0" distR="0" wp14:anchorId="7D096A57" wp14:editId="6D4190F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C65C49F" w14:textId="77777777" w:rsidR="00C75025" w:rsidRPr="003B03EF" w:rsidRDefault="00C75025" w:rsidP="00C75025">
    <w:pPr>
      <w:jc w:val="center"/>
      <w:rPr>
        <w:rFonts w:ascii="Arial" w:hAnsi="Arial"/>
        <w:szCs w:val="22"/>
      </w:rPr>
    </w:pPr>
  </w:p>
  <w:p w14:paraId="2734E05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28ED048"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4"/>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3"/>
  </w:num>
  <w:num w:numId="32">
    <w:abstractNumId w:val="35"/>
  </w:num>
  <w:num w:numId="33">
    <w:abstractNumId w:val="14"/>
  </w:num>
  <w:num w:numId="34">
    <w:abstractNumId w:val="11"/>
  </w:num>
  <w:num w:numId="35">
    <w:abstractNumId w:val="7"/>
  </w:num>
  <w:num w:numId="36">
    <w:abstractNumId w:val="27"/>
  </w:num>
  <w:num w:numId="37">
    <w:abstractNumId w:val="36"/>
  </w:num>
  <w:num w:numId="38">
    <w:abstractNumId w:val="20"/>
  </w:num>
  <w:num w:numId="39">
    <w:abstractNumId w:val="32"/>
  </w:num>
  <w:num w:numId="40">
    <w:abstractNumId w:val="29"/>
  </w:num>
  <w:num w:numId="41">
    <w:abstractNumId w:val="37"/>
  </w:num>
  <w:num w:numId="42">
    <w:abstractNumId w:val="26"/>
  </w:num>
  <w:num w:numId="4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47BA"/>
    <w:rsid w:val="0002551E"/>
    <w:rsid w:val="0002555E"/>
    <w:rsid w:val="000311D8"/>
    <w:rsid w:val="000315B2"/>
    <w:rsid w:val="00031E7D"/>
    <w:rsid w:val="0003207F"/>
    <w:rsid w:val="000321D8"/>
    <w:rsid w:val="000333D7"/>
    <w:rsid w:val="000333DA"/>
    <w:rsid w:val="000351B5"/>
    <w:rsid w:val="0004549A"/>
    <w:rsid w:val="00046824"/>
    <w:rsid w:val="00046E19"/>
    <w:rsid w:val="000470FF"/>
    <w:rsid w:val="0005201B"/>
    <w:rsid w:val="000533AF"/>
    <w:rsid w:val="000543C1"/>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1CA7"/>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2C53"/>
    <w:rsid w:val="00103094"/>
    <w:rsid w:val="00105382"/>
    <w:rsid w:val="0010576B"/>
    <w:rsid w:val="00106179"/>
    <w:rsid w:val="001062E7"/>
    <w:rsid w:val="001074C3"/>
    <w:rsid w:val="00110AC4"/>
    <w:rsid w:val="00111799"/>
    <w:rsid w:val="00113B09"/>
    <w:rsid w:val="00117339"/>
    <w:rsid w:val="00117D3D"/>
    <w:rsid w:val="00121D0A"/>
    <w:rsid w:val="0012573D"/>
    <w:rsid w:val="00126322"/>
    <w:rsid w:val="00131D0E"/>
    <w:rsid w:val="001320CB"/>
    <w:rsid w:val="0013286C"/>
    <w:rsid w:val="00132C16"/>
    <w:rsid w:val="00132DFC"/>
    <w:rsid w:val="00132FA5"/>
    <w:rsid w:val="00133981"/>
    <w:rsid w:val="00133F4B"/>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46907"/>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3D4C"/>
    <w:rsid w:val="001E45BF"/>
    <w:rsid w:val="001E5D41"/>
    <w:rsid w:val="001E6331"/>
    <w:rsid w:val="001E6C82"/>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144D"/>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10B5"/>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0E85"/>
    <w:rsid w:val="003C3117"/>
    <w:rsid w:val="003C31C2"/>
    <w:rsid w:val="003C3AE8"/>
    <w:rsid w:val="003C51B9"/>
    <w:rsid w:val="003C63E7"/>
    <w:rsid w:val="003C6B62"/>
    <w:rsid w:val="003C7596"/>
    <w:rsid w:val="003C78B5"/>
    <w:rsid w:val="003D06D2"/>
    <w:rsid w:val="003D24A2"/>
    <w:rsid w:val="003D2C0E"/>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24D4"/>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139"/>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4489"/>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2E96"/>
    <w:rsid w:val="005A3FD9"/>
    <w:rsid w:val="005A4155"/>
    <w:rsid w:val="005A45D4"/>
    <w:rsid w:val="005A5CC1"/>
    <w:rsid w:val="005A6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1A17"/>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4D5C"/>
    <w:rsid w:val="008054C0"/>
    <w:rsid w:val="00806E8B"/>
    <w:rsid w:val="00813A4F"/>
    <w:rsid w:val="0081445B"/>
    <w:rsid w:val="00816B49"/>
    <w:rsid w:val="00820136"/>
    <w:rsid w:val="008203C8"/>
    <w:rsid w:val="008212BA"/>
    <w:rsid w:val="00821B8A"/>
    <w:rsid w:val="0082285D"/>
    <w:rsid w:val="00822B84"/>
    <w:rsid w:val="008240CE"/>
    <w:rsid w:val="0082419F"/>
    <w:rsid w:val="00824FBF"/>
    <w:rsid w:val="0082581D"/>
    <w:rsid w:val="00826536"/>
    <w:rsid w:val="00826643"/>
    <w:rsid w:val="008276D2"/>
    <w:rsid w:val="00827831"/>
    <w:rsid w:val="00830BB1"/>
    <w:rsid w:val="008327CE"/>
    <w:rsid w:val="00833D81"/>
    <w:rsid w:val="0083560B"/>
    <w:rsid w:val="00835F1C"/>
    <w:rsid w:val="00836694"/>
    <w:rsid w:val="008376FD"/>
    <w:rsid w:val="008444FD"/>
    <w:rsid w:val="00845420"/>
    <w:rsid w:val="008455FA"/>
    <w:rsid w:val="0084565D"/>
    <w:rsid w:val="008462F0"/>
    <w:rsid w:val="00846649"/>
    <w:rsid w:val="00855067"/>
    <w:rsid w:val="00855EED"/>
    <w:rsid w:val="00860271"/>
    <w:rsid w:val="00863D3B"/>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09DF"/>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115E"/>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11D2"/>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0E0"/>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AF73F8"/>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78C0"/>
    <w:rsid w:val="00BD004A"/>
    <w:rsid w:val="00BD0ABE"/>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47DA"/>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5D5"/>
    <w:rsid w:val="00C9201A"/>
    <w:rsid w:val="00C953AF"/>
    <w:rsid w:val="00C96E22"/>
    <w:rsid w:val="00C97211"/>
    <w:rsid w:val="00C9726A"/>
    <w:rsid w:val="00C975AC"/>
    <w:rsid w:val="00C976B6"/>
    <w:rsid w:val="00C979A1"/>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5F36"/>
    <w:rsid w:val="00CE0613"/>
    <w:rsid w:val="00CE1231"/>
    <w:rsid w:val="00CE1F3A"/>
    <w:rsid w:val="00CE2B7B"/>
    <w:rsid w:val="00CE3A29"/>
    <w:rsid w:val="00CE74FD"/>
    <w:rsid w:val="00CE792B"/>
    <w:rsid w:val="00CE7E1D"/>
    <w:rsid w:val="00CF079B"/>
    <w:rsid w:val="00CF1D35"/>
    <w:rsid w:val="00CF6A55"/>
    <w:rsid w:val="00CF7E2E"/>
    <w:rsid w:val="00D00BB2"/>
    <w:rsid w:val="00D0107F"/>
    <w:rsid w:val="00D011B3"/>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87E"/>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35CA"/>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1C42"/>
    <w:rsid w:val="00E723C8"/>
    <w:rsid w:val="00E75041"/>
    <w:rsid w:val="00E75710"/>
    <w:rsid w:val="00E75A6E"/>
    <w:rsid w:val="00E773DF"/>
    <w:rsid w:val="00E77788"/>
    <w:rsid w:val="00E8267A"/>
    <w:rsid w:val="00E85DF1"/>
    <w:rsid w:val="00E86124"/>
    <w:rsid w:val="00E866FF"/>
    <w:rsid w:val="00E867BD"/>
    <w:rsid w:val="00E9054A"/>
    <w:rsid w:val="00E91025"/>
    <w:rsid w:val="00E91CF3"/>
    <w:rsid w:val="00E9450C"/>
    <w:rsid w:val="00E9591E"/>
    <w:rsid w:val="00E965CD"/>
    <w:rsid w:val="00E968E5"/>
    <w:rsid w:val="00E96DDA"/>
    <w:rsid w:val="00EA2581"/>
    <w:rsid w:val="00EA4A24"/>
    <w:rsid w:val="00EA564A"/>
    <w:rsid w:val="00EB1647"/>
    <w:rsid w:val="00EB1EDE"/>
    <w:rsid w:val="00EB2C3E"/>
    <w:rsid w:val="00EB474B"/>
    <w:rsid w:val="00EB5A13"/>
    <w:rsid w:val="00EC11DC"/>
    <w:rsid w:val="00EC1332"/>
    <w:rsid w:val="00EC2659"/>
    <w:rsid w:val="00EC29CC"/>
    <w:rsid w:val="00EC6FC9"/>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0D5"/>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1C4B"/>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E9318"/>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semiHidden/>
    <w:rsid w:val="00BD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77308141">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EBF5EDE2A814291BDE052AFE39236" ma:contentTypeVersion="10" ma:contentTypeDescription="Create a new document." ma:contentTypeScope="" ma:versionID="c63cbd9dd6cc74760fa77499b8056a9f">
  <xsd:schema xmlns:xsd="http://www.w3.org/2001/XMLSchema" xmlns:xs="http://www.w3.org/2001/XMLSchema" xmlns:p="http://schemas.microsoft.com/office/2006/metadata/properties" xmlns:ns3="ce700f66-bdcf-42a8-8627-f6ac6ad740db" xmlns:ns4="45d15a02-67d6-4517-902e-96e909a77c06" targetNamespace="http://schemas.microsoft.com/office/2006/metadata/properties" ma:root="true" ma:fieldsID="69183deffefd54b0cd9ff581f132cea6" ns3:_="" ns4:_="">
    <xsd:import namespace="ce700f66-bdcf-42a8-8627-f6ac6ad740db"/>
    <xsd:import namespace="45d15a02-67d6-4517-902e-96e909a77c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00f66-bdcf-42a8-8627-f6ac6ad74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d15a02-67d6-4517-902e-96e909a77c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ACA2-454F-4545-A3CF-EFBCFE654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00f66-bdcf-42a8-8627-f6ac6ad740db"/>
    <ds:schemaRef ds:uri="45d15a02-67d6-4517-902e-96e909a77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DD705-9A3A-49F1-B24B-41ADF3FD006B}">
  <ds:schemaRefs>
    <ds:schemaRef ds:uri="http://schemas.microsoft.com/sharepoint/v3/contenttype/forms"/>
  </ds:schemaRefs>
</ds:datastoreItem>
</file>

<file path=customXml/itemProps3.xml><?xml version="1.0" encoding="utf-8"?>
<ds:datastoreItem xmlns:ds="http://schemas.openxmlformats.org/officeDocument/2006/customXml" ds:itemID="{CE15CE1E-DCE0-459B-B0F3-3A43064BD35B}">
  <ds:schemaRefs>
    <ds:schemaRef ds:uri="http://purl.org/dc/elements/1.1/"/>
    <ds:schemaRef ds:uri="ce700f66-bdcf-42a8-8627-f6ac6ad740db"/>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5d15a02-67d6-4517-902e-96e909a77c06"/>
    <ds:schemaRef ds:uri="http://www.w3.org/XML/1998/namespace"/>
  </ds:schemaRefs>
</ds:datastoreItem>
</file>

<file path=customXml/itemProps4.xml><?xml version="1.0" encoding="utf-8"?>
<ds:datastoreItem xmlns:ds="http://schemas.openxmlformats.org/officeDocument/2006/customXml" ds:itemID="{A9A52BFA-4251-485F-8D8F-C655552C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Tracy, Jake</cp:lastModifiedBy>
  <cp:revision>2</cp:revision>
  <cp:lastPrinted>2015-03-13T15:09:00Z</cp:lastPrinted>
  <dcterms:created xsi:type="dcterms:W3CDTF">2019-09-24T20:36:00Z</dcterms:created>
  <dcterms:modified xsi:type="dcterms:W3CDTF">2019-09-24T20:36:00Z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0x010100057EBF5EDE2A814291BDE052AFE39236</vt:lpwstr>
  </property>
</Properties>
</file>