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27" w:rsidRDefault="00EA251B">
      <w:pPr>
        <w:jc w:val="center"/>
        <w:rPr>
          <w:rFonts w:ascii="Univers (W1)" w:hAnsi="Univers (W1)"/>
          <w:b/>
          <w:sz w:val="24"/>
        </w:rPr>
      </w:pPr>
      <w:r>
        <w:rPr>
          <w:noProof/>
        </w:rPr>
        <w:drawing>
          <wp:inline distT="0" distB="0" distL="0" distR="0">
            <wp:extent cx="736600" cy="520700"/>
            <wp:effectExtent l="0" t="0" r="6350" b="0"/>
            <wp:docPr id="1" name="Picture 1" descr="KClogo_v_b_m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27" w:rsidRDefault="00853927">
      <w:pPr>
        <w:jc w:val="center"/>
        <w:rPr>
          <w:rFonts w:ascii="Univers (W1)" w:hAnsi="Univers (W1)"/>
          <w:sz w:val="16"/>
        </w:rPr>
      </w:pPr>
    </w:p>
    <w:p w:rsidR="00853927" w:rsidRDefault="00853927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Checklist and Summary of Changes for the attached</w:t>
      </w:r>
    </w:p>
    <w:p w:rsidR="00853927" w:rsidRDefault="00853927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8"/>
        </w:rPr>
        <w:t>Collective Bargaining Agreement</w:t>
      </w:r>
    </w:p>
    <w:p w:rsidR="00853927" w:rsidRDefault="00853927">
      <w:pPr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0"/>
      </w:tblGrid>
      <w:tr w:rsidR="00853927" w:rsidTr="00516A3A">
        <w:trPr>
          <w:jc w:val="center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Name of Agreement</w:t>
            </w: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57BBA" w:rsidRPr="00457BBA" w:rsidRDefault="00457BBA" w:rsidP="00457BBA">
            <w:pPr>
              <w:rPr>
                <w:rFonts w:ascii="Univers (W1)" w:hAnsi="Univers (W1)"/>
                <w:b/>
                <w:sz w:val="24"/>
              </w:rPr>
            </w:pPr>
            <w:r w:rsidRPr="00457BBA">
              <w:rPr>
                <w:rFonts w:ascii="Univers (W1)" w:hAnsi="Univers (W1)"/>
                <w:b/>
                <w:sz w:val="24"/>
              </w:rPr>
              <w:t>International Brotherhood of Teamsters Local 117</w:t>
            </w:r>
            <w:r>
              <w:rPr>
                <w:rFonts w:ascii="Univers (W1)" w:hAnsi="Univers (W1)"/>
                <w:b/>
                <w:sz w:val="24"/>
              </w:rPr>
              <w:t xml:space="preserve">, </w:t>
            </w:r>
            <w:r w:rsidRPr="00457BBA">
              <w:rPr>
                <w:rFonts w:ascii="Univers (W1)" w:hAnsi="Univers (W1)"/>
                <w:b/>
                <w:sz w:val="24"/>
              </w:rPr>
              <w:t>Wastewater Treatment Division, Supervisors - Department of Natural Resources and Parks Memorandum of</w:t>
            </w:r>
            <w:r w:rsidR="003C3209">
              <w:rPr>
                <w:rFonts w:ascii="Univers (W1)" w:hAnsi="Univers (W1)"/>
                <w:b/>
                <w:sz w:val="24"/>
              </w:rPr>
              <w:t xml:space="preserve"> Agreement Regarding w</w:t>
            </w:r>
            <w:r w:rsidRPr="00457BBA">
              <w:rPr>
                <w:rFonts w:ascii="Univers (W1)" w:hAnsi="Univers (W1)"/>
                <w:b/>
                <w:sz w:val="24"/>
              </w:rPr>
              <w:t>age study and wage modifications for Wastewater Treatment Division Supervisors</w:t>
            </w:r>
          </w:p>
          <w:p w:rsidR="00853927" w:rsidRDefault="00853927" w:rsidP="00457BBA">
            <w:pPr>
              <w:rPr>
                <w:rFonts w:ascii="Univers (W1)" w:hAnsi="Univers (W1)"/>
                <w:b/>
                <w:sz w:val="24"/>
              </w:rPr>
            </w:pP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Labor Negotiator</w:t>
            </w:r>
          </w:p>
        </w:tc>
      </w:tr>
      <w:tr w:rsidR="00853927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927" w:rsidRDefault="00457BBA">
            <w:pPr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Angela Marshall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</w:tbl>
    <w:p w:rsidR="00853927" w:rsidRDefault="00853927">
      <w:pPr>
        <w:ind w:left="270"/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</w:tblGrid>
      <w:tr w:rsidR="00853927" w:rsidTr="00516A3A">
        <w:trPr>
          <w:jc w:val="center"/>
        </w:trPr>
        <w:tc>
          <w:tcPr>
            <w:tcW w:w="77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Prosecuting Attorney’s Review</w:t>
            </w:r>
          </w:p>
        </w:tc>
        <w:tc>
          <w:tcPr>
            <w:tcW w:w="990" w:type="dxa"/>
          </w:tcPr>
          <w:p w:rsidR="00853927" w:rsidRDefault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853FF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Legislative Review Form; Motion or Ordinance</w:t>
            </w:r>
          </w:p>
        </w:tc>
        <w:tc>
          <w:tcPr>
            <w:tcW w:w="990" w:type="dxa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853FF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Executive Letter</w:t>
            </w:r>
          </w:p>
        </w:tc>
        <w:tc>
          <w:tcPr>
            <w:tcW w:w="990" w:type="dxa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853FF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Fiscal Note</w:t>
            </w:r>
          </w:p>
        </w:tc>
        <w:tc>
          <w:tcPr>
            <w:tcW w:w="990" w:type="dxa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853FF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</w:t>
            </w:r>
          </w:p>
        </w:tc>
        <w:tc>
          <w:tcPr>
            <w:tcW w:w="990" w:type="dxa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853FF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King </w:t>
            </w:r>
            <w:smartTag w:uri="urn:schemas-microsoft-com:office:smarttags" w:element="PlaceType">
              <w:r>
                <w:rPr>
                  <w:rFonts w:ascii="Univers (W1)" w:hAnsi="Univers (W1)"/>
                  <w:b/>
                  <w:i/>
                  <w:sz w:val="24"/>
                </w:rPr>
                <w:t>County</w:t>
              </w:r>
            </w:smartTag>
            <w:r>
              <w:rPr>
                <w:rFonts w:ascii="Univers (W1)" w:hAnsi="Univers (W1)"/>
                <w:b/>
                <w:i/>
                <w:sz w:val="24"/>
              </w:rPr>
              <w:t xml:space="preserve"> Council Adopted Labor Policies Consistency</w:t>
            </w:r>
          </w:p>
        </w:tc>
        <w:tc>
          <w:tcPr>
            <w:tcW w:w="990" w:type="dxa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853FF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Ordinance</w:t>
            </w:r>
          </w:p>
        </w:tc>
        <w:tc>
          <w:tcPr>
            <w:tcW w:w="990" w:type="dxa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B853FF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Original Signed Agreement(s) </w:t>
            </w:r>
          </w:p>
        </w:tc>
        <w:tc>
          <w:tcPr>
            <w:tcW w:w="990" w:type="dxa"/>
          </w:tcPr>
          <w:p w:rsidR="00B853FF" w:rsidRDefault="00B853FF" w:rsidP="00B853FF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Does transmittal include MOU</w:t>
            </w:r>
            <w:bookmarkStart w:id="0" w:name="_GoBack"/>
            <w:bookmarkEnd w:id="0"/>
            <w:r>
              <w:rPr>
                <w:rFonts w:ascii="Univers (W1)" w:hAnsi="Univers (W1)"/>
                <w:b/>
                <w:i/>
                <w:sz w:val="24"/>
              </w:rPr>
              <w:t xml:space="preserve">/MOA? </w:t>
            </w:r>
          </w:p>
        </w:tc>
        <w:tc>
          <w:tcPr>
            <w:tcW w:w="990" w:type="dxa"/>
          </w:tcPr>
          <w:p w:rsidR="00853927" w:rsidRDefault="00EA251B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N/A</w:t>
            </w:r>
          </w:p>
        </w:tc>
      </w:tr>
    </w:tbl>
    <w:p w:rsidR="00853927" w:rsidRDefault="0085392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853927" w:rsidTr="00516A3A">
        <w:trPr>
          <w:jc w:val="center"/>
        </w:trPr>
        <w:tc>
          <w:tcPr>
            <w:tcW w:w="874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 of changes to the attached agreement:</w:t>
            </w:r>
          </w:p>
        </w:tc>
      </w:tr>
      <w:tr w:rsidR="00853927" w:rsidTr="00516A3A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1.  </w:t>
            </w:r>
            <w:r w:rsidR="00B95CED">
              <w:rPr>
                <w:rFonts w:ascii="Univers (W1)" w:hAnsi="Univers (W1)"/>
                <w:sz w:val="22"/>
              </w:rPr>
              <w:t>Changes reflect wage adjustments for Process Control Supervisor, Wastewater Maintenance Supervisor, and Wastewater Treatment Supervisor</w:t>
            </w:r>
            <w:r w:rsidR="003C3209">
              <w:rPr>
                <w:rFonts w:ascii="Univers (W1)" w:hAnsi="Univers (W1)"/>
                <w:sz w:val="22"/>
              </w:rPr>
              <w:t>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2.  </w:t>
            </w:r>
            <w:r w:rsidR="00B95CED">
              <w:rPr>
                <w:rFonts w:ascii="Univers (W1)" w:hAnsi="Univers (W1)"/>
                <w:sz w:val="22"/>
              </w:rPr>
              <w:t>Changes reflect removal of Safety and Health Supervisor classification from the unit and the accretion and wage placement of new classifications Wastewater Operations Engineering Supervisor and tentatively named</w:t>
            </w:r>
            <w:r w:rsidR="003C3209">
              <w:rPr>
                <w:rFonts w:ascii="Univers (W1)" w:hAnsi="Univers (W1)"/>
                <w:sz w:val="22"/>
              </w:rPr>
              <w:t xml:space="preserve"> Wastewater Safety Supervisor.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3.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4.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double" w:sz="6" w:space="0" w:color="auto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5.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6.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</w:tbl>
    <w:p w:rsidR="00457BBA" w:rsidRDefault="00457BBA" w:rsidP="002300B2">
      <w:pPr>
        <w:rPr>
          <w:sz w:val="16"/>
        </w:rPr>
      </w:pPr>
    </w:p>
    <w:sectPr w:rsidR="00457BBA">
      <w:footerReference w:type="default" r:id="rId7"/>
      <w:pgSz w:w="12240" w:h="15840" w:code="1"/>
      <w:pgMar w:top="432" w:right="1440" w:bottom="432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AD" w:rsidRDefault="00BF6DAD">
      <w:r>
        <w:separator/>
      </w:r>
    </w:p>
  </w:endnote>
  <w:endnote w:type="continuationSeparator" w:id="0">
    <w:p w:rsidR="00BF6DAD" w:rsidRDefault="00BF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A" w:rsidRDefault="00457BBA">
    <w:pPr>
      <w:pStyle w:val="Footer"/>
    </w:pPr>
    <w:r>
      <w:t>157S0119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AD" w:rsidRDefault="00BF6DAD">
      <w:r>
        <w:separator/>
      </w:r>
    </w:p>
  </w:footnote>
  <w:footnote w:type="continuationSeparator" w:id="0">
    <w:p w:rsidR="00BF6DAD" w:rsidRDefault="00BF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2A"/>
    <w:rsid w:val="0003101A"/>
    <w:rsid w:val="000E0B78"/>
    <w:rsid w:val="000F3124"/>
    <w:rsid w:val="002300B2"/>
    <w:rsid w:val="00267809"/>
    <w:rsid w:val="003C3209"/>
    <w:rsid w:val="00457BBA"/>
    <w:rsid w:val="00482DDA"/>
    <w:rsid w:val="004A07C6"/>
    <w:rsid w:val="004B62B2"/>
    <w:rsid w:val="00516A3A"/>
    <w:rsid w:val="00784A64"/>
    <w:rsid w:val="00853927"/>
    <w:rsid w:val="00A763B6"/>
    <w:rsid w:val="00B8112A"/>
    <w:rsid w:val="00B853FF"/>
    <w:rsid w:val="00B95CED"/>
    <w:rsid w:val="00BF6DAD"/>
    <w:rsid w:val="00D80373"/>
    <w:rsid w:val="00DD1F14"/>
    <w:rsid w:val="00EA251B"/>
    <w:rsid w:val="00EF718C"/>
    <w:rsid w:val="00F15CFB"/>
    <w:rsid w:val="00F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8F3B4B0"/>
  <w15:docId w15:val="{43CA0D0C-AC5D-44BC-A986-D642D4E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IX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SIXPOINT.DOT</Template>
  <TotalTime>3</TotalTime>
  <Pages>1</Pages>
  <Words>150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Burgert, Carolyn</cp:lastModifiedBy>
  <cp:revision>7</cp:revision>
  <cp:lastPrinted>2019-07-15T16:14:00Z</cp:lastPrinted>
  <dcterms:created xsi:type="dcterms:W3CDTF">2019-05-06T21:20:00Z</dcterms:created>
  <dcterms:modified xsi:type="dcterms:W3CDTF">2019-07-15T16:14:00Z</dcterms:modified>
</cp:coreProperties>
</file>