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109A" w14:textId="77777777" w:rsidR="00EB5A13" w:rsidRPr="00022E1B" w:rsidRDefault="00EB5A13" w:rsidP="00432B00">
      <w:pPr>
        <w:pStyle w:val="Heading2"/>
        <w:jc w:val="left"/>
        <w:rPr>
          <w:rFonts w:ascii="Arial" w:hAnsi="Arial" w:cs="Arial"/>
          <w:b w:val="0"/>
          <w:sz w:val="24"/>
          <w:szCs w:val="24"/>
          <w:u w:val="none"/>
        </w:rPr>
      </w:pPr>
    </w:p>
    <w:p w14:paraId="7B08952C" w14:textId="77777777" w:rsidR="00EB5A13" w:rsidRPr="00022E1B" w:rsidRDefault="00EB5A13" w:rsidP="00EB5A13">
      <w:pPr>
        <w:pStyle w:val="Heading2"/>
        <w:rPr>
          <w:rFonts w:ascii="Arial" w:hAnsi="Arial" w:cs="Arial"/>
          <w:sz w:val="24"/>
          <w:szCs w:val="24"/>
        </w:rPr>
      </w:pPr>
      <w:r w:rsidRPr="00022E1B">
        <w:rPr>
          <w:rFonts w:ascii="Arial" w:hAnsi="Arial" w:cs="Arial"/>
          <w:sz w:val="24"/>
          <w:szCs w:val="24"/>
        </w:rPr>
        <w:t>STAFF REPORT</w:t>
      </w:r>
    </w:p>
    <w:p w14:paraId="134F9FCA" w14:textId="77777777" w:rsidR="00EB5A13" w:rsidRPr="00022E1B" w:rsidRDefault="00EB5A13" w:rsidP="00EB5A13">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022E1B" w14:paraId="55EEC0C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0B1C3F3" w14:textId="77777777" w:rsidR="00EB5A13" w:rsidRPr="00022E1B" w:rsidRDefault="00EB5A13" w:rsidP="00074A56">
            <w:pPr>
              <w:spacing w:before="40" w:after="40"/>
              <w:rPr>
                <w:rFonts w:ascii="Arial" w:hAnsi="Arial" w:cs="Arial"/>
                <w:b/>
                <w:szCs w:val="24"/>
              </w:rPr>
            </w:pPr>
            <w:r w:rsidRPr="00022E1B">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EB72AA0" w14:textId="212F2D97" w:rsidR="00EB5A13" w:rsidRPr="00022E1B" w:rsidRDefault="0049498B" w:rsidP="00074A56">
            <w:pPr>
              <w:spacing w:before="40" w:after="40"/>
              <w:rPr>
                <w:rFonts w:ascii="Arial" w:hAnsi="Arial" w:cs="Arial"/>
                <w:szCs w:val="24"/>
              </w:rPr>
            </w:pPr>
            <w:r>
              <w:rPr>
                <w:rFonts w:ascii="Arial" w:hAnsi="Arial" w:cs="Arial"/>
                <w:szCs w:val="24"/>
              </w:rPr>
              <w:t>6</w:t>
            </w:r>
          </w:p>
        </w:tc>
        <w:tc>
          <w:tcPr>
            <w:tcW w:w="1170" w:type="dxa"/>
            <w:tcBorders>
              <w:top w:val="single" w:sz="4" w:space="0" w:color="auto"/>
              <w:left w:val="single" w:sz="4" w:space="0" w:color="auto"/>
              <w:bottom w:val="single" w:sz="4" w:space="0" w:color="auto"/>
              <w:right w:val="single" w:sz="4" w:space="0" w:color="auto"/>
            </w:tcBorders>
            <w:vAlign w:val="center"/>
          </w:tcPr>
          <w:p w14:paraId="03EB24F4" w14:textId="77777777" w:rsidR="00EB5A13" w:rsidRPr="00022E1B" w:rsidRDefault="00EB5A13" w:rsidP="00074A56">
            <w:pPr>
              <w:spacing w:before="40" w:after="40"/>
              <w:rPr>
                <w:rFonts w:ascii="Arial" w:hAnsi="Arial" w:cs="Arial"/>
                <w:b/>
                <w:szCs w:val="24"/>
              </w:rPr>
            </w:pPr>
            <w:r w:rsidRPr="00022E1B">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EF55C9C" w14:textId="0F840305" w:rsidR="00AA36AD" w:rsidRPr="00022E1B" w:rsidRDefault="00215F9A" w:rsidP="00074A56">
            <w:pPr>
              <w:spacing w:before="40" w:after="40"/>
              <w:rPr>
                <w:rFonts w:ascii="Arial" w:hAnsi="Arial" w:cs="Arial"/>
                <w:szCs w:val="24"/>
              </w:rPr>
            </w:pPr>
            <w:r w:rsidRPr="00022E1B">
              <w:rPr>
                <w:rFonts w:ascii="Arial" w:hAnsi="Arial" w:cs="Arial"/>
                <w:szCs w:val="24"/>
              </w:rPr>
              <w:t>Sahar Fathi</w:t>
            </w:r>
          </w:p>
        </w:tc>
      </w:tr>
      <w:tr w:rsidR="00EB5A13" w:rsidRPr="00022E1B" w14:paraId="6F189B0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367B405" w14:textId="77777777" w:rsidR="00EB5A13" w:rsidRPr="00022E1B" w:rsidRDefault="00EB5A13" w:rsidP="00074A56">
            <w:pPr>
              <w:spacing w:before="40" w:after="40"/>
              <w:rPr>
                <w:rFonts w:ascii="Arial" w:hAnsi="Arial" w:cs="Arial"/>
                <w:szCs w:val="24"/>
              </w:rPr>
            </w:pPr>
            <w:r w:rsidRPr="00022E1B">
              <w:rPr>
                <w:rFonts w:ascii="Arial" w:hAnsi="Arial" w:cs="Arial"/>
                <w:b/>
                <w:szCs w:val="24"/>
              </w:rPr>
              <w:t>Proposed No</w:t>
            </w:r>
            <w:r w:rsidRPr="00022E1B">
              <w:rPr>
                <w:rFonts w:ascii="Arial" w:hAnsi="Arial" w:cs="Arial"/>
                <w:szCs w:val="24"/>
              </w:rPr>
              <w:t>.:</w:t>
            </w:r>
          </w:p>
        </w:tc>
        <w:tc>
          <w:tcPr>
            <w:tcW w:w="2430" w:type="dxa"/>
            <w:tcBorders>
              <w:top w:val="single" w:sz="4" w:space="0" w:color="auto"/>
              <w:left w:val="single" w:sz="4" w:space="0" w:color="auto"/>
              <w:bottom w:val="single" w:sz="4" w:space="0" w:color="auto"/>
              <w:right w:val="single" w:sz="4" w:space="0" w:color="auto"/>
            </w:tcBorders>
            <w:vAlign w:val="center"/>
          </w:tcPr>
          <w:p w14:paraId="7C71F017" w14:textId="2D524099" w:rsidR="00EB5A13" w:rsidRPr="00022E1B" w:rsidRDefault="00215F9A" w:rsidP="00074A56">
            <w:pPr>
              <w:spacing w:before="40" w:after="40"/>
              <w:rPr>
                <w:rFonts w:ascii="Arial" w:hAnsi="Arial" w:cs="Arial"/>
                <w:szCs w:val="24"/>
              </w:rPr>
            </w:pPr>
            <w:r w:rsidRPr="00022E1B">
              <w:rPr>
                <w:rFonts w:ascii="Arial" w:hAnsi="Arial" w:cs="Arial"/>
                <w:szCs w:val="24"/>
              </w:rPr>
              <w:t>2019-B</w:t>
            </w:r>
            <w:r w:rsidR="00E8481B" w:rsidRPr="00022E1B">
              <w:rPr>
                <w:rFonts w:ascii="Arial" w:hAnsi="Arial" w:cs="Arial"/>
                <w:szCs w:val="24"/>
              </w:rPr>
              <w:t>0106</w:t>
            </w:r>
          </w:p>
        </w:tc>
        <w:tc>
          <w:tcPr>
            <w:tcW w:w="1170" w:type="dxa"/>
            <w:tcBorders>
              <w:top w:val="single" w:sz="4" w:space="0" w:color="auto"/>
              <w:left w:val="single" w:sz="4" w:space="0" w:color="auto"/>
              <w:bottom w:val="single" w:sz="4" w:space="0" w:color="auto"/>
              <w:right w:val="single" w:sz="4" w:space="0" w:color="auto"/>
            </w:tcBorders>
            <w:vAlign w:val="center"/>
          </w:tcPr>
          <w:p w14:paraId="3A149F1D" w14:textId="77777777" w:rsidR="00EB5A13" w:rsidRPr="00022E1B" w:rsidRDefault="00EB5A13" w:rsidP="00074A56">
            <w:pPr>
              <w:spacing w:before="40" w:after="40"/>
              <w:ind w:right="-108"/>
              <w:rPr>
                <w:rFonts w:ascii="Arial" w:hAnsi="Arial" w:cs="Arial"/>
                <w:szCs w:val="24"/>
              </w:rPr>
            </w:pPr>
            <w:r w:rsidRPr="00022E1B">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428DFA5" w14:textId="77777777" w:rsidR="00EB5A13" w:rsidRPr="00022E1B" w:rsidRDefault="00215F9A" w:rsidP="00074A56">
            <w:pPr>
              <w:spacing w:before="40" w:after="40"/>
              <w:rPr>
                <w:rFonts w:ascii="Arial" w:hAnsi="Arial" w:cs="Arial"/>
                <w:szCs w:val="24"/>
              </w:rPr>
            </w:pPr>
            <w:r w:rsidRPr="00022E1B">
              <w:rPr>
                <w:rFonts w:ascii="Arial" w:hAnsi="Arial" w:cs="Arial"/>
                <w:szCs w:val="24"/>
              </w:rPr>
              <w:t>July 30, 2019</w:t>
            </w:r>
          </w:p>
        </w:tc>
      </w:tr>
    </w:tbl>
    <w:p w14:paraId="1E0120F5" w14:textId="77777777" w:rsidR="004349B7" w:rsidRPr="00022E1B" w:rsidRDefault="004349B7" w:rsidP="00F31CDD">
      <w:pPr>
        <w:rPr>
          <w:rFonts w:ascii="Arial" w:hAnsi="Arial" w:cs="Arial"/>
          <w:b/>
          <w:smallCaps/>
          <w:szCs w:val="24"/>
          <w:u w:val="single"/>
        </w:rPr>
      </w:pPr>
    </w:p>
    <w:p w14:paraId="2C5A2BC0" w14:textId="77777777" w:rsidR="00C65EB8" w:rsidRPr="00022E1B" w:rsidRDefault="00C65EB8" w:rsidP="00F31CDD">
      <w:pPr>
        <w:rPr>
          <w:rFonts w:ascii="Arial" w:hAnsi="Arial" w:cs="Arial"/>
          <w:b/>
          <w:smallCaps/>
          <w:szCs w:val="24"/>
          <w:u w:val="single"/>
        </w:rPr>
      </w:pPr>
    </w:p>
    <w:p w14:paraId="1A4D28F0" w14:textId="77777777" w:rsidR="00C75025" w:rsidRPr="00022E1B" w:rsidRDefault="00C75025" w:rsidP="005B478C">
      <w:pPr>
        <w:jc w:val="both"/>
        <w:rPr>
          <w:rFonts w:ascii="Arial" w:hAnsi="Arial" w:cs="Arial"/>
          <w:b/>
          <w:szCs w:val="24"/>
          <w:u w:val="single"/>
        </w:rPr>
      </w:pPr>
      <w:r w:rsidRPr="00022E1B">
        <w:rPr>
          <w:rFonts w:ascii="Arial" w:hAnsi="Arial" w:cs="Arial"/>
          <w:b/>
          <w:szCs w:val="24"/>
          <w:u w:val="single"/>
        </w:rPr>
        <w:t>SUBJECT</w:t>
      </w:r>
    </w:p>
    <w:p w14:paraId="1D283DE8" w14:textId="77777777" w:rsidR="00266C01" w:rsidRPr="00022E1B" w:rsidRDefault="00266C01" w:rsidP="005B478C">
      <w:pPr>
        <w:jc w:val="both"/>
        <w:rPr>
          <w:rFonts w:ascii="Arial" w:hAnsi="Arial" w:cs="Arial"/>
          <w:szCs w:val="24"/>
        </w:rPr>
      </w:pPr>
    </w:p>
    <w:p w14:paraId="2BDBA208" w14:textId="1EC1A9CB" w:rsidR="00C65EB8" w:rsidRPr="00022E1B" w:rsidRDefault="00E8481B" w:rsidP="00C65EB8">
      <w:pPr>
        <w:jc w:val="both"/>
        <w:rPr>
          <w:rFonts w:ascii="Arial" w:hAnsi="Arial" w:cs="Arial"/>
          <w:b/>
          <w:szCs w:val="24"/>
          <w:u w:val="single"/>
        </w:rPr>
      </w:pPr>
      <w:r w:rsidRPr="00022E1B">
        <w:rPr>
          <w:rFonts w:ascii="Arial" w:hAnsi="Arial" w:cs="Arial"/>
          <w:szCs w:val="24"/>
        </w:rPr>
        <w:t xml:space="preserve">A briefing providing an overview of state and local laws protecting tenants and a review of King County’s current available protections for tenants. </w:t>
      </w:r>
    </w:p>
    <w:p w14:paraId="23E3E1F4" w14:textId="77777777" w:rsidR="00E541E9" w:rsidRPr="00022E1B" w:rsidRDefault="00E541E9" w:rsidP="005B478C">
      <w:pPr>
        <w:jc w:val="both"/>
        <w:rPr>
          <w:rFonts w:ascii="Arial" w:hAnsi="Arial" w:cs="Arial"/>
          <w:b/>
          <w:smallCaps/>
          <w:szCs w:val="24"/>
          <w:u w:val="single"/>
        </w:rPr>
      </w:pPr>
    </w:p>
    <w:p w14:paraId="78600755" w14:textId="77777777" w:rsidR="00C37A37" w:rsidRPr="00022E1B" w:rsidRDefault="007470ED" w:rsidP="005B478C">
      <w:pPr>
        <w:jc w:val="both"/>
        <w:rPr>
          <w:rFonts w:ascii="Arial" w:hAnsi="Arial" w:cs="Arial"/>
          <w:b/>
          <w:smallCaps/>
          <w:szCs w:val="24"/>
          <w:u w:val="single"/>
        </w:rPr>
      </w:pPr>
      <w:r w:rsidRPr="00022E1B">
        <w:rPr>
          <w:rFonts w:ascii="Arial" w:hAnsi="Arial" w:cs="Arial"/>
          <w:b/>
          <w:smallCaps/>
          <w:szCs w:val="24"/>
          <w:u w:val="single"/>
        </w:rPr>
        <w:t>SUMMARY</w:t>
      </w:r>
    </w:p>
    <w:p w14:paraId="170642D7" w14:textId="77777777" w:rsidR="00074A56" w:rsidRPr="00022E1B" w:rsidRDefault="00074A56" w:rsidP="005B478C">
      <w:pPr>
        <w:jc w:val="both"/>
        <w:rPr>
          <w:rFonts w:ascii="Arial" w:hAnsi="Arial" w:cs="Arial"/>
          <w:szCs w:val="24"/>
        </w:rPr>
      </w:pPr>
    </w:p>
    <w:p w14:paraId="1E5487B6" w14:textId="40D9BF65" w:rsidR="00C65EB8" w:rsidRPr="00022E1B" w:rsidRDefault="008E5DF1" w:rsidP="00C65EB8">
      <w:pPr>
        <w:jc w:val="both"/>
        <w:rPr>
          <w:rFonts w:ascii="Arial" w:hAnsi="Arial" w:cs="Arial"/>
          <w:szCs w:val="24"/>
        </w:rPr>
      </w:pPr>
      <w:r>
        <w:rPr>
          <w:rFonts w:ascii="Arial" w:hAnsi="Arial" w:cs="Arial"/>
          <w:szCs w:val="24"/>
        </w:rPr>
        <w:t>This briefing will discuss some of the current legislative protections in place for tenants at the local and state level in Washington State</w:t>
      </w:r>
      <w:r w:rsidR="00E576EE">
        <w:rPr>
          <w:rFonts w:ascii="Arial" w:hAnsi="Arial" w:cs="Arial"/>
          <w:szCs w:val="24"/>
        </w:rPr>
        <w:t>, as well as summarize</w:t>
      </w:r>
      <w:r w:rsidR="008904F0">
        <w:rPr>
          <w:rFonts w:ascii="Arial" w:hAnsi="Arial" w:cs="Arial"/>
          <w:szCs w:val="24"/>
        </w:rPr>
        <w:t xml:space="preserve"> the current renter protections in place for King County residents. </w:t>
      </w:r>
      <w:r w:rsidR="00E576EE">
        <w:rPr>
          <w:rFonts w:ascii="Arial" w:hAnsi="Arial" w:cs="Arial"/>
          <w:szCs w:val="24"/>
        </w:rPr>
        <w:t>There will also be a discussion on Just Cause Eviction legislation</w:t>
      </w:r>
      <w:r w:rsidR="008904F0">
        <w:rPr>
          <w:rFonts w:ascii="Arial" w:hAnsi="Arial" w:cs="Arial"/>
          <w:szCs w:val="24"/>
        </w:rPr>
        <w:t xml:space="preserve">. </w:t>
      </w:r>
      <w:r w:rsidR="008904F0" w:rsidRPr="00022E1B">
        <w:rPr>
          <w:rFonts w:ascii="Arial" w:hAnsi="Arial" w:cs="Arial"/>
          <w:szCs w:val="24"/>
        </w:rPr>
        <w:t>Just Cause Eviction legislation requires that owners have a “just” reason for pursuing an eviction. These “just” causes are different in laws across various jurisdictions, but common reasons include nonpayment of rent, breach of the terms of the rental agreement, and certain criminal activity.</w:t>
      </w:r>
      <w:r w:rsidR="008904F0">
        <w:rPr>
          <w:rFonts w:ascii="Arial" w:hAnsi="Arial" w:cs="Arial"/>
          <w:szCs w:val="24"/>
        </w:rPr>
        <w:t xml:space="preserve"> The briefing will include</w:t>
      </w:r>
      <w:r>
        <w:rPr>
          <w:rFonts w:ascii="Arial" w:hAnsi="Arial" w:cs="Arial"/>
          <w:szCs w:val="24"/>
        </w:rPr>
        <w:t xml:space="preserve"> an overview of Just Cause Evic</w:t>
      </w:r>
      <w:r w:rsidR="00E576EE">
        <w:rPr>
          <w:rFonts w:ascii="Arial" w:hAnsi="Arial" w:cs="Arial"/>
          <w:szCs w:val="24"/>
        </w:rPr>
        <w:t xml:space="preserve">tion legislation </w:t>
      </w:r>
      <w:r>
        <w:rPr>
          <w:rFonts w:ascii="Arial" w:hAnsi="Arial" w:cs="Arial"/>
          <w:szCs w:val="24"/>
        </w:rPr>
        <w:t xml:space="preserve">and some overview as to the cause of evictions as evidenced in research both at the local level and at the national level. </w:t>
      </w:r>
    </w:p>
    <w:p w14:paraId="2BE70738" w14:textId="77777777" w:rsidR="00C65EB8" w:rsidRPr="00022E1B" w:rsidRDefault="00C65EB8" w:rsidP="005B478C">
      <w:pPr>
        <w:jc w:val="both"/>
        <w:rPr>
          <w:rFonts w:ascii="Arial" w:hAnsi="Arial" w:cs="Arial"/>
          <w:szCs w:val="24"/>
        </w:rPr>
      </w:pPr>
    </w:p>
    <w:p w14:paraId="590CA85D" w14:textId="77777777" w:rsidR="00137F35" w:rsidRPr="00022E1B" w:rsidRDefault="00E15C29" w:rsidP="005B478C">
      <w:pPr>
        <w:jc w:val="both"/>
        <w:rPr>
          <w:rFonts w:ascii="Arial" w:hAnsi="Arial" w:cs="Arial"/>
          <w:b/>
          <w:smallCaps/>
          <w:szCs w:val="24"/>
          <w:u w:val="single"/>
        </w:rPr>
      </w:pPr>
      <w:r w:rsidRPr="00022E1B">
        <w:rPr>
          <w:rFonts w:ascii="Arial" w:hAnsi="Arial" w:cs="Arial"/>
          <w:b/>
          <w:smallCaps/>
          <w:szCs w:val="24"/>
          <w:u w:val="single"/>
        </w:rPr>
        <w:t>BACKGROUND</w:t>
      </w:r>
      <w:r w:rsidR="00082009" w:rsidRPr="00022E1B">
        <w:rPr>
          <w:rFonts w:ascii="Arial" w:hAnsi="Arial" w:cs="Arial"/>
          <w:b/>
          <w:smallCaps/>
          <w:szCs w:val="24"/>
          <w:u w:val="single"/>
        </w:rPr>
        <w:t xml:space="preserve"> </w:t>
      </w:r>
    </w:p>
    <w:p w14:paraId="05987D80" w14:textId="527B196C" w:rsidR="00C23A68" w:rsidRPr="00022E1B" w:rsidRDefault="00C23A68" w:rsidP="005B478C">
      <w:pPr>
        <w:jc w:val="both"/>
        <w:rPr>
          <w:rFonts w:ascii="Arial" w:hAnsi="Arial" w:cs="Arial"/>
          <w:smallCaps/>
          <w:szCs w:val="24"/>
        </w:rPr>
      </w:pPr>
    </w:p>
    <w:p w14:paraId="6188697C" w14:textId="3894678E" w:rsidR="00C23A68" w:rsidRPr="008E5DF1" w:rsidRDefault="00C23A68" w:rsidP="00C65EB8">
      <w:pPr>
        <w:jc w:val="both"/>
        <w:rPr>
          <w:rFonts w:ascii="Arial" w:hAnsi="Arial" w:cs="Arial"/>
          <w:szCs w:val="24"/>
        </w:rPr>
      </w:pPr>
      <w:r>
        <w:rPr>
          <w:rFonts w:ascii="Arial" w:hAnsi="Arial" w:cs="Arial"/>
          <w:szCs w:val="24"/>
        </w:rPr>
        <w:t xml:space="preserve">King County </w:t>
      </w:r>
      <w:r w:rsidRPr="008E5DF1">
        <w:rPr>
          <w:rFonts w:ascii="Arial" w:hAnsi="Arial" w:cs="Arial"/>
          <w:szCs w:val="24"/>
        </w:rPr>
        <w:t>has nearly 2.2 million residents and is the largest county in Washington State. Two million of its residents live in one of the 39 cities in the county and 200,000 live in the unincorporated area.</w:t>
      </w:r>
      <w:r w:rsidR="008E5DF1" w:rsidRPr="008E5DF1">
        <w:rPr>
          <w:rFonts w:ascii="Arial" w:hAnsi="Arial" w:cs="Arial"/>
          <w:szCs w:val="24"/>
        </w:rPr>
        <w:t xml:space="preserve"> </w:t>
      </w:r>
      <w:r w:rsidR="008E5DF1" w:rsidRPr="008E5DF1">
        <w:rPr>
          <w:rStyle w:val="A10"/>
          <w:rFonts w:ascii="Arial" w:hAnsi="Arial" w:cs="Arial"/>
          <w:color w:val="auto"/>
          <w:sz w:val="24"/>
          <w:szCs w:val="24"/>
        </w:rPr>
        <w:t>In 2018, the Federal Department of Housing and Urban Development (HUD) defined Area Median Income (AMI) for a family of four in King and Snohomish counties as earning an annual income of $103,400. A family of four earning 80 percent AMI has an annual income of $82,720 and could pay monthly housing costs of $2,068 without being cost burdened. The average rent in King County was $2,432 per month.</w:t>
      </w:r>
      <w:r w:rsidR="008E5DF1" w:rsidRPr="008E5DF1">
        <w:rPr>
          <w:rStyle w:val="FootnoteReference"/>
          <w:rFonts w:ascii="Arial" w:hAnsi="Arial" w:cs="Arial"/>
          <w:szCs w:val="24"/>
        </w:rPr>
        <w:footnoteReference w:id="1"/>
      </w:r>
    </w:p>
    <w:p w14:paraId="429E2557" w14:textId="77777777" w:rsidR="00C23A68" w:rsidRDefault="00C23A68" w:rsidP="00C65EB8">
      <w:pPr>
        <w:jc w:val="both"/>
        <w:rPr>
          <w:rFonts w:ascii="Arial" w:hAnsi="Arial" w:cs="Arial"/>
          <w:szCs w:val="24"/>
        </w:rPr>
      </w:pPr>
    </w:p>
    <w:p w14:paraId="09FE09AB" w14:textId="4ABDC9E7" w:rsidR="00137F35" w:rsidRPr="00022E1B" w:rsidRDefault="00137F35" w:rsidP="00C65EB8">
      <w:pPr>
        <w:jc w:val="both"/>
        <w:rPr>
          <w:rFonts w:ascii="Arial" w:hAnsi="Arial" w:cs="Arial"/>
          <w:szCs w:val="24"/>
        </w:rPr>
      </w:pPr>
      <w:r w:rsidRPr="00022E1B">
        <w:rPr>
          <w:rFonts w:ascii="Arial" w:hAnsi="Arial" w:cs="Arial"/>
          <w:szCs w:val="24"/>
        </w:rPr>
        <w:t>In th</w:t>
      </w:r>
      <w:r w:rsidR="00E576EE">
        <w:rPr>
          <w:rFonts w:ascii="Arial" w:hAnsi="Arial" w:cs="Arial"/>
          <w:szCs w:val="24"/>
        </w:rPr>
        <w:t>e spring of 2018 Princeton University’s</w:t>
      </w:r>
      <w:r w:rsidRPr="00022E1B">
        <w:rPr>
          <w:rFonts w:ascii="Arial" w:hAnsi="Arial" w:cs="Arial"/>
          <w:szCs w:val="24"/>
        </w:rPr>
        <w:t xml:space="preserve"> Eviction Lab</w:t>
      </w:r>
      <w:r w:rsidRPr="00022E1B">
        <w:rPr>
          <w:rStyle w:val="FootnoteReference"/>
          <w:rFonts w:ascii="Arial" w:hAnsi="Arial" w:cs="Arial"/>
          <w:szCs w:val="24"/>
        </w:rPr>
        <w:footnoteReference w:id="2"/>
      </w:r>
      <w:r w:rsidRPr="00022E1B">
        <w:rPr>
          <w:rFonts w:ascii="Arial" w:hAnsi="Arial" w:cs="Arial"/>
          <w:szCs w:val="24"/>
        </w:rPr>
        <w:t xml:space="preserve"> issued their first Methodology report analyzing a data set of 82,935,981 million court records related to eviction cases in the United States between 2000 and 2016.</w:t>
      </w:r>
      <w:r w:rsidRPr="00022E1B">
        <w:rPr>
          <w:rStyle w:val="FootnoteReference"/>
          <w:rFonts w:ascii="Arial" w:hAnsi="Arial" w:cs="Arial"/>
          <w:szCs w:val="24"/>
        </w:rPr>
        <w:footnoteReference w:id="3"/>
      </w:r>
      <w:r w:rsidRPr="00022E1B">
        <w:rPr>
          <w:rFonts w:ascii="Arial" w:hAnsi="Arial" w:cs="Arial"/>
          <w:szCs w:val="24"/>
        </w:rPr>
        <w:t xml:space="preserve"> According to the Eviction Lab: </w:t>
      </w:r>
    </w:p>
    <w:p w14:paraId="71C5A8B4" w14:textId="77777777" w:rsidR="00137F35" w:rsidRPr="00022E1B" w:rsidRDefault="00137F35" w:rsidP="00C65EB8">
      <w:pPr>
        <w:jc w:val="both"/>
        <w:rPr>
          <w:rFonts w:ascii="Arial" w:hAnsi="Arial" w:cs="Arial"/>
          <w:szCs w:val="24"/>
        </w:rPr>
      </w:pPr>
    </w:p>
    <w:p w14:paraId="46E5FB73" w14:textId="77777777" w:rsidR="00137F35" w:rsidRPr="00022E1B" w:rsidRDefault="00137F35" w:rsidP="00137F35">
      <w:pPr>
        <w:ind w:left="720"/>
        <w:jc w:val="both"/>
        <w:rPr>
          <w:rFonts w:ascii="Arial" w:hAnsi="Arial" w:cs="Arial"/>
          <w:szCs w:val="24"/>
        </w:rPr>
      </w:pPr>
      <w:r w:rsidRPr="00022E1B">
        <w:rPr>
          <w:rFonts w:ascii="Arial" w:hAnsi="Arial" w:cs="Arial"/>
          <w:szCs w:val="24"/>
        </w:rPr>
        <w:t>An eviction occurs when a landlord forcibly expels a tenant from a residence. While the majority of evictions are attributed to nonpayment of rent, landlords may evict tenants for a variety of other reasons, including property damage, nuisance complaints, or lease violations. A formal eviction occurs when a landlord carries out an eviction through the court system.</w:t>
      </w:r>
      <w:r w:rsidRPr="00022E1B">
        <w:rPr>
          <w:rStyle w:val="FootnoteReference"/>
          <w:rFonts w:ascii="Arial" w:hAnsi="Arial" w:cs="Arial"/>
          <w:szCs w:val="24"/>
        </w:rPr>
        <w:footnoteReference w:id="4"/>
      </w:r>
    </w:p>
    <w:p w14:paraId="7FEC4091" w14:textId="77777777" w:rsidR="00F71F7B" w:rsidRPr="00022E1B" w:rsidRDefault="00F71F7B" w:rsidP="00F71F7B">
      <w:pPr>
        <w:jc w:val="both"/>
        <w:rPr>
          <w:rFonts w:ascii="Arial" w:hAnsi="Arial" w:cs="Arial"/>
          <w:szCs w:val="24"/>
        </w:rPr>
      </w:pPr>
    </w:p>
    <w:p w14:paraId="2F8717BD" w14:textId="6664FFED" w:rsidR="00F71F7B" w:rsidRPr="00022E1B" w:rsidRDefault="00F71F7B" w:rsidP="00F71F7B">
      <w:pPr>
        <w:jc w:val="both"/>
        <w:rPr>
          <w:rFonts w:ascii="Arial" w:hAnsi="Arial" w:cs="Arial"/>
          <w:szCs w:val="24"/>
        </w:rPr>
      </w:pPr>
      <w:r w:rsidRPr="00022E1B">
        <w:rPr>
          <w:rFonts w:ascii="Arial" w:hAnsi="Arial" w:cs="Arial"/>
          <w:szCs w:val="24"/>
        </w:rPr>
        <w:t xml:space="preserve">The Eviction Lab </w:t>
      </w:r>
      <w:r w:rsidR="00E576EE">
        <w:rPr>
          <w:rFonts w:ascii="Arial" w:hAnsi="Arial" w:cs="Arial"/>
          <w:szCs w:val="24"/>
        </w:rPr>
        <w:t xml:space="preserve">also </w:t>
      </w:r>
      <w:r w:rsidRPr="00022E1B">
        <w:rPr>
          <w:rFonts w:ascii="Arial" w:hAnsi="Arial" w:cs="Arial"/>
          <w:szCs w:val="24"/>
        </w:rPr>
        <w:t>states, of the relationship between the affordable housing crisis and the eviction epidemic: “Today, most poor renting families spend at least half of their income on housing costs, with one in four of those families spending over 70 percent of their income just on rent and utilities.”</w:t>
      </w:r>
      <w:r w:rsidRPr="00022E1B">
        <w:rPr>
          <w:rStyle w:val="FootnoteReference"/>
          <w:rFonts w:ascii="Arial" w:hAnsi="Arial" w:cs="Arial"/>
          <w:szCs w:val="24"/>
        </w:rPr>
        <w:footnoteReference w:id="5"/>
      </w:r>
    </w:p>
    <w:p w14:paraId="6CA677C3" w14:textId="77777777" w:rsidR="00137F35" w:rsidRPr="00022E1B" w:rsidRDefault="00137F35" w:rsidP="00C65EB8">
      <w:pPr>
        <w:jc w:val="both"/>
        <w:rPr>
          <w:rFonts w:ascii="Arial" w:hAnsi="Arial" w:cs="Arial"/>
          <w:szCs w:val="24"/>
        </w:rPr>
      </w:pPr>
    </w:p>
    <w:p w14:paraId="494D6654" w14:textId="0FA94318" w:rsidR="00F41F6B" w:rsidRPr="00022E1B" w:rsidRDefault="00B04BF8" w:rsidP="00C65EB8">
      <w:pPr>
        <w:jc w:val="both"/>
        <w:rPr>
          <w:rFonts w:ascii="Arial" w:hAnsi="Arial" w:cs="Arial"/>
          <w:szCs w:val="24"/>
        </w:rPr>
      </w:pPr>
      <w:r w:rsidRPr="00022E1B">
        <w:rPr>
          <w:rFonts w:ascii="Arial" w:hAnsi="Arial" w:cs="Arial"/>
          <w:szCs w:val="24"/>
        </w:rPr>
        <w:t xml:space="preserve">In </w:t>
      </w:r>
      <w:r w:rsidR="00F41E58" w:rsidRPr="00022E1B">
        <w:rPr>
          <w:rFonts w:ascii="Arial" w:hAnsi="Arial" w:cs="Arial"/>
          <w:szCs w:val="24"/>
        </w:rPr>
        <w:t>the fall</w:t>
      </w:r>
      <w:r w:rsidRPr="00022E1B">
        <w:rPr>
          <w:rFonts w:ascii="Arial" w:hAnsi="Arial" w:cs="Arial"/>
          <w:szCs w:val="24"/>
        </w:rPr>
        <w:t xml:space="preserve"> of 2018 the King County Bar Association</w:t>
      </w:r>
      <w:r w:rsidR="00F41E58" w:rsidRPr="00022E1B">
        <w:rPr>
          <w:rFonts w:ascii="Arial" w:hAnsi="Arial" w:cs="Arial"/>
          <w:szCs w:val="24"/>
        </w:rPr>
        <w:t xml:space="preserve"> (Housing Justice Project)</w:t>
      </w:r>
      <w:r w:rsidRPr="00022E1B">
        <w:rPr>
          <w:rFonts w:ascii="Arial" w:hAnsi="Arial" w:cs="Arial"/>
          <w:szCs w:val="24"/>
        </w:rPr>
        <w:t xml:space="preserve"> and the Seattle Women’s Commission issued a joint report entitled: “Losing Home: The Human Cost of Eviction in Seattle.”</w:t>
      </w:r>
      <w:r w:rsidRPr="00022E1B">
        <w:rPr>
          <w:rStyle w:val="FootnoteReference"/>
          <w:rFonts w:ascii="Arial" w:hAnsi="Arial" w:cs="Arial"/>
          <w:szCs w:val="24"/>
        </w:rPr>
        <w:footnoteReference w:id="6"/>
      </w:r>
      <w:r w:rsidR="00F41E58" w:rsidRPr="00022E1B">
        <w:rPr>
          <w:rFonts w:ascii="Arial" w:hAnsi="Arial" w:cs="Arial"/>
          <w:szCs w:val="24"/>
        </w:rPr>
        <w:t xml:space="preserve"> This report cited that national research shows eviction is one of the leading causes of homelessness.</w:t>
      </w:r>
      <w:r w:rsidR="00F41E58" w:rsidRPr="00022E1B">
        <w:rPr>
          <w:rStyle w:val="FootnoteReference"/>
          <w:rFonts w:ascii="Arial" w:hAnsi="Arial" w:cs="Arial"/>
          <w:szCs w:val="24"/>
        </w:rPr>
        <w:footnoteReference w:id="7"/>
      </w:r>
      <w:r w:rsidR="00F41E58" w:rsidRPr="00022E1B">
        <w:rPr>
          <w:rFonts w:ascii="Arial" w:hAnsi="Arial" w:cs="Arial"/>
          <w:szCs w:val="24"/>
        </w:rPr>
        <w:t xml:space="preserve"> As part of this report, a survey was conducted on the Housing Justice Project’s clients </w:t>
      </w:r>
      <w:r w:rsidR="00E8481B" w:rsidRPr="00022E1B">
        <w:rPr>
          <w:rFonts w:ascii="Arial" w:hAnsi="Arial" w:cs="Arial"/>
          <w:szCs w:val="24"/>
        </w:rPr>
        <w:t>(in Seattle out of a total of 1,473 individual tenants)</w:t>
      </w:r>
      <w:r w:rsidR="00E8481B" w:rsidRPr="00022E1B">
        <w:rPr>
          <w:rStyle w:val="FootnoteReference"/>
          <w:rFonts w:ascii="Arial" w:hAnsi="Arial" w:cs="Arial"/>
          <w:szCs w:val="24"/>
        </w:rPr>
        <w:footnoteReference w:id="8"/>
      </w:r>
      <w:r w:rsidR="00E8481B" w:rsidRPr="00022E1B">
        <w:rPr>
          <w:rFonts w:ascii="Arial" w:hAnsi="Arial" w:cs="Arial"/>
          <w:szCs w:val="24"/>
        </w:rPr>
        <w:t xml:space="preserve"> </w:t>
      </w:r>
      <w:r w:rsidR="00F41E58" w:rsidRPr="00022E1B">
        <w:rPr>
          <w:rFonts w:ascii="Arial" w:hAnsi="Arial" w:cs="Arial"/>
          <w:szCs w:val="24"/>
        </w:rPr>
        <w:t>and findings included: women were more likely to be evicted over small amounts of money (in single-tenant household cases where a tenant owed $100 or less, 81% were women), 31.2% of tenants in eviction filings were Bla</w:t>
      </w:r>
      <w:r w:rsidR="00FF6BB9" w:rsidRPr="00022E1B">
        <w:rPr>
          <w:rFonts w:ascii="Arial" w:hAnsi="Arial" w:cs="Arial"/>
          <w:szCs w:val="24"/>
        </w:rPr>
        <w:t>c</w:t>
      </w:r>
      <w:r w:rsidR="00F41E58" w:rsidRPr="00022E1B">
        <w:rPr>
          <w:rFonts w:ascii="Arial" w:hAnsi="Arial" w:cs="Arial"/>
          <w:szCs w:val="24"/>
        </w:rPr>
        <w:t>k tenants (experiencing eviction at a rate 4.5 times what would be expected based on their demographics in Seattle), and 86.5% of eviction filings were for nonpayment of rent (52.3% of these were for one month or less in rent).</w:t>
      </w:r>
      <w:r w:rsidR="00F41E58" w:rsidRPr="00022E1B">
        <w:rPr>
          <w:rStyle w:val="FootnoteReference"/>
          <w:rFonts w:ascii="Arial" w:hAnsi="Arial" w:cs="Arial"/>
          <w:szCs w:val="24"/>
        </w:rPr>
        <w:footnoteReference w:id="9"/>
      </w:r>
    </w:p>
    <w:p w14:paraId="395B9356" w14:textId="77777777" w:rsidR="00F41F6B" w:rsidRPr="00022E1B" w:rsidRDefault="00F41F6B" w:rsidP="00C65EB8">
      <w:pPr>
        <w:jc w:val="both"/>
        <w:rPr>
          <w:rFonts w:ascii="Arial" w:hAnsi="Arial" w:cs="Arial"/>
          <w:szCs w:val="24"/>
        </w:rPr>
      </w:pPr>
    </w:p>
    <w:p w14:paraId="2F626A4D" w14:textId="5C5909B8" w:rsidR="00F81A74" w:rsidRPr="00557105" w:rsidRDefault="00D24175" w:rsidP="00AC6245">
      <w:pPr>
        <w:jc w:val="both"/>
        <w:rPr>
          <w:rFonts w:ascii="Arial" w:hAnsi="Arial" w:cs="Arial"/>
          <w:b/>
          <w:szCs w:val="24"/>
        </w:rPr>
      </w:pPr>
      <w:r w:rsidRPr="00022E1B">
        <w:rPr>
          <w:rFonts w:ascii="Arial" w:hAnsi="Arial" w:cs="Arial"/>
          <w:b/>
          <w:szCs w:val="24"/>
        </w:rPr>
        <w:t xml:space="preserve">Renter protections in King </w:t>
      </w:r>
      <w:proofErr w:type="gramStart"/>
      <w:r w:rsidRPr="00022E1B">
        <w:rPr>
          <w:rFonts w:ascii="Arial" w:hAnsi="Arial" w:cs="Arial"/>
          <w:b/>
          <w:szCs w:val="24"/>
        </w:rPr>
        <w:t>County</w:t>
      </w:r>
      <w:r w:rsidR="00557105">
        <w:rPr>
          <w:rFonts w:ascii="Arial" w:hAnsi="Arial" w:cs="Arial"/>
          <w:b/>
          <w:szCs w:val="24"/>
        </w:rPr>
        <w:t xml:space="preserve">  </w:t>
      </w:r>
      <w:r w:rsidR="00AC6245" w:rsidRPr="00022E1B">
        <w:rPr>
          <w:rFonts w:ascii="Arial" w:hAnsi="Arial" w:cs="Arial"/>
          <w:szCs w:val="24"/>
        </w:rPr>
        <w:t>The</w:t>
      </w:r>
      <w:proofErr w:type="gramEnd"/>
      <w:r w:rsidR="00AC6245" w:rsidRPr="00022E1B">
        <w:rPr>
          <w:rFonts w:ascii="Arial" w:hAnsi="Arial" w:cs="Arial"/>
          <w:szCs w:val="24"/>
        </w:rPr>
        <w:t xml:space="preserve"> King County Code’s Open Housing chapter</w:t>
      </w:r>
      <w:r w:rsidR="00AC6245" w:rsidRPr="00022E1B">
        <w:rPr>
          <w:rStyle w:val="FootnoteReference"/>
          <w:rFonts w:ascii="Arial" w:hAnsi="Arial" w:cs="Arial"/>
          <w:szCs w:val="24"/>
        </w:rPr>
        <w:footnoteReference w:id="10"/>
      </w:r>
      <w:r w:rsidR="00AC6245" w:rsidRPr="00022E1B">
        <w:rPr>
          <w:rFonts w:ascii="Arial" w:hAnsi="Arial" w:cs="Arial"/>
          <w:szCs w:val="24"/>
        </w:rPr>
        <w:t xml:space="preserve"> regulates the practices of those who rent or sell homes or apartments in unincorporated King County. </w:t>
      </w:r>
    </w:p>
    <w:p w14:paraId="03F95179" w14:textId="77777777" w:rsidR="00F81A74" w:rsidRPr="00022E1B" w:rsidRDefault="00F81A74" w:rsidP="00AC6245">
      <w:pPr>
        <w:jc w:val="both"/>
        <w:rPr>
          <w:rFonts w:ascii="Arial" w:hAnsi="Arial" w:cs="Arial"/>
          <w:szCs w:val="24"/>
        </w:rPr>
      </w:pPr>
    </w:p>
    <w:p w14:paraId="0EB735FF" w14:textId="376DC118" w:rsidR="00F81A74" w:rsidRPr="00022E1B" w:rsidRDefault="00F81A74" w:rsidP="00F81A74">
      <w:pPr>
        <w:jc w:val="both"/>
        <w:rPr>
          <w:rFonts w:ascii="Arial" w:hAnsi="Arial" w:cs="Arial"/>
          <w:szCs w:val="24"/>
        </w:rPr>
      </w:pPr>
      <w:r w:rsidRPr="00022E1B">
        <w:rPr>
          <w:rFonts w:ascii="Arial" w:hAnsi="Arial" w:cs="Arial"/>
          <w:szCs w:val="24"/>
        </w:rPr>
        <w:lastRenderedPageBreak/>
        <w:t>In 1981, the King County Council adopted the Fair Housing Ordinance,</w:t>
      </w:r>
      <w:r w:rsidRPr="00022E1B">
        <w:rPr>
          <w:rStyle w:val="FootnoteReference"/>
          <w:rFonts w:ascii="Arial" w:hAnsi="Arial" w:cs="Arial"/>
          <w:szCs w:val="24"/>
        </w:rPr>
        <w:footnoteReference w:id="11"/>
      </w:r>
      <w:r w:rsidRPr="00022E1B">
        <w:rPr>
          <w:rFonts w:ascii="Arial" w:hAnsi="Arial" w:cs="Arial"/>
          <w:szCs w:val="24"/>
        </w:rPr>
        <w:t xml:space="preserve"> which prohibited discrimination in the rental, sale or financing of housing in unincorporated King County on the basis of race, color, religion, national origin, age, sex, marital status, parental status, sexual orientation, </w:t>
      </w:r>
      <w:r w:rsidR="00FF6BB9" w:rsidRPr="00022E1B">
        <w:rPr>
          <w:rFonts w:ascii="Arial" w:hAnsi="Arial" w:cs="Arial"/>
          <w:szCs w:val="24"/>
        </w:rPr>
        <w:t>disability</w:t>
      </w:r>
      <w:r w:rsidRPr="00022E1B">
        <w:rPr>
          <w:rFonts w:ascii="Arial" w:hAnsi="Arial" w:cs="Arial"/>
          <w:szCs w:val="24"/>
        </w:rPr>
        <w:t xml:space="preserve">, or the use of a trained service dog.  </w:t>
      </w:r>
    </w:p>
    <w:p w14:paraId="259F4377" w14:textId="77777777" w:rsidR="00F81A74" w:rsidRPr="00022E1B" w:rsidRDefault="00F81A74" w:rsidP="00F81A74">
      <w:pPr>
        <w:jc w:val="both"/>
        <w:rPr>
          <w:rFonts w:ascii="Arial" w:hAnsi="Arial" w:cs="Arial"/>
          <w:szCs w:val="24"/>
        </w:rPr>
      </w:pPr>
    </w:p>
    <w:p w14:paraId="69EBFF2D" w14:textId="2328BF65" w:rsidR="00F81A74" w:rsidRPr="00022E1B" w:rsidRDefault="00F81A74" w:rsidP="00F81A74">
      <w:pPr>
        <w:jc w:val="both"/>
        <w:rPr>
          <w:rFonts w:ascii="Arial" w:hAnsi="Arial" w:cs="Arial"/>
          <w:szCs w:val="24"/>
        </w:rPr>
      </w:pPr>
      <w:r w:rsidRPr="00022E1B">
        <w:rPr>
          <w:rFonts w:ascii="Arial" w:hAnsi="Arial" w:cs="Arial"/>
          <w:szCs w:val="24"/>
        </w:rPr>
        <w:t>In 1992, the Council updated the Fair Housing Ordinance by adding participation in the Section 8</w:t>
      </w:r>
      <w:r w:rsidRPr="00022E1B">
        <w:rPr>
          <w:rStyle w:val="FootnoteReference"/>
          <w:rFonts w:ascii="Arial" w:hAnsi="Arial" w:cs="Arial"/>
          <w:szCs w:val="24"/>
        </w:rPr>
        <w:footnoteReference w:id="12"/>
      </w:r>
      <w:r w:rsidRPr="00022E1B">
        <w:rPr>
          <w:rFonts w:ascii="Arial" w:hAnsi="Arial" w:cs="Arial"/>
          <w:szCs w:val="24"/>
        </w:rPr>
        <w:t xml:space="preserve"> program to the list of conditions against which housing discrimination was prohibited.</w:t>
      </w:r>
      <w:r w:rsidRPr="00022E1B">
        <w:rPr>
          <w:rStyle w:val="FootnoteReference"/>
          <w:rFonts w:ascii="Arial" w:hAnsi="Arial" w:cs="Arial"/>
          <w:szCs w:val="24"/>
        </w:rPr>
        <w:footnoteReference w:id="13"/>
      </w:r>
      <w:r w:rsidRPr="00022E1B">
        <w:rPr>
          <w:rFonts w:ascii="Arial" w:hAnsi="Arial" w:cs="Arial"/>
          <w:szCs w:val="24"/>
        </w:rPr>
        <w:t xml:space="preserve"> </w:t>
      </w:r>
    </w:p>
    <w:p w14:paraId="1DA93E1C" w14:textId="77777777" w:rsidR="00F81A74" w:rsidRPr="00022E1B" w:rsidRDefault="00F81A74" w:rsidP="00F81A74">
      <w:pPr>
        <w:jc w:val="both"/>
        <w:rPr>
          <w:rFonts w:ascii="Arial" w:hAnsi="Arial" w:cs="Arial"/>
          <w:szCs w:val="24"/>
        </w:rPr>
      </w:pPr>
    </w:p>
    <w:p w14:paraId="00C08D12" w14:textId="5F74A218" w:rsidR="00F81A74" w:rsidRPr="00022E1B" w:rsidRDefault="00F81A74" w:rsidP="00F81A74">
      <w:pPr>
        <w:jc w:val="both"/>
        <w:rPr>
          <w:rFonts w:ascii="Arial" w:hAnsi="Arial" w:cs="Arial"/>
          <w:szCs w:val="24"/>
        </w:rPr>
      </w:pPr>
      <w:r w:rsidRPr="00022E1B">
        <w:rPr>
          <w:rFonts w:ascii="Arial" w:hAnsi="Arial" w:cs="Arial"/>
          <w:szCs w:val="24"/>
        </w:rPr>
        <w:t>These ordinances were codified to become the K</w:t>
      </w:r>
      <w:r w:rsidR="00557105">
        <w:rPr>
          <w:rFonts w:ascii="Arial" w:hAnsi="Arial" w:cs="Arial"/>
          <w:szCs w:val="24"/>
        </w:rPr>
        <w:t>ing County Code’s Open Housing C</w:t>
      </w:r>
      <w:r w:rsidRPr="00022E1B">
        <w:rPr>
          <w:rFonts w:ascii="Arial" w:hAnsi="Arial" w:cs="Arial"/>
          <w:szCs w:val="24"/>
        </w:rPr>
        <w:t>hapter</w:t>
      </w:r>
      <w:r w:rsidR="00557105">
        <w:rPr>
          <w:rFonts w:ascii="Arial" w:hAnsi="Arial" w:cs="Arial"/>
          <w:szCs w:val="24"/>
        </w:rPr>
        <w:t xml:space="preserve"> (K.C.C. 12.20)</w:t>
      </w:r>
      <w:r w:rsidRPr="00022E1B">
        <w:rPr>
          <w:rFonts w:ascii="Arial" w:hAnsi="Arial" w:cs="Arial"/>
          <w:szCs w:val="24"/>
        </w:rPr>
        <w:t>,</w:t>
      </w:r>
      <w:r w:rsidRPr="00022E1B">
        <w:rPr>
          <w:rStyle w:val="FootnoteReference"/>
          <w:rFonts w:ascii="Arial" w:hAnsi="Arial" w:cs="Arial"/>
          <w:szCs w:val="24"/>
        </w:rPr>
        <w:footnoteReference w:id="14"/>
      </w:r>
      <w:r w:rsidRPr="00022E1B">
        <w:rPr>
          <w:rFonts w:ascii="Arial" w:hAnsi="Arial" w:cs="Arial"/>
          <w:szCs w:val="24"/>
        </w:rPr>
        <w:t xml:space="preserve"> which continues to regulate the practices of those who rent or sell homes or apartments in unincorporated King County. Investigation of complaints is handled by the King County Office of Civil Rights.</w:t>
      </w:r>
    </w:p>
    <w:p w14:paraId="60169141" w14:textId="7850D575" w:rsidR="00AC6245" w:rsidRPr="00022E1B" w:rsidRDefault="00AC6245" w:rsidP="00AC6245">
      <w:pPr>
        <w:jc w:val="both"/>
        <w:rPr>
          <w:rFonts w:ascii="Arial" w:hAnsi="Arial" w:cs="Arial"/>
          <w:szCs w:val="24"/>
        </w:rPr>
      </w:pPr>
    </w:p>
    <w:p w14:paraId="662EC242" w14:textId="14DCB377" w:rsidR="00A21620" w:rsidRPr="00022E1B" w:rsidRDefault="00A21620" w:rsidP="00C65EB8">
      <w:pPr>
        <w:jc w:val="both"/>
        <w:rPr>
          <w:rFonts w:ascii="Arial" w:hAnsi="Arial" w:cs="Arial"/>
          <w:szCs w:val="24"/>
        </w:rPr>
      </w:pPr>
      <w:r w:rsidRPr="00022E1B">
        <w:rPr>
          <w:rFonts w:ascii="Arial" w:hAnsi="Arial" w:cs="Arial"/>
          <w:szCs w:val="24"/>
        </w:rPr>
        <w:t>Ordinance 18708 was enacted by the King County Council in 2018, to prohibit discrimination based on the source of income used by a tenant or homebuyer for housing in unincorporated King County.</w:t>
      </w:r>
      <w:r w:rsidR="00AC6245" w:rsidRPr="00022E1B">
        <w:rPr>
          <w:rFonts w:ascii="Arial" w:hAnsi="Arial" w:cs="Arial"/>
          <w:szCs w:val="24"/>
        </w:rPr>
        <w:t xml:space="preserve"> Specifically: </w:t>
      </w:r>
    </w:p>
    <w:p w14:paraId="2BCE139C" w14:textId="659BC006" w:rsidR="00AC6245" w:rsidRPr="00022E1B" w:rsidRDefault="00AC6245" w:rsidP="00AC6245">
      <w:pPr>
        <w:jc w:val="both"/>
        <w:rPr>
          <w:rFonts w:ascii="Arial" w:hAnsi="Arial" w:cs="Arial"/>
          <w:szCs w:val="24"/>
        </w:rPr>
      </w:pPr>
    </w:p>
    <w:p w14:paraId="1BD32350" w14:textId="726D68F7" w:rsidR="00AC6245" w:rsidRPr="00022E1B" w:rsidRDefault="00AC6245" w:rsidP="00FF6BB9">
      <w:pPr>
        <w:pStyle w:val="ListParagraph0"/>
        <w:numPr>
          <w:ilvl w:val="0"/>
          <w:numId w:val="3"/>
        </w:numPr>
        <w:spacing w:line="240" w:lineRule="auto"/>
        <w:jc w:val="both"/>
        <w:rPr>
          <w:rFonts w:ascii="Arial" w:hAnsi="Arial" w:cs="Arial"/>
        </w:rPr>
      </w:pPr>
      <w:r w:rsidRPr="00022E1B">
        <w:rPr>
          <w:rFonts w:ascii="Arial" w:hAnsi="Arial" w:cs="Arial"/>
        </w:rPr>
        <w:t>A cash b</w:t>
      </w:r>
      <w:r w:rsidR="00022E1B" w:rsidRPr="00022E1B">
        <w:rPr>
          <w:rFonts w:ascii="Arial" w:hAnsi="Arial" w:cs="Arial"/>
        </w:rPr>
        <w:t>enefit, such as Social Security; a retirement program; unemployment; child support;</w:t>
      </w:r>
      <w:r w:rsidRPr="00022E1B">
        <w:rPr>
          <w:rFonts w:ascii="Arial" w:hAnsi="Arial" w:cs="Arial"/>
        </w:rPr>
        <w:t xml:space="preserve"> </w:t>
      </w:r>
      <w:r w:rsidR="00022E1B" w:rsidRPr="00022E1B">
        <w:rPr>
          <w:rFonts w:ascii="Arial" w:hAnsi="Arial" w:cs="Arial"/>
        </w:rPr>
        <w:t xml:space="preserve">the State Aged, Blind or Disabled Cash Assistance Program; state refugee Cash Assistance; </w:t>
      </w:r>
      <w:r w:rsidRPr="00022E1B">
        <w:rPr>
          <w:rFonts w:ascii="Arial" w:hAnsi="Arial" w:cs="Arial"/>
        </w:rPr>
        <w:t xml:space="preserve">or other federal, state, local, private or nonprofit programs; or </w:t>
      </w:r>
    </w:p>
    <w:p w14:paraId="0DFE6D29" w14:textId="77777777" w:rsidR="00AC6245" w:rsidRPr="00022E1B" w:rsidRDefault="00AC6245" w:rsidP="00AC6245">
      <w:pPr>
        <w:pStyle w:val="ListParagraph0"/>
        <w:spacing w:line="240" w:lineRule="auto"/>
        <w:jc w:val="both"/>
        <w:rPr>
          <w:rFonts w:ascii="Arial" w:hAnsi="Arial" w:cs="Arial"/>
        </w:rPr>
      </w:pPr>
    </w:p>
    <w:p w14:paraId="7B66A4D2" w14:textId="58E548A8" w:rsidR="00AC6245" w:rsidRDefault="00AC6245" w:rsidP="00C65EB8">
      <w:pPr>
        <w:pStyle w:val="ListParagraph0"/>
        <w:numPr>
          <w:ilvl w:val="0"/>
          <w:numId w:val="3"/>
        </w:numPr>
        <w:spacing w:line="240" w:lineRule="auto"/>
        <w:jc w:val="both"/>
        <w:rPr>
          <w:rFonts w:ascii="Arial" w:hAnsi="Arial" w:cs="Arial"/>
        </w:rPr>
      </w:pPr>
      <w:r w:rsidRPr="00022E1B">
        <w:rPr>
          <w:rFonts w:ascii="Arial" w:hAnsi="Arial" w:cs="Arial"/>
        </w:rPr>
        <w:t>A housing subsidy, in addition to Section 8, such as Veterans Affairs Supportive Housing (VASH) vouchers, state Housing and Essential Needs (HEN) funds, or rapid rehousing assistance.</w:t>
      </w:r>
    </w:p>
    <w:p w14:paraId="4D5CC4DC" w14:textId="7CAEF6CE" w:rsidR="00C23A68" w:rsidRDefault="00C23A68" w:rsidP="00C23A68"/>
    <w:p w14:paraId="5F3F24AF" w14:textId="10F87F34" w:rsidR="00C23A68" w:rsidRPr="00C23A68" w:rsidRDefault="00C23A68" w:rsidP="00C23A68">
      <w:pPr>
        <w:rPr>
          <w:rFonts w:ascii="Arial" w:hAnsi="Arial" w:cs="Arial"/>
        </w:rPr>
      </w:pPr>
      <w:r w:rsidRPr="00C23A68">
        <w:rPr>
          <w:rFonts w:ascii="Arial" w:hAnsi="Arial" w:cs="Arial"/>
        </w:rPr>
        <w:t>Also of note, the King County Council established the Regional Affordable Housing Taskforce (RAHTF) in 2017 through Motion 14873. The Taskforce was charged with developing a recommended countywide affordable housing strategy. In December 2018 the RAHTF released its Final Report and Recommendations</w:t>
      </w:r>
      <w:r w:rsidRPr="00C23A68">
        <w:rPr>
          <w:rStyle w:val="FootnoteReference"/>
          <w:rFonts w:ascii="Arial" w:hAnsi="Arial" w:cs="Arial"/>
        </w:rPr>
        <w:footnoteReference w:id="15"/>
      </w:r>
      <w:r w:rsidRPr="00C23A68">
        <w:rPr>
          <w:rFonts w:ascii="Arial" w:hAnsi="Arial" w:cs="Arial"/>
        </w:rPr>
        <w:t xml:space="preserve"> and the King County Council declared through Motion 15372 that the recommendations therein represented the policy of the Council. The RAHTF Report included recommended strategies of adopting ordinances to expand tenant protections and provide implementation support.</w:t>
      </w:r>
      <w:r w:rsidRPr="00C23A68">
        <w:rPr>
          <w:rStyle w:val="FootnoteReference"/>
          <w:rFonts w:ascii="Arial" w:hAnsi="Arial" w:cs="Arial"/>
        </w:rPr>
        <w:footnoteReference w:id="16"/>
      </w:r>
    </w:p>
    <w:p w14:paraId="505E41C3" w14:textId="30068ED3" w:rsidR="00D24175" w:rsidRPr="00C23A68" w:rsidRDefault="00D24175" w:rsidP="00C65EB8">
      <w:pPr>
        <w:jc w:val="both"/>
        <w:rPr>
          <w:rFonts w:ascii="Arial" w:hAnsi="Arial" w:cs="Arial"/>
          <w:szCs w:val="24"/>
        </w:rPr>
      </w:pPr>
    </w:p>
    <w:p w14:paraId="74268426" w14:textId="2CD53907" w:rsidR="000262E4" w:rsidRPr="00557105" w:rsidRDefault="00215F9A" w:rsidP="00C65EB8">
      <w:pPr>
        <w:jc w:val="both"/>
        <w:rPr>
          <w:rFonts w:ascii="Arial" w:hAnsi="Arial" w:cs="Arial"/>
          <w:b/>
          <w:szCs w:val="24"/>
        </w:rPr>
      </w:pPr>
      <w:r w:rsidRPr="00022E1B">
        <w:rPr>
          <w:rFonts w:ascii="Arial" w:hAnsi="Arial" w:cs="Arial"/>
          <w:b/>
          <w:szCs w:val="24"/>
        </w:rPr>
        <w:t xml:space="preserve">Just Cause </w:t>
      </w:r>
      <w:proofErr w:type="gramStart"/>
      <w:r w:rsidRPr="00022E1B">
        <w:rPr>
          <w:rFonts w:ascii="Arial" w:hAnsi="Arial" w:cs="Arial"/>
          <w:b/>
          <w:szCs w:val="24"/>
        </w:rPr>
        <w:t>Evictions</w:t>
      </w:r>
      <w:r w:rsidR="00557105">
        <w:rPr>
          <w:rFonts w:ascii="Arial" w:hAnsi="Arial" w:cs="Arial"/>
          <w:b/>
          <w:szCs w:val="24"/>
        </w:rPr>
        <w:t xml:space="preserve">  </w:t>
      </w:r>
      <w:r w:rsidR="000262E4" w:rsidRPr="00022E1B">
        <w:rPr>
          <w:rFonts w:ascii="Arial" w:hAnsi="Arial" w:cs="Arial"/>
          <w:szCs w:val="24"/>
        </w:rPr>
        <w:t>Just</w:t>
      </w:r>
      <w:proofErr w:type="gramEnd"/>
      <w:r w:rsidR="000262E4" w:rsidRPr="00022E1B">
        <w:rPr>
          <w:rFonts w:ascii="Arial" w:hAnsi="Arial" w:cs="Arial"/>
          <w:szCs w:val="24"/>
        </w:rPr>
        <w:t xml:space="preserve"> Cause Eviction legislation requires that owners have a “just” reason for pursuing an eviction. These “just” causes are different in laws across various </w:t>
      </w:r>
      <w:r w:rsidR="00BC54FC" w:rsidRPr="00022E1B">
        <w:rPr>
          <w:rFonts w:ascii="Arial" w:hAnsi="Arial" w:cs="Arial"/>
          <w:szCs w:val="24"/>
        </w:rPr>
        <w:t>jurisdictions</w:t>
      </w:r>
      <w:r w:rsidR="000262E4" w:rsidRPr="00022E1B">
        <w:rPr>
          <w:rFonts w:ascii="Arial" w:hAnsi="Arial" w:cs="Arial"/>
          <w:szCs w:val="24"/>
        </w:rPr>
        <w:t xml:space="preserve">, but common reasons include nonpayment of rent, breach of the terms of the rental agreement, </w:t>
      </w:r>
      <w:r w:rsidR="00BC54FC" w:rsidRPr="00022E1B">
        <w:rPr>
          <w:rFonts w:ascii="Arial" w:hAnsi="Arial" w:cs="Arial"/>
          <w:szCs w:val="24"/>
        </w:rPr>
        <w:t xml:space="preserve">and certain </w:t>
      </w:r>
      <w:r w:rsidR="000262E4" w:rsidRPr="00022E1B">
        <w:rPr>
          <w:rFonts w:ascii="Arial" w:hAnsi="Arial" w:cs="Arial"/>
          <w:szCs w:val="24"/>
        </w:rPr>
        <w:t>criminal activity</w:t>
      </w:r>
      <w:r w:rsidR="00BC54FC" w:rsidRPr="00022E1B">
        <w:rPr>
          <w:rFonts w:ascii="Arial" w:hAnsi="Arial" w:cs="Arial"/>
          <w:szCs w:val="24"/>
        </w:rPr>
        <w:t>.</w:t>
      </w:r>
    </w:p>
    <w:p w14:paraId="04A8A350" w14:textId="5FEA08DD" w:rsidR="000262E4" w:rsidRPr="00022E1B" w:rsidRDefault="000262E4" w:rsidP="00C65EB8">
      <w:pPr>
        <w:jc w:val="both"/>
        <w:rPr>
          <w:rFonts w:ascii="Arial" w:hAnsi="Arial" w:cs="Arial"/>
          <w:szCs w:val="24"/>
        </w:rPr>
      </w:pPr>
    </w:p>
    <w:p w14:paraId="48E588AC" w14:textId="4DEAEE91" w:rsidR="000262E4" w:rsidRPr="00022E1B" w:rsidRDefault="00565248" w:rsidP="00C65EB8">
      <w:pPr>
        <w:jc w:val="both"/>
        <w:rPr>
          <w:rFonts w:ascii="Arial" w:hAnsi="Arial" w:cs="Arial"/>
          <w:szCs w:val="24"/>
        </w:rPr>
      </w:pPr>
      <w:r w:rsidRPr="00022E1B">
        <w:rPr>
          <w:rFonts w:ascii="Arial" w:hAnsi="Arial" w:cs="Arial"/>
          <w:szCs w:val="24"/>
        </w:rPr>
        <w:t>There are a number of Just Cause Evictions Ordinances in other jurisdictions across the country including: Philadelphia, PA (Fair Housing Ordinance, §9-800 Philadelphia Code</w:t>
      </w:r>
      <w:r w:rsidRPr="00022E1B">
        <w:rPr>
          <w:rStyle w:val="FootnoteReference"/>
          <w:rFonts w:ascii="Arial" w:hAnsi="Arial" w:cs="Arial"/>
          <w:szCs w:val="24"/>
        </w:rPr>
        <w:footnoteReference w:id="17"/>
      </w:r>
      <w:r w:rsidRPr="00022E1B">
        <w:rPr>
          <w:rFonts w:ascii="Arial" w:hAnsi="Arial" w:cs="Arial"/>
          <w:szCs w:val="24"/>
        </w:rPr>
        <w:t xml:space="preserve">); San Francisco, CA (Rent Ordinance, </w:t>
      </w:r>
      <w:r w:rsidRPr="00022E1B">
        <w:rPr>
          <w:rFonts w:ascii="Arial" w:hAnsi="Arial" w:cs="Arial"/>
          <w:color w:val="333333"/>
          <w:szCs w:val="24"/>
          <w:shd w:val="clear" w:color="auto" w:fill="FFFFFF"/>
        </w:rPr>
        <w:t>Section 37.9</w:t>
      </w:r>
      <w:r w:rsidRPr="00022E1B">
        <w:rPr>
          <w:rStyle w:val="FootnoteReference"/>
          <w:rFonts w:ascii="Arial" w:hAnsi="Arial" w:cs="Arial"/>
          <w:color w:val="333333"/>
          <w:szCs w:val="24"/>
          <w:shd w:val="clear" w:color="auto" w:fill="FFFFFF"/>
        </w:rPr>
        <w:footnoteReference w:id="18"/>
      </w:r>
      <w:r w:rsidR="00557105">
        <w:rPr>
          <w:rFonts w:ascii="Arial" w:hAnsi="Arial" w:cs="Arial"/>
          <w:color w:val="333333"/>
          <w:szCs w:val="24"/>
          <w:shd w:val="clear" w:color="auto" w:fill="FFFFFF"/>
        </w:rPr>
        <w:t>); Oakland, California</w:t>
      </w:r>
      <w:r w:rsidRPr="00022E1B">
        <w:rPr>
          <w:rFonts w:ascii="Arial" w:hAnsi="Arial" w:cs="Arial"/>
          <w:color w:val="333333"/>
          <w:szCs w:val="24"/>
          <w:shd w:val="clear" w:color="auto" w:fill="FFFFFF"/>
        </w:rPr>
        <w:t xml:space="preserve"> (Oakland Municipal Code 8.22.360</w:t>
      </w:r>
      <w:r w:rsidRPr="00022E1B">
        <w:rPr>
          <w:rStyle w:val="FootnoteReference"/>
          <w:rFonts w:ascii="Arial" w:hAnsi="Arial" w:cs="Arial"/>
          <w:color w:val="333333"/>
          <w:szCs w:val="24"/>
          <w:shd w:val="clear" w:color="auto" w:fill="FFFFFF"/>
        </w:rPr>
        <w:footnoteReference w:id="19"/>
      </w:r>
      <w:r w:rsidR="00557105">
        <w:rPr>
          <w:rFonts w:ascii="Arial" w:hAnsi="Arial" w:cs="Arial"/>
          <w:color w:val="333333"/>
          <w:szCs w:val="24"/>
          <w:shd w:val="clear" w:color="auto" w:fill="FFFFFF"/>
        </w:rPr>
        <w:t>); Los Angeles, California</w:t>
      </w:r>
      <w:r w:rsidRPr="00022E1B">
        <w:rPr>
          <w:rFonts w:ascii="Arial" w:hAnsi="Arial" w:cs="Arial"/>
          <w:color w:val="333333"/>
          <w:szCs w:val="24"/>
          <w:shd w:val="clear" w:color="auto" w:fill="FFFFFF"/>
        </w:rPr>
        <w:t xml:space="preserve"> (Rent Stabilization Ordinance, Los Angeles Municipal Code 151.09</w:t>
      </w:r>
      <w:r w:rsidR="00774931" w:rsidRPr="00022E1B">
        <w:rPr>
          <w:rStyle w:val="FootnoteReference"/>
          <w:rFonts w:ascii="Arial" w:hAnsi="Arial" w:cs="Arial"/>
          <w:color w:val="333333"/>
          <w:szCs w:val="24"/>
          <w:shd w:val="clear" w:color="auto" w:fill="FFFFFF"/>
        </w:rPr>
        <w:footnoteReference w:id="20"/>
      </w:r>
      <w:r w:rsidRPr="00022E1B">
        <w:rPr>
          <w:rFonts w:ascii="Arial" w:hAnsi="Arial" w:cs="Arial"/>
          <w:color w:val="333333"/>
          <w:szCs w:val="24"/>
          <w:shd w:val="clear" w:color="auto" w:fill="FFFFFF"/>
        </w:rPr>
        <w:t xml:space="preserve">); </w:t>
      </w:r>
      <w:r w:rsidR="000647B4" w:rsidRPr="00022E1B">
        <w:rPr>
          <w:rFonts w:ascii="Arial" w:hAnsi="Arial" w:cs="Arial"/>
          <w:color w:val="333333"/>
          <w:szCs w:val="24"/>
          <w:shd w:val="clear" w:color="auto" w:fill="FFFFFF"/>
        </w:rPr>
        <w:t xml:space="preserve">and </w:t>
      </w:r>
      <w:r w:rsidRPr="00022E1B">
        <w:rPr>
          <w:rFonts w:ascii="Arial" w:hAnsi="Arial" w:cs="Arial"/>
          <w:color w:val="333333"/>
          <w:szCs w:val="24"/>
          <w:shd w:val="clear" w:color="auto" w:fill="FFFFFF"/>
        </w:rPr>
        <w:t>Washington, DC</w:t>
      </w:r>
      <w:r w:rsidR="00774931" w:rsidRPr="00022E1B">
        <w:rPr>
          <w:rFonts w:ascii="Arial" w:hAnsi="Arial" w:cs="Arial"/>
          <w:color w:val="333333"/>
          <w:szCs w:val="24"/>
          <w:shd w:val="clear" w:color="auto" w:fill="FFFFFF"/>
        </w:rPr>
        <w:t xml:space="preserve"> (Code of the District of Columbia §42-3505.01</w:t>
      </w:r>
      <w:r w:rsidR="00774931" w:rsidRPr="00022E1B">
        <w:rPr>
          <w:rStyle w:val="FootnoteReference"/>
          <w:rFonts w:ascii="Arial" w:hAnsi="Arial" w:cs="Arial"/>
          <w:color w:val="333333"/>
          <w:szCs w:val="24"/>
          <w:shd w:val="clear" w:color="auto" w:fill="FFFFFF"/>
        </w:rPr>
        <w:footnoteReference w:id="21"/>
      </w:r>
      <w:r w:rsidR="00774931" w:rsidRPr="00022E1B">
        <w:rPr>
          <w:rFonts w:ascii="Arial" w:hAnsi="Arial" w:cs="Arial"/>
          <w:color w:val="333333"/>
          <w:szCs w:val="24"/>
          <w:shd w:val="clear" w:color="auto" w:fill="FFFFFF"/>
        </w:rPr>
        <w:t>)</w:t>
      </w:r>
      <w:r w:rsidRPr="00022E1B">
        <w:rPr>
          <w:rFonts w:ascii="Arial" w:hAnsi="Arial" w:cs="Arial"/>
          <w:color w:val="333333"/>
          <w:szCs w:val="24"/>
          <w:shd w:val="clear" w:color="auto" w:fill="FFFFFF"/>
        </w:rPr>
        <w:t xml:space="preserve">. </w:t>
      </w:r>
    </w:p>
    <w:p w14:paraId="28B910A4" w14:textId="77777777" w:rsidR="00215F9A" w:rsidRPr="00022E1B" w:rsidRDefault="00215F9A" w:rsidP="00C65EB8">
      <w:pPr>
        <w:jc w:val="both"/>
        <w:rPr>
          <w:rFonts w:ascii="Arial" w:hAnsi="Arial" w:cs="Arial"/>
          <w:szCs w:val="24"/>
        </w:rPr>
      </w:pPr>
    </w:p>
    <w:p w14:paraId="2806781E" w14:textId="3F932904" w:rsidR="00443A36" w:rsidRPr="00557105" w:rsidRDefault="000262E4" w:rsidP="000262E4">
      <w:pPr>
        <w:jc w:val="both"/>
        <w:rPr>
          <w:rFonts w:ascii="Arial" w:hAnsi="Arial" w:cs="Arial"/>
          <w:b/>
          <w:szCs w:val="24"/>
        </w:rPr>
      </w:pPr>
      <w:r w:rsidRPr="00022E1B">
        <w:rPr>
          <w:rFonts w:ascii="Arial" w:hAnsi="Arial" w:cs="Arial"/>
          <w:b/>
          <w:szCs w:val="24"/>
        </w:rPr>
        <w:t xml:space="preserve">Washington </w:t>
      </w:r>
      <w:r w:rsidR="00215F9A" w:rsidRPr="00022E1B">
        <w:rPr>
          <w:rFonts w:ascii="Arial" w:hAnsi="Arial" w:cs="Arial"/>
          <w:b/>
          <w:szCs w:val="24"/>
        </w:rPr>
        <w:t>State</w:t>
      </w:r>
      <w:r w:rsidR="00557105">
        <w:rPr>
          <w:rFonts w:ascii="Arial" w:hAnsi="Arial" w:cs="Arial"/>
          <w:b/>
          <w:szCs w:val="24"/>
        </w:rPr>
        <w:t xml:space="preserve"> and City of Seattle L</w:t>
      </w:r>
      <w:r w:rsidR="00443A36" w:rsidRPr="00022E1B">
        <w:rPr>
          <w:rFonts w:ascii="Arial" w:hAnsi="Arial" w:cs="Arial"/>
          <w:b/>
          <w:szCs w:val="24"/>
        </w:rPr>
        <w:t>egislation</w:t>
      </w:r>
      <w:r w:rsidR="00557105">
        <w:rPr>
          <w:rFonts w:ascii="Arial" w:hAnsi="Arial" w:cs="Arial"/>
          <w:b/>
          <w:szCs w:val="24"/>
        </w:rPr>
        <w:t xml:space="preserve"> </w:t>
      </w:r>
      <w:r w:rsidR="00443A36" w:rsidRPr="00022E1B">
        <w:rPr>
          <w:rFonts w:ascii="Arial" w:hAnsi="Arial" w:cs="Arial"/>
          <w:szCs w:val="24"/>
          <w:lang w:val="en"/>
        </w:rPr>
        <w:t>A high-level summary of Washington State and City of Seattle landlord/tenant regulations (prior to July 28, 2019) can be found at Attachment 1 to this Staff Report. This Attachment includes (among other items) a summary of:</w:t>
      </w:r>
    </w:p>
    <w:p w14:paraId="3218A27D" w14:textId="77777777" w:rsidR="00443A36" w:rsidRPr="00022E1B" w:rsidRDefault="00443A36" w:rsidP="000262E4">
      <w:pPr>
        <w:jc w:val="both"/>
        <w:rPr>
          <w:rFonts w:ascii="Arial" w:hAnsi="Arial" w:cs="Arial"/>
          <w:szCs w:val="24"/>
          <w:lang w:val="en"/>
        </w:rPr>
      </w:pPr>
    </w:p>
    <w:p w14:paraId="5B04689B" w14:textId="27EF2329" w:rsidR="00443A36" w:rsidRPr="00022E1B" w:rsidRDefault="00443A36" w:rsidP="00FF6BB9">
      <w:pPr>
        <w:pStyle w:val="ListParagraph0"/>
        <w:numPr>
          <w:ilvl w:val="0"/>
          <w:numId w:val="2"/>
        </w:numPr>
        <w:jc w:val="both"/>
        <w:rPr>
          <w:rFonts w:ascii="Arial" w:hAnsi="Arial" w:cs="Arial"/>
          <w:b/>
        </w:rPr>
      </w:pPr>
      <w:r w:rsidRPr="00022E1B">
        <w:rPr>
          <w:rFonts w:ascii="Arial" w:hAnsi="Arial" w:cs="Arial"/>
          <w:lang w:val="en"/>
        </w:rPr>
        <w:t>The City of Seattle’s Obligations of Landlords and Tenants</w:t>
      </w:r>
      <w:r w:rsidR="00022E1B">
        <w:rPr>
          <w:rFonts w:ascii="Arial" w:hAnsi="Arial" w:cs="Arial"/>
          <w:lang w:val="en"/>
        </w:rPr>
        <w:t xml:space="preserve"> and Just Cause Eviction Ordinance</w:t>
      </w:r>
    </w:p>
    <w:p w14:paraId="08052E06" w14:textId="12BFF965" w:rsidR="00443A36" w:rsidRPr="00022E1B" w:rsidRDefault="00022E1B" w:rsidP="00FF6BB9">
      <w:pPr>
        <w:pStyle w:val="ListParagraph0"/>
        <w:numPr>
          <w:ilvl w:val="0"/>
          <w:numId w:val="2"/>
        </w:numPr>
        <w:jc w:val="both"/>
        <w:rPr>
          <w:rFonts w:ascii="Arial" w:hAnsi="Arial" w:cs="Arial"/>
          <w:b/>
        </w:rPr>
      </w:pPr>
      <w:r>
        <w:rPr>
          <w:rFonts w:ascii="Arial" w:hAnsi="Arial" w:cs="Arial"/>
          <w:lang w:val="en"/>
        </w:rPr>
        <w:t>Washington State Laws relevant to tenants’ rights and landlord responsibilities</w:t>
      </w:r>
    </w:p>
    <w:p w14:paraId="0FB646E9" w14:textId="08DBF4AA" w:rsidR="00593159" w:rsidRDefault="00593159" w:rsidP="000262E4">
      <w:pPr>
        <w:jc w:val="both"/>
        <w:rPr>
          <w:rFonts w:ascii="Arial" w:hAnsi="Arial" w:cs="Arial"/>
          <w:szCs w:val="24"/>
        </w:rPr>
      </w:pPr>
    </w:p>
    <w:p w14:paraId="5ECB03BA" w14:textId="1C9D9D37" w:rsidR="00B04BF8" w:rsidRPr="00557105" w:rsidRDefault="00FA5EF0" w:rsidP="00557105">
      <w:pPr>
        <w:ind w:firstLine="360"/>
        <w:jc w:val="both"/>
        <w:rPr>
          <w:rFonts w:ascii="Arial" w:hAnsi="Arial" w:cs="Arial"/>
          <w:i/>
          <w:szCs w:val="24"/>
        </w:rPr>
      </w:pPr>
      <w:r w:rsidRPr="00557105">
        <w:rPr>
          <w:rFonts w:ascii="Arial" w:hAnsi="Arial" w:cs="Arial"/>
          <w:b/>
          <w:szCs w:val="24"/>
        </w:rPr>
        <w:t>Washington State</w:t>
      </w:r>
      <w:r w:rsidR="00557105">
        <w:rPr>
          <w:rFonts w:ascii="Arial" w:hAnsi="Arial" w:cs="Arial"/>
          <w:i/>
          <w:szCs w:val="24"/>
        </w:rPr>
        <w:t xml:space="preserve"> </w:t>
      </w:r>
      <w:r w:rsidR="00593159" w:rsidRPr="00022E1B">
        <w:rPr>
          <w:rFonts w:ascii="Arial" w:hAnsi="Arial" w:cs="Arial"/>
          <w:szCs w:val="24"/>
        </w:rPr>
        <w:t xml:space="preserve">In 2019 the Washington State legislature passed two bills relevant to Just Cause Evictions. HB1440, “Providing </w:t>
      </w:r>
      <w:r w:rsidR="00B04BF8" w:rsidRPr="00022E1B">
        <w:rPr>
          <w:rFonts w:ascii="Arial" w:hAnsi="Arial" w:cs="Arial"/>
          <w:szCs w:val="24"/>
        </w:rPr>
        <w:t>longer notice of rent increases,” provided:</w:t>
      </w:r>
    </w:p>
    <w:p w14:paraId="2D5AE16B" w14:textId="77777777" w:rsidR="00B04BF8" w:rsidRPr="00022E1B" w:rsidRDefault="00B04BF8" w:rsidP="000262E4">
      <w:pPr>
        <w:jc w:val="both"/>
        <w:rPr>
          <w:rFonts w:ascii="Arial" w:hAnsi="Arial" w:cs="Arial"/>
          <w:szCs w:val="24"/>
        </w:rPr>
      </w:pPr>
    </w:p>
    <w:p w14:paraId="1286A076" w14:textId="77777777" w:rsidR="00593159" w:rsidRPr="00022E1B" w:rsidRDefault="00B04BF8" w:rsidP="00B04BF8">
      <w:pPr>
        <w:ind w:left="720"/>
        <w:jc w:val="both"/>
        <w:rPr>
          <w:rFonts w:ascii="Arial" w:hAnsi="Arial" w:cs="Arial"/>
          <w:szCs w:val="24"/>
        </w:rPr>
      </w:pPr>
      <w:r w:rsidRPr="00022E1B">
        <w:rPr>
          <w:rFonts w:ascii="Arial" w:hAnsi="Arial" w:cs="Arial"/>
          <w:szCs w:val="24"/>
        </w:rPr>
        <w:t>Except for rental agreements governing certain subsidized tenancies, a landlord must provide each affected tenant a minimum of 60 days' prior written notice of an increase in the amount of rent, and any rent increase may not become effective before the end of the term of the rental agreement. In the case of a rental agreement governing subsidized tenancies where the rental amount is based on the income of the tenant or circumstances specific to the subsidized household, the landlord must provide 30 days' prior notice of the rent increase and the rent increase may become effective at the end of the rental term or sooner upon mutual consent.</w:t>
      </w:r>
      <w:r w:rsidRPr="00022E1B">
        <w:rPr>
          <w:rStyle w:val="FootnoteReference"/>
          <w:rFonts w:ascii="Arial" w:hAnsi="Arial" w:cs="Arial"/>
          <w:szCs w:val="24"/>
        </w:rPr>
        <w:footnoteReference w:id="22"/>
      </w:r>
    </w:p>
    <w:p w14:paraId="51C6997F" w14:textId="6BC99A70" w:rsidR="00215F9A" w:rsidRDefault="00215F9A" w:rsidP="00C65EB8">
      <w:pPr>
        <w:jc w:val="both"/>
        <w:rPr>
          <w:rFonts w:ascii="Arial" w:hAnsi="Arial" w:cs="Arial"/>
          <w:szCs w:val="24"/>
        </w:rPr>
      </w:pPr>
    </w:p>
    <w:p w14:paraId="3036BB57" w14:textId="52A0D005" w:rsidR="00D466A9" w:rsidRDefault="00D466A9" w:rsidP="00C65EB8">
      <w:pPr>
        <w:jc w:val="both"/>
        <w:rPr>
          <w:rFonts w:ascii="Arial" w:hAnsi="Arial" w:cs="Arial"/>
          <w:szCs w:val="24"/>
        </w:rPr>
      </w:pPr>
      <w:r>
        <w:rPr>
          <w:rFonts w:ascii="Arial" w:hAnsi="Arial" w:cs="Arial"/>
          <w:szCs w:val="24"/>
        </w:rPr>
        <w:t>The effect of HB 1440, as written above, extends the once 30-day written notice</w:t>
      </w:r>
      <w:r w:rsidR="001076BA">
        <w:rPr>
          <w:rFonts w:ascii="Arial" w:hAnsi="Arial" w:cs="Arial"/>
          <w:szCs w:val="24"/>
        </w:rPr>
        <w:t xml:space="preserve"> requirement</w:t>
      </w:r>
      <w:r>
        <w:rPr>
          <w:rFonts w:ascii="Arial" w:hAnsi="Arial" w:cs="Arial"/>
          <w:szCs w:val="24"/>
        </w:rPr>
        <w:t xml:space="preserve"> for rent increase</w:t>
      </w:r>
      <w:r w:rsidR="001076BA">
        <w:rPr>
          <w:rFonts w:ascii="Arial" w:hAnsi="Arial" w:cs="Arial"/>
          <w:szCs w:val="24"/>
        </w:rPr>
        <w:t>s</w:t>
      </w:r>
      <w:r>
        <w:rPr>
          <w:rFonts w:ascii="Arial" w:hAnsi="Arial" w:cs="Arial"/>
          <w:szCs w:val="24"/>
        </w:rPr>
        <w:t xml:space="preserve"> to 60 days.</w:t>
      </w:r>
      <w:r w:rsidR="001076BA">
        <w:rPr>
          <w:rFonts w:ascii="Arial" w:hAnsi="Arial" w:cs="Arial"/>
          <w:szCs w:val="24"/>
        </w:rPr>
        <w:t xml:space="preserve"> There is an exception for rental agreements concerning subsidized tenancies where the rental amount is based on the income of the tenant.</w:t>
      </w:r>
      <w:r>
        <w:rPr>
          <w:rFonts w:ascii="Arial" w:hAnsi="Arial" w:cs="Arial"/>
          <w:szCs w:val="24"/>
        </w:rPr>
        <w:t xml:space="preserve"> </w:t>
      </w:r>
    </w:p>
    <w:p w14:paraId="0221A900" w14:textId="77777777" w:rsidR="00D466A9" w:rsidRPr="00022E1B" w:rsidRDefault="00D466A9" w:rsidP="00C65EB8">
      <w:pPr>
        <w:jc w:val="both"/>
        <w:rPr>
          <w:rFonts w:ascii="Arial" w:hAnsi="Arial" w:cs="Arial"/>
          <w:szCs w:val="24"/>
        </w:rPr>
      </w:pPr>
    </w:p>
    <w:p w14:paraId="2B91AC2F" w14:textId="381A80BD" w:rsidR="00B04BF8" w:rsidRPr="00022E1B" w:rsidRDefault="00B04BF8" w:rsidP="00C65EB8">
      <w:pPr>
        <w:jc w:val="both"/>
        <w:rPr>
          <w:rFonts w:ascii="Arial" w:hAnsi="Arial" w:cs="Arial"/>
          <w:szCs w:val="24"/>
        </w:rPr>
      </w:pPr>
      <w:r w:rsidRPr="00022E1B">
        <w:rPr>
          <w:rFonts w:ascii="Arial" w:hAnsi="Arial" w:cs="Arial"/>
          <w:szCs w:val="24"/>
        </w:rPr>
        <w:t>In addition, SB 5600, “Concerning residential tenant protections,”</w:t>
      </w:r>
      <w:r w:rsidR="00022E1B">
        <w:rPr>
          <w:rFonts w:ascii="Arial" w:hAnsi="Arial" w:cs="Arial"/>
          <w:szCs w:val="24"/>
        </w:rPr>
        <w:t xml:space="preserve"> extends the requirement for pay-or-evict notices in Washington </w:t>
      </w:r>
      <w:r w:rsidR="00FA5EF0">
        <w:rPr>
          <w:rFonts w:ascii="Arial" w:hAnsi="Arial" w:cs="Arial"/>
          <w:szCs w:val="24"/>
        </w:rPr>
        <w:t>State</w:t>
      </w:r>
      <w:r w:rsidR="00022E1B">
        <w:rPr>
          <w:rFonts w:ascii="Arial" w:hAnsi="Arial" w:cs="Arial"/>
          <w:szCs w:val="24"/>
        </w:rPr>
        <w:t xml:space="preserve"> to 14 days</w:t>
      </w:r>
      <w:r w:rsidR="00D466A9">
        <w:rPr>
          <w:rFonts w:ascii="Arial" w:hAnsi="Arial" w:cs="Arial"/>
          <w:szCs w:val="24"/>
        </w:rPr>
        <w:t xml:space="preserve"> (originally 3 days)</w:t>
      </w:r>
      <w:r w:rsidR="00022E1B">
        <w:rPr>
          <w:rFonts w:ascii="Arial" w:hAnsi="Arial" w:cs="Arial"/>
          <w:szCs w:val="24"/>
        </w:rPr>
        <w:t xml:space="preserve">. </w:t>
      </w:r>
      <w:r w:rsidR="00FA5EF0">
        <w:rPr>
          <w:rFonts w:ascii="Arial" w:hAnsi="Arial" w:cs="Arial"/>
          <w:szCs w:val="24"/>
        </w:rPr>
        <w:t>The bill</w:t>
      </w:r>
      <w:r w:rsidR="00022E1B">
        <w:rPr>
          <w:rFonts w:ascii="Arial" w:hAnsi="Arial" w:cs="Arial"/>
          <w:szCs w:val="24"/>
        </w:rPr>
        <w:t xml:space="preserve"> also</w:t>
      </w:r>
      <w:r w:rsidR="00FA5EF0">
        <w:rPr>
          <w:rFonts w:ascii="Arial" w:hAnsi="Arial" w:cs="Arial"/>
          <w:szCs w:val="24"/>
        </w:rPr>
        <w:t xml:space="preserve"> makes uniform eviction </w:t>
      </w:r>
      <w:r w:rsidR="00FA5EF0" w:rsidRPr="00FA5EF0">
        <w:rPr>
          <w:rFonts w:ascii="Arial" w:hAnsi="Arial" w:cs="Arial"/>
          <w:szCs w:val="24"/>
        </w:rPr>
        <w:t xml:space="preserve">notices available to landlords written in plain language and includes information on civil legal aid resources available to tenants and where to find translated copies of </w:t>
      </w:r>
      <w:r w:rsidR="00022E1B" w:rsidRPr="00FA5EF0">
        <w:rPr>
          <w:rFonts w:ascii="Arial" w:hAnsi="Arial" w:cs="Arial"/>
          <w:szCs w:val="24"/>
        </w:rPr>
        <w:t>in the 10 most common languages spoken in Washington.</w:t>
      </w:r>
      <w:r w:rsidRPr="00FA5EF0">
        <w:rPr>
          <w:rFonts w:ascii="Arial" w:hAnsi="Arial" w:cs="Arial"/>
          <w:szCs w:val="24"/>
        </w:rPr>
        <w:t xml:space="preserve"> </w:t>
      </w:r>
      <w:r w:rsidR="00FA5EF0" w:rsidRPr="00FA5EF0">
        <w:rPr>
          <w:rFonts w:ascii="Arial" w:hAnsi="Arial" w:cs="Arial"/>
          <w:color w:val="000000"/>
          <w:szCs w:val="24"/>
          <w:shd w:val="clear" w:color="auto" w:fill="FFFFFF"/>
        </w:rPr>
        <w:t>Additional reforms to the eviction process in the bill include the use of judicial discretion in nonpayment of rent cases, requiring consideration of factors beyond the tenants’ control. In certain cases, landlords will be able to access the Department of Commerce’s mitigation fund for reimbursement of any shortfall in rent.</w:t>
      </w:r>
      <w:r w:rsidR="00FA5EF0" w:rsidRPr="00FA5EF0">
        <w:rPr>
          <w:rStyle w:val="FootnoteReference"/>
          <w:rFonts w:ascii="Arial" w:hAnsi="Arial" w:cs="Arial"/>
          <w:color w:val="000000"/>
          <w:szCs w:val="24"/>
          <w:shd w:val="clear" w:color="auto" w:fill="FFFFFF"/>
        </w:rPr>
        <w:footnoteReference w:id="23"/>
      </w:r>
      <w:r w:rsidR="00FA5EF0">
        <w:rPr>
          <w:rFonts w:ascii="Arial" w:hAnsi="Arial" w:cs="Arial"/>
          <w:color w:val="000000"/>
          <w:sz w:val="20"/>
          <w:shd w:val="clear" w:color="auto" w:fill="FFFFFF"/>
        </w:rPr>
        <w:t> </w:t>
      </w:r>
    </w:p>
    <w:p w14:paraId="0E8755FA" w14:textId="7E592F0C" w:rsidR="00B04BF8" w:rsidRDefault="00B04BF8" w:rsidP="00C65EB8">
      <w:pPr>
        <w:jc w:val="both"/>
        <w:rPr>
          <w:rFonts w:ascii="Arial" w:hAnsi="Arial" w:cs="Arial"/>
          <w:szCs w:val="24"/>
        </w:rPr>
      </w:pPr>
    </w:p>
    <w:p w14:paraId="3E6EDA64" w14:textId="2477D47C" w:rsidR="001076BA" w:rsidRDefault="001076BA" w:rsidP="00C65EB8">
      <w:pPr>
        <w:jc w:val="both"/>
        <w:rPr>
          <w:rFonts w:ascii="Arial" w:hAnsi="Arial" w:cs="Arial"/>
          <w:szCs w:val="24"/>
        </w:rPr>
      </w:pPr>
      <w:r>
        <w:rPr>
          <w:rFonts w:ascii="Arial" w:hAnsi="Arial" w:cs="Arial"/>
          <w:szCs w:val="24"/>
        </w:rPr>
        <w:t xml:space="preserve">The changes to </w:t>
      </w:r>
      <w:r w:rsidR="00557105">
        <w:rPr>
          <w:rFonts w:ascii="Arial" w:hAnsi="Arial" w:cs="Arial"/>
          <w:szCs w:val="24"/>
        </w:rPr>
        <w:t>the Washington State law</w:t>
      </w:r>
      <w:r>
        <w:rPr>
          <w:rFonts w:ascii="Arial" w:hAnsi="Arial" w:cs="Arial"/>
          <w:szCs w:val="24"/>
        </w:rPr>
        <w:t xml:space="preserve"> went into effect on July 28, 2019.</w:t>
      </w:r>
    </w:p>
    <w:p w14:paraId="6AAD962D" w14:textId="77777777" w:rsidR="001076BA" w:rsidRPr="00022E1B" w:rsidRDefault="001076BA" w:rsidP="00C65EB8">
      <w:pPr>
        <w:jc w:val="both"/>
        <w:rPr>
          <w:rFonts w:ascii="Arial" w:hAnsi="Arial" w:cs="Arial"/>
          <w:szCs w:val="24"/>
        </w:rPr>
      </w:pPr>
    </w:p>
    <w:p w14:paraId="145A3480" w14:textId="2E91F53D" w:rsidR="000647B4" w:rsidRPr="00022E1B" w:rsidRDefault="00215F9A" w:rsidP="00557105">
      <w:pPr>
        <w:ind w:firstLine="720"/>
        <w:jc w:val="both"/>
        <w:rPr>
          <w:rFonts w:ascii="Arial" w:hAnsi="Arial" w:cs="Arial"/>
          <w:szCs w:val="24"/>
          <w:lang w:val="en"/>
        </w:rPr>
      </w:pPr>
      <w:r w:rsidRPr="00557105">
        <w:rPr>
          <w:rFonts w:ascii="Arial" w:hAnsi="Arial" w:cs="Arial"/>
          <w:b/>
          <w:szCs w:val="24"/>
        </w:rPr>
        <w:t>City of Seattle</w:t>
      </w:r>
      <w:r w:rsidR="00557105">
        <w:rPr>
          <w:rFonts w:ascii="Arial" w:hAnsi="Arial" w:cs="Arial"/>
          <w:b/>
          <w:szCs w:val="24"/>
        </w:rPr>
        <w:t xml:space="preserve"> </w:t>
      </w:r>
      <w:r w:rsidR="00BC54FC" w:rsidRPr="00022E1B">
        <w:rPr>
          <w:rFonts w:ascii="Arial" w:hAnsi="Arial" w:cs="Arial"/>
          <w:szCs w:val="24"/>
          <w:lang w:val="en"/>
        </w:rPr>
        <w:t>In Seattle, the Just Cause Eviction Ordinance requires landlords to have good cause in order to terminate a month-to-month tenancy. It specifies the only reasons for which a tenant in Seattle may be required to move and requires owners to state the reason, in writing, for ending a tenancy when giving a termination notice. A</w:t>
      </w:r>
      <w:r w:rsidR="00022E1B">
        <w:rPr>
          <w:rFonts w:ascii="Arial" w:hAnsi="Arial" w:cs="Arial"/>
          <w:szCs w:val="24"/>
          <w:lang w:val="en"/>
        </w:rPr>
        <w:t xml:space="preserve">ccording to Attachment 1, </w:t>
      </w:r>
      <w:r w:rsidR="00022E1B" w:rsidRPr="00022E1B">
        <w:rPr>
          <w:rFonts w:ascii="Arial" w:hAnsi="Arial" w:cs="Arial"/>
          <w:szCs w:val="24"/>
          <w:lang w:val="en"/>
        </w:rPr>
        <w:t>a City of Seattle document on Seattle</w:t>
      </w:r>
      <w:r w:rsidR="00E576EE">
        <w:rPr>
          <w:rFonts w:ascii="Arial" w:hAnsi="Arial" w:cs="Arial"/>
          <w:szCs w:val="24"/>
          <w:lang w:val="en"/>
        </w:rPr>
        <w:t xml:space="preserve"> and Washington State </w:t>
      </w:r>
      <w:r w:rsidR="00022E1B" w:rsidRPr="00022E1B">
        <w:rPr>
          <w:rFonts w:ascii="Arial" w:hAnsi="Arial" w:cs="Arial"/>
          <w:szCs w:val="24"/>
          <w:lang w:val="en"/>
        </w:rPr>
        <w:t>Landlord-Tenant laws</w:t>
      </w:r>
      <w:r w:rsidR="00022E1B">
        <w:rPr>
          <w:rFonts w:ascii="Arial" w:hAnsi="Arial" w:cs="Arial"/>
          <w:szCs w:val="24"/>
          <w:lang w:val="en"/>
        </w:rPr>
        <w:t>, a</w:t>
      </w:r>
      <w:r w:rsidR="00BC54FC" w:rsidRPr="00022E1B">
        <w:rPr>
          <w:rFonts w:ascii="Arial" w:hAnsi="Arial" w:cs="Arial"/>
          <w:szCs w:val="24"/>
          <w:lang w:val="en"/>
        </w:rPr>
        <w:t xml:space="preserve"> property owner cannot evict a tenant if the property is not registered</w:t>
      </w:r>
      <w:r w:rsidR="007A6499" w:rsidRPr="00022E1B">
        <w:rPr>
          <w:rStyle w:val="FootnoteReference"/>
          <w:rFonts w:ascii="Arial" w:hAnsi="Arial" w:cs="Arial"/>
          <w:szCs w:val="24"/>
          <w:lang w:val="en"/>
        </w:rPr>
        <w:footnoteReference w:id="24"/>
      </w:r>
      <w:r w:rsidR="00BC54FC" w:rsidRPr="00022E1B">
        <w:rPr>
          <w:rFonts w:ascii="Arial" w:hAnsi="Arial" w:cs="Arial"/>
          <w:szCs w:val="24"/>
          <w:lang w:val="en"/>
        </w:rPr>
        <w:t xml:space="preserve"> with the City of Seattle.</w:t>
      </w:r>
      <w:r w:rsidR="00BC54FC" w:rsidRPr="00022E1B">
        <w:rPr>
          <w:rStyle w:val="FootnoteReference"/>
          <w:rFonts w:ascii="Arial" w:hAnsi="Arial" w:cs="Arial"/>
          <w:szCs w:val="24"/>
          <w:lang w:val="en"/>
        </w:rPr>
        <w:footnoteReference w:id="25"/>
      </w:r>
      <w:r w:rsidR="00BC54FC" w:rsidRPr="00022E1B">
        <w:rPr>
          <w:rFonts w:ascii="Arial" w:hAnsi="Arial" w:cs="Arial"/>
          <w:szCs w:val="24"/>
          <w:lang w:val="en"/>
        </w:rPr>
        <w:t xml:space="preserve"> </w:t>
      </w:r>
      <w:r w:rsidR="000647B4" w:rsidRPr="00022E1B">
        <w:rPr>
          <w:rFonts w:ascii="Arial" w:hAnsi="Arial" w:cs="Arial"/>
          <w:szCs w:val="24"/>
          <w:lang w:val="en"/>
        </w:rPr>
        <w:t>Page 2 of Attachment 1</w:t>
      </w:r>
      <w:r w:rsidR="00022E1B">
        <w:rPr>
          <w:rFonts w:ascii="Arial" w:hAnsi="Arial" w:cs="Arial"/>
          <w:szCs w:val="24"/>
          <w:lang w:val="en"/>
        </w:rPr>
        <w:t xml:space="preserve"> also </w:t>
      </w:r>
      <w:r w:rsidR="000647B4" w:rsidRPr="00022E1B">
        <w:rPr>
          <w:rFonts w:ascii="Arial" w:hAnsi="Arial" w:cs="Arial"/>
          <w:szCs w:val="24"/>
          <w:lang w:val="en"/>
        </w:rPr>
        <w:t xml:space="preserve">enumerates the City of Seattle’s list of “just” cases under their Just Cause Eviction Ordinance. </w:t>
      </w:r>
    </w:p>
    <w:p w14:paraId="5965C3BF" w14:textId="77777777" w:rsidR="000647B4" w:rsidRPr="00022E1B" w:rsidRDefault="000647B4" w:rsidP="000647B4">
      <w:pPr>
        <w:pStyle w:val="NoSpacing"/>
        <w:rPr>
          <w:rFonts w:ascii="Arial" w:hAnsi="Arial" w:cs="Arial"/>
          <w:szCs w:val="24"/>
          <w:lang w:val="en"/>
        </w:rPr>
      </w:pPr>
    </w:p>
    <w:p w14:paraId="054FD2D4" w14:textId="30FD5563" w:rsidR="00253303" w:rsidRPr="00022E1B" w:rsidRDefault="00C44166" w:rsidP="005B478C">
      <w:pPr>
        <w:jc w:val="both"/>
        <w:rPr>
          <w:rFonts w:ascii="Arial" w:hAnsi="Arial" w:cs="Arial"/>
          <w:b/>
          <w:szCs w:val="24"/>
          <w:u w:val="single"/>
        </w:rPr>
      </w:pPr>
      <w:r w:rsidRPr="00022E1B">
        <w:rPr>
          <w:rFonts w:ascii="Arial" w:hAnsi="Arial" w:cs="Arial"/>
          <w:b/>
          <w:szCs w:val="24"/>
          <w:u w:val="single"/>
        </w:rPr>
        <w:t>INVITED</w:t>
      </w:r>
    </w:p>
    <w:p w14:paraId="6257BE38" w14:textId="77777777" w:rsidR="00734F2E" w:rsidRPr="00022E1B" w:rsidRDefault="00734F2E" w:rsidP="005B478C">
      <w:pPr>
        <w:jc w:val="both"/>
        <w:rPr>
          <w:rFonts w:ascii="Arial" w:hAnsi="Arial" w:cs="Arial"/>
          <w:szCs w:val="24"/>
        </w:rPr>
      </w:pPr>
    </w:p>
    <w:p w14:paraId="1FD68377" w14:textId="4674E6FB" w:rsidR="00AC6245" w:rsidRPr="00022E1B" w:rsidRDefault="00AC6245" w:rsidP="00557105">
      <w:pPr>
        <w:pStyle w:val="ListParagraph0"/>
        <w:numPr>
          <w:ilvl w:val="0"/>
          <w:numId w:val="6"/>
        </w:numPr>
        <w:rPr>
          <w:rFonts w:ascii="Arial" w:hAnsi="Arial" w:cs="Arial"/>
        </w:rPr>
      </w:pPr>
      <w:r w:rsidRPr="00022E1B">
        <w:rPr>
          <w:rFonts w:ascii="Arial" w:hAnsi="Arial" w:cs="Arial"/>
        </w:rPr>
        <w:t>Edmund Witter, Senior Managing Attorney, Housing Justice Project, King County Bar Association</w:t>
      </w:r>
    </w:p>
    <w:p w14:paraId="7DAC2564" w14:textId="69FBC68F" w:rsidR="00AC6245" w:rsidRPr="00022E1B" w:rsidRDefault="00AC6245" w:rsidP="00557105">
      <w:pPr>
        <w:pStyle w:val="ListParagraph0"/>
        <w:numPr>
          <w:ilvl w:val="0"/>
          <w:numId w:val="6"/>
        </w:numPr>
        <w:rPr>
          <w:rFonts w:ascii="Arial" w:hAnsi="Arial" w:cs="Arial"/>
        </w:rPr>
      </w:pPr>
      <w:r w:rsidRPr="00022E1B">
        <w:rPr>
          <w:rFonts w:ascii="Arial" w:hAnsi="Arial" w:cs="Arial"/>
        </w:rPr>
        <w:t xml:space="preserve">Kate </w:t>
      </w:r>
      <w:proofErr w:type="spellStart"/>
      <w:r w:rsidRPr="00022E1B">
        <w:rPr>
          <w:rFonts w:ascii="Arial" w:hAnsi="Arial" w:cs="Arial"/>
        </w:rPr>
        <w:t>Dunphy</w:t>
      </w:r>
      <w:proofErr w:type="spellEnd"/>
      <w:r w:rsidRPr="00022E1B">
        <w:rPr>
          <w:rFonts w:ascii="Arial" w:hAnsi="Arial" w:cs="Arial"/>
        </w:rPr>
        <w:t>, Deputy Director, Tenants Union of Washington State</w:t>
      </w:r>
    </w:p>
    <w:p w14:paraId="46730E4E" w14:textId="4DFB4548" w:rsidR="00AC6245" w:rsidRPr="00022E1B" w:rsidRDefault="00AC6245" w:rsidP="00557105">
      <w:pPr>
        <w:pStyle w:val="ListParagraph0"/>
        <w:numPr>
          <w:ilvl w:val="0"/>
          <w:numId w:val="6"/>
        </w:numPr>
        <w:rPr>
          <w:rFonts w:ascii="Arial" w:hAnsi="Arial" w:cs="Arial"/>
        </w:rPr>
      </w:pPr>
      <w:proofErr w:type="spellStart"/>
      <w:r w:rsidRPr="00022E1B">
        <w:rPr>
          <w:rFonts w:ascii="Arial" w:hAnsi="Arial" w:cs="Arial"/>
        </w:rPr>
        <w:t>Xochitl</w:t>
      </w:r>
      <w:proofErr w:type="spellEnd"/>
      <w:r w:rsidRPr="00022E1B">
        <w:rPr>
          <w:rFonts w:ascii="Arial" w:hAnsi="Arial" w:cs="Arial"/>
        </w:rPr>
        <w:t xml:space="preserve"> </w:t>
      </w:r>
      <w:proofErr w:type="spellStart"/>
      <w:r w:rsidRPr="00022E1B">
        <w:rPr>
          <w:rFonts w:ascii="Arial" w:hAnsi="Arial" w:cs="Arial"/>
        </w:rPr>
        <w:t>Maykovich</w:t>
      </w:r>
      <w:proofErr w:type="spellEnd"/>
      <w:r w:rsidRPr="00022E1B">
        <w:rPr>
          <w:rFonts w:ascii="Arial" w:hAnsi="Arial" w:cs="Arial"/>
        </w:rPr>
        <w:t>, Politic</w:t>
      </w:r>
      <w:bookmarkStart w:id="0" w:name="_GoBack"/>
      <w:bookmarkEnd w:id="0"/>
      <w:r w:rsidRPr="00022E1B">
        <w:rPr>
          <w:rFonts w:ascii="Arial" w:hAnsi="Arial" w:cs="Arial"/>
        </w:rPr>
        <w:t>al Director, Washington Community Action Network</w:t>
      </w:r>
    </w:p>
    <w:p w14:paraId="63BE3206" w14:textId="0EF5569D" w:rsidR="00AC6245" w:rsidRPr="00022E1B" w:rsidRDefault="00AC6245" w:rsidP="00557105">
      <w:pPr>
        <w:pStyle w:val="ListParagraph0"/>
        <w:numPr>
          <w:ilvl w:val="0"/>
          <w:numId w:val="6"/>
        </w:numPr>
        <w:rPr>
          <w:rFonts w:ascii="Arial" w:hAnsi="Arial" w:cs="Arial"/>
        </w:rPr>
      </w:pPr>
      <w:r w:rsidRPr="00022E1B">
        <w:rPr>
          <w:rFonts w:ascii="Arial" w:hAnsi="Arial" w:cs="Arial"/>
        </w:rPr>
        <w:t>Michele Thomas, Director of Policy and Advocacy, Washington Low Income Housing Alliance</w:t>
      </w:r>
    </w:p>
    <w:p w14:paraId="6160D237" w14:textId="477B933B" w:rsidR="00AC6245" w:rsidRDefault="00AC6245" w:rsidP="00557105">
      <w:pPr>
        <w:pStyle w:val="ListParagraph0"/>
        <w:numPr>
          <w:ilvl w:val="0"/>
          <w:numId w:val="6"/>
        </w:numPr>
        <w:rPr>
          <w:rFonts w:ascii="Arial" w:hAnsi="Arial" w:cs="Arial"/>
        </w:rPr>
      </w:pPr>
      <w:r w:rsidRPr="00022E1B">
        <w:rPr>
          <w:rFonts w:ascii="Arial" w:hAnsi="Arial" w:cs="Arial"/>
        </w:rPr>
        <w:t>Heather Pierce, Deputy Director of Government Affairs, Rental Housing Association</w:t>
      </w:r>
    </w:p>
    <w:p w14:paraId="48A18297" w14:textId="77777777" w:rsidR="00557105" w:rsidRPr="00557105" w:rsidRDefault="00557105" w:rsidP="00557105">
      <w:pPr>
        <w:pStyle w:val="PlainText"/>
        <w:numPr>
          <w:ilvl w:val="0"/>
          <w:numId w:val="6"/>
        </w:numPr>
        <w:rPr>
          <w:rFonts w:ascii="Arial" w:hAnsi="Arial" w:cs="Arial"/>
        </w:rPr>
      </w:pPr>
      <w:r w:rsidRPr="00557105">
        <w:rPr>
          <w:rFonts w:ascii="Arial" w:hAnsi="Arial" w:cs="Arial"/>
        </w:rPr>
        <w:t xml:space="preserve">Alicia </w:t>
      </w:r>
      <w:proofErr w:type="spellStart"/>
      <w:r w:rsidRPr="00557105">
        <w:rPr>
          <w:rFonts w:ascii="Arial" w:hAnsi="Arial" w:cs="Arial"/>
        </w:rPr>
        <w:t>Glenwell</w:t>
      </w:r>
      <w:proofErr w:type="spellEnd"/>
      <w:r w:rsidRPr="00557105">
        <w:rPr>
          <w:rFonts w:ascii="Arial" w:hAnsi="Arial" w:cs="Arial"/>
        </w:rPr>
        <w:t>, Landlord</w:t>
      </w:r>
    </w:p>
    <w:p w14:paraId="6ACC1101" w14:textId="263F4AD3" w:rsidR="00557105" w:rsidRPr="00557105" w:rsidRDefault="00557105" w:rsidP="00557105">
      <w:pPr>
        <w:pStyle w:val="PlainText"/>
        <w:numPr>
          <w:ilvl w:val="0"/>
          <w:numId w:val="6"/>
        </w:numPr>
        <w:rPr>
          <w:rFonts w:ascii="Arial" w:hAnsi="Arial" w:cs="Arial"/>
        </w:rPr>
      </w:pPr>
      <w:proofErr w:type="spellStart"/>
      <w:r w:rsidRPr="00557105">
        <w:rPr>
          <w:rFonts w:ascii="Arial" w:hAnsi="Arial" w:cs="Arial"/>
        </w:rPr>
        <w:t>Mergitu</w:t>
      </w:r>
      <w:proofErr w:type="spellEnd"/>
      <w:r w:rsidRPr="00557105">
        <w:rPr>
          <w:rFonts w:ascii="Arial" w:hAnsi="Arial" w:cs="Arial"/>
        </w:rPr>
        <w:t xml:space="preserve"> Argo, Renter</w:t>
      </w:r>
    </w:p>
    <w:p w14:paraId="752B7690" w14:textId="02CD6C9A" w:rsidR="00557105" w:rsidRDefault="00557105" w:rsidP="00557105">
      <w:pPr>
        <w:rPr>
          <w:rFonts w:ascii="Arial" w:hAnsi="Arial" w:cs="Arial"/>
        </w:rPr>
      </w:pPr>
    </w:p>
    <w:p w14:paraId="3946F9E8" w14:textId="77777777" w:rsidR="00557105" w:rsidRPr="00022E1B" w:rsidRDefault="00557105" w:rsidP="00557105">
      <w:pPr>
        <w:pStyle w:val="BodyText"/>
        <w:jc w:val="both"/>
        <w:rPr>
          <w:rFonts w:ascii="Arial" w:hAnsi="Arial" w:cs="Arial"/>
          <w:b/>
          <w:i w:val="0"/>
          <w:szCs w:val="24"/>
          <w:u w:val="single"/>
        </w:rPr>
      </w:pPr>
      <w:r w:rsidRPr="00022E1B">
        <w:rPr>
          <w:rFonts w:ascii="Arial" w:hAnsi="Arial" w:cs="Arial"/>
          <w:b/>
          <w:i w:val="0"/>
          <w:szCs w:val="24"/>
          <w:u w:val="single"/>
        </w:rPr>
        <w:t>ATTACHMENTS</w:t>
      </w:r>
    </w:p>
    <w:p w14:paraId="72EE064E" w14:textId="77777777" w:rsidR="00557105" w:rsidRPr="00022E1B" w:rsidRDefault="00557105" w:rsidP="00557105">
      <w:pPr>
        <w:pStyle w:val="BodyText"/>
        <w:jc w:val="both"/>
        <w:rPr>
          <w:rFonts w:ascii="Arial" w:hAnsi="Arial" w:cs="Arial"/>
          <w:b/>
          <w:i w:val="0"/>
          <w:szCs w:val="24"/>
          <w:u w:val="single"/>
        </w:rPr>
      </w:pPr>
    </w:p>
    <w:p w14:paraId="3074D40D" w14:textId="77777777" w:rsidR="00557105" w:rsidRPr="00022E1B" w:rsidRDefault="00557105" w:rsidP="00557105">
      <w:pPr>
        <w:pStyle w:val="BodyText"/>
        <w:numPr>
          <w:ilvl w:val="0"/>
          <w:numId w:val="1"/>
        </w:numPr>
        <w:jc w:val="both"/>
        <w:rPr>
          <w:rFonts w:ascii="Arial" w:hAnsi="Arial" w:cs="Arial"/>
          <w:i w:val="0"/>
          <w:szCs w:val="24"/>
        </w:rPr>
      </w:pPr>
      <w:r w:rsidRPr="00022E1B">
        <w:rPr>
          <w:rFonts w:ascii="Arial" w:hAnsi="Arial" w:cs="Arial"/>
          <w:i w:val="0"/>
          <w:szCs w:val="24"/>
        </w:rPr>
        <w:t>Seattle Landlord-Tenant Laws</w:t>
      </w:r>
    </w:p>
    <w:p w14:paraId="1DCC14CF" w14:textId="77777777" w:rsidR="00557105" w:rsidRPr="00557105" w:rsidRDefault="00557105" w:rsidP="00557105">
      <w:pPr>
        <w:rPr>
          <w:rFonts w:ascii="Arial" w:hAnsi="Arial" w:cs="Arial"/>
        </w:rPr>
      </w:pPr>
    </w:p>
    <w:p w14:paraId="5B2954D1" w14:textId="5B0E1F98" w:rsidR="001C4B19" w:rsidRPr="00022E1B" w:rsidRDefault="001C4B19" w:rsidP="00AC6245">
      <w:pPr>
        <w:pStyle w:val="ListParagraph0"/>
        <w:jc w:val="both"/>
        <w:rPr>
          <w:rFonts w:ascii="Arial" w:hAnsi="Arial" w:cs="Arial"/>
        </w:rPr>
      </w:pPr>
    </w:p>
    <w:sectPr w:rsidR="001C4B19" w:rsidRPr="00022E1B"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ABF34" w14:textId="77777777" w:rsidR="00DB50C7" w:rsidRDefault="00DB50C7">
      <w:r>
        <w:separator/>
      </w:r>
    </w:p>
  </w:endnote>
  <w:endnote w:type="continuationSeparator" w:id="0">
    <w:p w14:paraId="5ADC3C88"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CE4D" w14:textId="77777777" w:rsidR="00A41967" w:rsidRDefault="00A4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849A" w14:textId="77777777" w:rsidR="00A41967" w:rsidRDefault="00A4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3C97" w14:textId="77777777" w:rsidR="00A41967" w:rsidRDefault="00A4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81123" w14:textId="77777777" w:rsidR="00DB50C7" w:rsidRDefault="00DB50C7">
      <w:r>
        <w:separator/>
      </w:r>
    </w:p>
  </w:footnote>
  <w:footnote w:type="continuationSeparator" w:id="0">
    <w:p w14:paraId="6B4AEE14" w14:textId="77777777" w:rsidR="00DB50C7" w:rsidRDefault="00DB50C7">
      <w:r>
        <w:continuationSeparator/>
      </w:r>
    </w:p>
  </w:footnote>
  <w:footnote w:id="1">
    <w:p w14:paraId="30559185" w14:textId="2A6F9B11" w:rsidR="008E5DF1" w:rsidRDefault="008E5DF1">
      <w:pPr>
        <w:pStyle w:val="FootnoteText"/>
      </w:pPr>
      <w:r>
        <w:rPr>
          <w:rStyle w:val="FootnoteReference"/>
        </w:rPr>
        <w:footnoteRef/>
      </w:r>
      <w:r>
        <w:t xml:space="preserve"> </w:t>
      </w:r>
      <w:hyperlink r:id="rId1" w:history="1">
        <w:r w:rsidRPr="00C23A68">
          <w:rPr>
            <w:rStyle w:val="Hyperlink"/>
            <w:rFonts w:ascii="Arial" w:hAnsi="Arial" w:cs="Arial"/>
          </w:rPr>
          <w:t>https://www.kingcounty.gov/~/media/initiatives/affordablehousing/documents/report/RAH-Report-Print-File-7-17-19.ashx?la=en</w:t>
        </w:r>
      </w:hyperlink>
      <w:r>
        <w:rPr>
          <w:rFonts w:ascii="Arial" w:hAnsi="Arial" w:cs="Arial"/>
        </w:rPr>
        <w:t xml:space="preserve"> at page 11</w:t>
      </w:r>
    </w:p>
  </w:footnote>
  <w:footnote w:id="2">
    <w:p w14:paraId="0F75646D" w14:textId="09FE5999" w:rsidR="00137F35" w:rsidRPr="00C23A68" w:rsidRDefault="00137F35">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The Eviction Lab was spearheaded in 2017 by Matthew Desmond, the author of </w:t>
      </w:r>
      <w:r w:rsidRPr="00C23A68">
        <w:rPr>
          <w:rFonts w:ascii="Arial" w:hAnsi="Arial" w:cs="Arial"/>
          <w:i/>
        </w:rPr>
        <w:t>Evicted: Poverty and Profit in the American City</w:t>
      </w:r>
      <w:r w:rsidRPr="00C23A68">
        <w:rPr>
          <w:rFonts w:ascii="Arial" w:hAnsi="Arial" w:cs="Arial"/>
        </w:rPr>
        <w:t xml:space="preserve"> (2016), in partnership with Bill and Melinda Gates, the Ford Foundation and the Chan Zuckerberg Initiative (</w:t>
      </w:r>
      <w:r w:rsidR="00E576EE">
        <w:rPr>
          <w:rFonts w:ascii="Arial" w:hAnsi="Arial" w:cs="Arial"/>
        </w:rPr>
        <w:t xml:space="preserve">More information on the Eviction Lab can be found at: </w:t>
      </w:r>
      <w:hyperlink r:id="rId2" w:history="1">
        <w:r w:rsidRPr="00C23A68">
          <w:rPr>
            <w:rStyle w:val="Hyperlink"/>
            <w:rFonts w:ascii="Arial" w:hAnsi="Arial" w:cs="Arial"/>
          </w:rPr>
          <w:t>https://evictionlab.org/about/</w:t>
        </w:r>
      </w:hyperlink>
      <w:r w:rsidR="00E576EE">
        <w:rPr>
          <w:rFonts w:ascii="Arial" w:hAnsi="Arial" w:cs="Arial"/>
        </w:rPr>
        <w:t>).</w:t>
      </w:r>
    </w:p>
  </w:footnote>
  <w:footnote w:id="3">
    <w:p w14:paraId="259A6DB6" w14:textId="77777777" w:rsidR="00137F35" w:rsidRPr="00C23A68" w:rsidRDefault="00137F35">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Methodology Report: Matthew Desmond, Ashley </w:t>
      </w:r>
      <w:proofErr w:type="spellStart"/>
      <w:r w:rsidRPr="00C23A68">
        <w:rPr>
          <w:rFonts w:ascii="Arial" w:hAnsi="Arial" w:cs="Arial"/>
        </w:rPr>
        <w:t>Gromis</w:t>
      </w:r>
      <w:proofErr w:type="spellEnd"/>
      <w:r w:rsidRPr="00C23A68">
        <w:rPr>
          <w:rFonts w:ascii="Arial" w:hAnsi="Arial" w:cs="Arial"/>
        </w:rPr>
        <w:t xml:space="preserve">, </w:t>
      </w:r>
      <w:proofErr w:type="spellStart"/>
      <w:r w:rsidRPr="00C23A68">
        <w:rPr>
          <w:rFonts w:ascii="Arial" w:hAnsi="Arial" w:cs="Arial"/>
        </w:rPr>
        <w:t>Lavar</w:t>
      </w:r>
      <w:proofErr w:type="spellEnd"/>
      <w:r w:rsidRPr="00C23A68">
        <w:rPr>
          <w:rFonts w:ascii="Arial" w:hAnsi="Arial" w:cs="Arial"/>
        </w:rPr>
        <w:t xml:space="preserve"> Edmonds, James Hendrickson, Katie </w:t>
      </w:r>
      <w:proofErr w:type="spellStart"/>
      <w:r w:rsidRPr="00C23A68">
        <w:rPr>
          <w:rFonts w:ascii="Arial" w:hAnsi="Arial" w:cs="Arial"/>
        </w:rPr>
        <w:t>Krywokulski</w:t>
      </w:r>
      <w:proofErr w:type="spellEnd"/>
      <w:r w:rsidRPr="00C23A68">
        <w:rPr>
          <w:rFonts w:ascii="Arial" w:hAnsi="Arial" w:cs="Arial"/>
        </w:rPr>
        <w:t xml:space="preserve">, Lillian Leung, and Adam </w:t>
      </w:r>
      <w:proofErr w:type="spellStart"/>
      <w:r w:rsidRPr="00C23A68">
        <w:rPr>
          <w:rFonts w:ascii="Arial" w:hAnsi="Arial" w:cs="Arial"/>
        </w:rPr>
        <w:t>Porton</w:t>
      </w:r>
      <w:proofErr w:type="spellEnd"/>
      <w:r w:rsidRPr="00C23A68">
        <w:rPr>
          <w:rFonts w:ascii="Arial" w:hAnsi="Arial" w:cs="Arial"/>
        </w:rPr>
        <w:t xml:space="preserve">. Eviction Lab Methodology Report: Version 1.0. Princeton: Princeton University, 2018, </w:t>
      </w:r>
      <w:hyperlink r:id="rId3" w:history="1">
        <w:r w:rsidRPr="00C23A68">
          <w:rPr>
            <w:rStyle w:val="Hyperlink"/>
            <w:rFonts w:ascii="Arial" w:hAnsi="Arial" w:cs="Arial"/>
          </w:rPr>
          <w:t>www.evictionlab.org/methods</w:t>
        </w:r>
      </w:hyperlink>
      <w:r w:rsidRPr="00C23A68">
        <w:rPr>
          <w:rFonts w:ascii="Arial" w:hAnsi="Arial" w:cs="Arial"/>
        </w:rPr>
        <w:t>. Page 2.</w:t>
      </w:r>
    </w:p>
  </w:footnote>
  <w:footnote w:id="4">
    <w:p w14:paraId="306F96DD" w14:textId="77777777" w:rsidR="00137F35" w:rsidRPr="00C23A68" w:rsidRDefault="00137F35">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Methodology Report: Matthew Desmond, Ashley </w:t>
      </w:r>
      <w:proofErr w:type="spellStart"/>
      <w:r w:rsidRPr="00C23A68">
        <w:rPr>
          <w:rFonts w:ascii="Arial" w:hAnsi="Arial" w:cs="Arial"/>
        </w:rPr>
        <w:t>Gromis</w:t>
      </w:r>
      <w:proofErr w:type="spellEnd"/>
      <w:r w:rsidRPr="00C23A68">
        <w:rPr>
          <w:rFonts w:ascii="Arial" w:hAnsi="Arial" w:cs="Arial"/>
        </w:rPr>
        <w:t xml:space="preserve">, </w:t>
      </w:r>
      <w:proofErr w:type="spellStart"/>
      <w:r w:rsidRPr="00C23A68">
        <w:rPr>
          <w:rFonts w:ascii="Arial" w:hAnsi="Arial" w:cs="Arial"/>
        </w:rPr>
        <w:t>Lavar</w:t>
      </w:r>
      <w:proofErr w:type="spellEnd"/>
      <w:r w:rsidRPr="00C23A68">
        <w:rPr>
          <w:rFonts w:ascii="Arial" w:hAnsi="Arial" w:cs="Arial"/>
        </w:rPr>
        <w:t xml:space="preserve"> Edmonds, James Hendrickson, Katie </w:t>
      </w:r>
      <w:proofErr w:type="spellStart"/>
      <w:r w:rsidRPr="00C23A68">
        <w:rPr>
          <w:rFonts w:ascii="Arial" w:hAnsi="Arial" w:cs="Arial"/>
        </w:rPr>
        <w:t>Krywokulski</w:t>
      </w:r>
      <w:proofErr w:type="spellEnd"/>
      <w:r w:rsidRPr="00C23A68">
        <w:rPr>
          <w:rFonts w:ascii="Arial" w:hAnsi="Arial" w:cs="Arial"/>
        </w:rPr>
        <w:t xml:space="preserve">, Lillian Leung, and Adam </w:t>
      </w:r>
      <w:proofErr w:type="spellStart"/>
      <w:r w:rsidRPr="00C23A68">
        <w:rPr>
          <w:rFonts w:ascii="Arial" w:hAnsi="Arial" w:cs="Arial"/>
        </w:rPr>
        <w:t>Porton</w:t>
      </w:r>
      <w:proofErr w:type="spellEnd"/>
      <w:r w:rsidRPr="00C23A68">
        <w:rPr>
          <w:rFonts w:ascii="Arial" w:hAnsi="Arial" w:cs="Arial"/>
        </w:rPr>
        <w:t xml:space="preserve">. Eviction Lab Methodology Report: Version 1.0. Princeton: Princeton University, 2018, </w:t>
      </w:r>
      <w:hyperlink r:id="rId4" w:history="1">
        <w:r w:rsidRPr="00C23A68">
          <w:rPr>
            <w:rStyle w:val="Hyperlink"/>
            <w:rFonts w:ascii="Arial" w:hAnsi="Arial" w:cs="Arial"/>
          </w:rPr>
          <w:t>www.evictionlab.org/methods</w:t>
        </w:r>
      </w:hyperlink>
      <w:r w:rsidRPr="00C23A68">
        <w:rPr>
          <w:rFonts w:ascii="Arial" w:hAnsi="Arial" w:cs="Arial"/>
        </w:rPr>
        <w:t>. Page 2.</w:t>
      </w:r>
    </w:p>
  </w:footnote>
  <w:footnote w:id="5">
    <w:p w14:paraId="43FB7B85" w14:textId="77777777" w:rsidR="00F71F7B" w:rsidRPr="00C23A68" w:rsidRDefault="00F71F7B">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5" w:anchor="affordable-housing-crisis" w:history="1">
        <w:r w:rsidRPr="00C23A68">
          <w:rPr>
            <w:rStyle w:val="Hyperlink"/>
            <w:rFonts w:ascii="Arial" w:hAnsi="Arial" w:cs="Arial"/>
          </w:rPr>
          <w:t>https://evictionlab.org/why-eviction-matters/#affordable-housing-crisis</w:t>
        </w:r>
      </w:hyperlink>
    </w:p>
  </w:footnote>
  <w:footnote w:id="6">
    <w:p w14:paraId="21BE71FD" w14:textId="77777777" w:rsidR="00B04BF8" w:rsidRPr="00C23A68" w:rsidRDefault="00B04BF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6" w:history="1">
        <w:r w:rsidRPr="00C23A68">
          <w:rPr>
            <w:rStyle w:val="Hyperlink"/>
            <w:rFonts w:ascii="Arial" w:hAnsi="Arial" w:cs="Arial"/>
          </w:rPr>
          <w:t>https://www.kcba.org/Portals/0/pbs/pdf/Losing%20Home%202018.pdf</w:t>
        </w:r>
      </w:hyperlink>
    </w:p>
  </w:footnote>
  <w:footnote w:id="7">
    <w:p w14:paraId="2227B421" w14:textId="77777777" w:rsidR="00F41E58" w:rsidRPr="00C23A68" w:rsidRDefault="00F41E5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7" w:history="1">
        <w:r w:rsidRPr="00C23A68">
          <w:rPr>
            <w:rStyle w:val="Hyperlink"/>
            <w:rFonts w:ascii="Arial" w:hAnsi="Arial" w:cs="Arial"/>
          </w:rPr>
          <w:t>https://www.kcba.org/Portals/0/pbs/pdf/Losing%20Home%202018.pdf</w:t>
        </w:r>
      </w:hyperlink>
      <w:r w:rsidRPr="00C23A68">
        <w:rPr>
          <w:rFonts w:ascii="Arial" w:hAnsi="Arial" w:cs="Arial"/>
        </w:rPr>
        <w:t xml:space="preserve"> (page 1)</w:t>
      </w:r>
    </w:p>
  </w:footnote>
  <w:footnote w:id="8">
    <w:p w14:paraId="4D84F66E" w14:textId="77777777" w:rsidR="00E8481B" w:rsidRPr="00C23A68" w:rsidRDefault="00E8481B" w:rsidP="00E8481B">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Per the report: “</w:t>
      </w:r>
      <w:r w:rsidRPr="00C23A68">
        <w:rPr>
          <w:rFonts w:ascii="Arial" w:hAnsi="Arial" w:cs="Arial"/>
          <w:color w:val="211D1E"/>
        </w:rPr>
        <w:t xml:space="preserve">In 2017, the King County Superior Court in Seattle processed 2,072 eviction proceedings for properties in North King County. For purposes of this research, we excluded unlawful detainers filed pursuant to a foreclosure, commercial lease, situations not related to a landlord-tenant situation such as a family dispute or cases not located in Seattle. We also did not examine unlawful detainers filed in the Maleng Regional Justice Center, which is where cases for properties in South King County are filed. While there were a number of cases that listed an address in Seattle, we excluded them because they were actually located in unincorporated King County or a neighboring city. The remaining 1,218 residential eviction cases that occurred in the Seattle city limits, with a total of 1,473 individual tenants, were analyzed in this report.” </w:t>
      </w:r>
      <w:hyperlink r:id="rId8" w:history="1">
        <w:r w:rsidRPr="00C23A68">
          <w:rPr>
            <w:rStyle w:val="Hyperlink"/>
            <w:rFonts w:ascii="Arial" w:hAnsi="Arial" w:cs="Arial"/>
          </w:rPr>
          <w:t>https://www.kcba.org/Portals/0/pbs/pdf/Losing%20Home%202018.pdf</w:t>
        </w:r>
      </w:hyperlink>
      <w:r w:rsidRPr="00C23A68">
        <w:rPr>
          <w:rFonts w:ascii="Arial" w:hAnsi="Arial" w:cs="Arial"/>
        </w:rPr>
        <w:t xml:space="preserve"> (page 15)</w:t>
      </w:r>
    </w:p>
  </w:footnote>
  <w:footnote w:id="9">
    <w:p w14:paraId="683618D2" w14:textId="77777777" w:rsidR="00F41E58" w:rsidRPr="00C23A68" w:rsidRDefault="00F41E5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9" w:history="1">
        <w:r w:rsidRPr="00C23A68">
          <w:rPr>
            <w:rStyle w:val="Hyperlink"/>
            <w:rFonts w:ascii="Arial" w:hAnsi="Arial" w:cs="Arial"/>
          </w:rPr>
          <w:t>https://www.kcba.org/Portals/0/pbs/pdf/Losing%20Home%202018.pdf</w:t>
        </w:r>
      </w:hyperlink>
      <w:r w:rsidRPr="00C23A68">
        <w:rPr>
          <w:rFonts w:ascii="Arial" w:hAnsi="Arial" w:cs="Arial"/>
        </w:rPr>
        <w:t xml:space="preserve"> (page 2)</w:t>
      </w:r>
    </w:p>
  </w:footnote>
  <w:footnote w:id="10">
    <w:p w14:paraId="181C03EA" w14:textId="77777777" w:rsidR="00AC6245" w:rsidRPr="00C23A68" w:rsidRDefault="00AC6245" w:rsidP="00AC6245">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K.C.C. 12.20</w:t>
      </w:r>
    </w:p>
  </w:footnote>
  <w:footnote w:id="11">
    <w:p w14:paraId="29E91B73" w14:textId="77777777" w:rsidR="00F81A74" w:rsidRPr="00C23A68" w:rsidRDefault="00F81A74" w:rsidP="00F81A74">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Ordinance 5280</w:t>
      </w:r>
    </w:p>
  </w:footnote>
  <w:footnote w:id="12">
    <w:p w14:paraId="701AA7C8" w14:textId="77777777" w:rsidR="00F81A74" w:rsidRPr="00C23A68" w:rsidRDefault="00F81A74" w:rsidP="00F81A74">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Section 8 of the United States Housing Act of 1937, as amended, 42 U.S.C. 1437f, authorizes the United States Department of Housing and Urban Development (HUD) to enter into agreements with state and local public housing agencies by which the parties jointly provide housing assistance to low-income families. This is also commonly known as the housing choice voucher program.</w:t>
      </w:r>
    </w:p>
  </w:footnote>
  <w:footnote w:id="13">
    <w:p w14:paraId="6ECECBE3" w14:textId="77777777" w:rsidR="00F81A74" w:rsidRPr="00C23A68" w:rsidRDefault="00F81A74" w:rsidP="00F81A74">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Ordinance 10469</w:t>
      </w:r>
    </w:p>
  </w:footnote>
  <w:footnote w:id="14">
    <w:p w14:paraId="0E70BDC0" w14:textId="77777777" w:rsidR="00F81A74" w:rsidRPr="00C23A68" w:rsidRDefault="00F81A74" w:rsidP="00F81A74">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K.C.C. 12.20</w:t>
      </w:r>
    </w:p>
  </w:footnote>
  <w:footnote w:id="15">
    <w:p w14:paraId="35156EA2" w14:textId="4D3F504D" w:rsidR="00C23A68" w:rsidRPr="00C23A68" w:rsidRDefault="00C23A6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0" w:history="1">
        <w:r w:rsidRPr="00C23A68">
          <w:rPr>
            <w:rStyle w:val="Hyperlink"/>
            <w:rFonts w:ascii="Arial" w:hAnsi="Arial" w:cs="Arial"/>
          </w:rPr>
          <w:t>https://www.kingcounty.gov/~/media/initiatives/affordablehousing/documents/report/RAH-Report-Print-File-7-17-19.ashx?la=en</w:t>
        </w:r>
      </w:hyperlink>
    </w:p>
  </w:footnote>
  <w:footnote w:id="16">
    <w:p w14:paraId="2834B094" w14:textId="73AA58B5" w:rsidR="00C23A68" w:rsidRPr="00C23A68" w:rsidRDefault="00C23A6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Recommendation 4: “Preserve access to affordable homes for renters by supporting tenant protections to increase housing stability and reduce risk of homelessness.” There are four strategies in this recommendation: (a) propose and support legislation and statewide policies related to tenant protection to ease implementation and provide consistency for landlords, (b) strive to more widely adopt model, expand tenant protection ordinances countywide and provide implementation support, (c) expand supports for low-income renters and people with disabilities and (d) adopt programs and policies to improve the quality of housing in conjunction with necessary tenant protections. See </w:t>
      </w:r>
      <w:hyperlink r:id="rId11" w:history="1">
        <w:r w:rsidRPr="00C23A68">
          <w:rPr>
            <w:rStyle w:val="Hyperlink"/>
            <w:rFonts w:ascii="Arial" w:hAnsi="Arial" w:cs="Arial"/>
          </w:rPr>
          <w:t>https://www.kingcounty.gov/~/media/initiatives/affordablehousing/documents/report/RAH-Report-Print-File-7-17-19.ashx?la=en</w:t>
        </w:r>
      </w:hyperlink>
    </w:p>
  </w:footnote>
  <w:footnote w:id="17">
    <w:p w14:paraId="140067D2" w14:textId="77777777" w:rsidR="00565248" w:rsidRPr="00C23A68" w:rsidRDefault="00565248" w:rsidP="0056524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2" w:history="1">
        <w:r w:rsidRPr="00C23A68">
          <w:rPr>
            <w:rStyle w:val="Hyperlink"/>
            <w:rFonts w:ascii="Arial" w:hAnsi="Arial" w:cs="Arial"/>
          </w:rPr>
          <w:t>https://www.phila.gov/FairHousingCommission/pdf/Fair%20Housing%20Ordinance%209-800%209-1200%20(4-20-2019).pdf</w:t>
        </w:r>
      </w:hyperlink>
    </w:p>
  </w:footnote>
  <w:footnote w:id="18">
    <w:p w14:paraId="059BD446" w14:textId="77777777" w:rsidR="00565248" w:rsidRPr="00C23A68" w:rsidRDefault="00565248" w:rsidP="0056524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3" w:history="1">
        <w:r w:rsidRPr="00C23A68">
          <w:rPr>
            <w:rStyle w:val="Hyperlink"/>
            <w:rFonts w:ascii="Arial" w:hAnsi="Arial" w:cs="Arial"/>
          </w:rPr>
          <w:t>https://sfrb.org/section-379-evictions</w:t>
        </w:r>
      </w:hyperlink>
    </w:p>
  </w:footnote>
  <w:footnote w:id="19">
    <w:p w14:paraId="20A56DF7" w14:textId="5E01758E" w:rsidR="00565248" w:rsidRPr="00C23A68" w:rsidRDefault="0056524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4" w:history="1">
        <w:r w:rsidRPr="00C23A68">
          <w:rPr>
            <w:rStyle w:val="Hyperlink"/>
            <w:rFonts w:ascii="Arial" w:hAnsi="Arial" w:cs="Arial"/>
          </w:rPr>
          <w:t>https://www.oaklandca.gov/resources/read-the-just-cause-for-eviction-ordinance</w:t>
        </w:r>
      </w:hyperlink>
    </w:p>
  </w:footnote>
  <w:footnote w:id="20">
    <w:p w14:paraId="1646FB5D" w14:textId="54050FCE" w:rsidR="00774931" w:rsidRPr="00C23A68" w:rsidRDefault="00774931">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5" w:history="1">
        <w:r w:rsidRPr="00C23A68">
          <w:rPr>
            <w:rStyle w:val="Hyperlink"/>
            <w:rFonts w:ascii="Arial" w:hAnsi="Arial" w:cs="Arial"/>
          </w:rPr>
          <w:t>https://hcidla.lacity.org/RSO-Overview</w:t>
        </w:r>
      </w:hyperlink>
    </w:p>
  </w:footnote>
  <w:footnote w:id="21">
    <w:p w14:paraId="7118936F" w14:textId="715A9A6A" w:rsidR="00774931" w:rsidRPr="00C23A68" w:rsidRDefault="00774931">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6" w:history="1">
        <w:r w:rsidRPr="00C23A68">
          <w:rPr>
            <w:rStyle w:val="Hyperlink"/>
            <w:rFonts w:ascii="Arial" w:hAnsi="Arial" w:cs="Arial"/>
          </w:rPr>
          <w:t>https://code.dccouncil.us/dc/council/code/sections/42-3505.01.html</w:t>
        </w:r>
      </w:hyperlink>
    </w:p>
  </w:footnote>
  <w:footnote w:id="22">
    <w:p w14:paraId="3E6AA1E5" w14:textId="77777777" w:rsidR="00B04BF8" w:rsidRPr="00C23A68" w:rsidRDefault="00B04BF8">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7" w:history="1">
        <w:r w:rsidRPr="00C23A68">
          <w:rPr>
            <w:rStyle w:val="Hyperlink"/>
            <w:rFonts w:ascii="Arial" w:hAnsi="Arial" w:cs="Arial"/>
          </w:rPr>
          <w:t>http://lawfilesext.leg.wa.gov/biennium/2019-20/Pdf/Bill%20Reports/House/1440-S.E%20HBR%20FBR%2019.pdf</w:t>
        </w:r>
      </w:hyperlink>
    </w:p>
  </w:footnote>
  <w:footnote w:id="23">
    <w:p w14:paraId="61B7ED6D" w14:textId="7D2A38EA" w:rsidR="00FA5EF0" w:rsidRPr="00C23A68" w:rsidRDefault="00FA5EF0">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w:t>
      </w:r>
      <w:hyperlink r:id="rId18" w:history="1">
        <w:r w:rsidRPr="00C23A68">
          <w:rPr>
            <w:rStyle w:val="Hyperlink"/>
            <w:rFonts w:ascii="Arial" w:hAnsi="Arial" w:cs="Arial"/>
          </w:rPr>
          <w:t>http://sdc.wastateleg.org/kuderer/2019/05/09/governor-signs-bill-extending-notice-for-eviction-expanding-tenant-protections/</w:t>
        </w:r>
      </w:hyperlink>
    </w:p>
  </w:footnote>
  <w:footnote w:id="24">
    <w:p w14:paraId="7DC04528" w14:textId="5E96C3E0" w:rsidR="007A6499" w:rsidRPr="00C23A68" w:rsidRDefault="007A6499">
      <w:pPr>
        <w:pStyle w:val="FootnoteText"/>
        <w:rPr>
          <w:rFonts w:ascii="Arial" w:hAnsi="Arial" w:cs="Arial"/>
        </w:rPr>
      </w:pPr>
      <w:r w:rsidRPr="00C23A68">
        <w:rPr>
          <w:rStyle w:val="FootnoteReference"/>
          <w:rFonts w:ascii="Arial" w:hAnsi="Arial" w:cs="Arial"/>
        </w:rPr>
        <w:footnoteRef/>
      </w:r>
      <w:r w:rsidRPr="00C23A68">
        <w:rPr>
          <w:rFonts w:ascii="Arial" w:hAnsi="Arial" w:cs="Arial"/>
        </w:rPr>
        <w:t xml:space="preserve"> In 2014 the Rental Registration and Inspection Ordinance (RRIO) required that all rental property owners (with a few exceptions) in Seattle must register their properties with the City. </w:t>
      </w:r>
      <w:r w:rsidR="00C23A68" w:rsidRPr="00C23A68">
        <w:rPr>
          <w:rFonts w:ascii="Arial" w:hAnsi="Arial" w:cs="Arial"/>
        </w:rPr>
        <w:t xml:space="preserve">More information at: </w:t>
      </w:r>
      <w:hyperlink r:id="rId19" w:history="1">
        <w:r w:rsidRPr="00C23A68">
          <w:rPr>
            <w:rStyle w:val="Hyperlink"/>
            <w:rFonts w:ascii="Arial" w:hAnsi="Arial" w:cs="Arial"/>
          </w:rPr>
          <w:t>https://www.seattle.gov/sdci/codes/licensing-and-registration/rental-registration-and-inspection-ordinance</w:t>
        </w:r>
      </w:hyperlink>
    </w:p>
  </w:footnote>
  <w:footnote w:id="25">
    <w:p w14:paraId="1BD19CA5" w14:textId="7BFE495D" w:rsidR="00BC54FC" w:rsidRPr="00C23A68" w:rsidRDefault="00BC54FC">
      <w:pPr>
        <w:pStyle w:val="FootnoteText"/>
        <w:rPr>
          <w:rFonts w:ascii="Arial" w:hAnsi="Arial" w:cs="Arial"/>
        </w:rPr>
      </w:pPr>
      <w:r w:rsidRPr="00C23A68">
        <w:rPr>
          <w:rStyle w:val="FootnoteReference"/>
          <w:rFonts w:ascii="Arial" w:hAnsi="Arial" w:cs="Arial"/>
        </w:rPr>
        <w:footnoteRef/>
      </w:r>
      <w:r w:rsidR="007A6499" w:rsidRPr="00C23A68">
        <w:rPr>
          <w:rFonts w:ascii="Arial" w:hAnsi="Arial" w:cs="Arial"/>
        </w:rPr>
        <w:t xml:space="preserve"> </w:t>
      </w:r>
      <w:hyperlink r:id="rId20" w:history="1">
        <w:r w:rsidRPr="00C23A68">
          <w:rPr>
            <w:rStyle w:val="Hyperlink"/>
            <w:rFonts w:ascii="Arial" w:hAnsi="Arial" w:cs="Arial"/>
          </w:rPr>
          <w:t>http://www.seattle.gov/Documents/Departments/SDCI/Codes/InformationForTenants.pdf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6C24" w14:textId="77777777" w:rsidR="00A41967" w:rsidRDefault="00A4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0A11" w14:textId="77777777" w:rsidR="00A41967" w:rsidRDefault="00A41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76E0" w14:textId="77777777" w:rsidR="00C75025" w:rsidRDefault="00C75025" w:rsidP="00C75025">
    <w:pPr>
      <w:jc w:val="center"/>
    </w:pPr>
    <w:r>
      <w:rPr>
        <w:noProof/>
      </w:rPr>
      <w:drawing>
        <wp:inline distT="0" distB="0" distL="0" distR="0" wp14:anchorId="268E444B" wp14:editId="3ADEC69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6BA337C" w14:textId="77777777" w:rsidR="00C75025" w:rsidRPr="003B03EF" w:rsidRDefault="00C75025" w:rsidP="00C75025">
    <w:pPr>
      <w:jc w:val="center"/>
      <w:rPr>
        <w:rFonts w:ascii="Arial" w:hAnsi="Arial"/>
        <w:szCs w:val="22"/>
      </w:rPr>
    </w:pPr>
  </w:p>
  <w:p w14:paraId="1055FA2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D6AAFC4"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1659"/>
    <w:multiLevelType w:val="hybridMultilevel"/>
    <w:tmpl w:val="35323D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66D9"/>
    <w:multiLevelType w:val="hybridMultilevel"/>
    <w:tmpl w:val="4978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A7A7D"/>
    <w:multiLevelType w:val="hybridMultilevel"/>
    <w:tmpl w:val="1310C3D4"/>
    <w:lvl w:ilvl="0" w:tplc="C58C1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950A0"/>
    <w:multiLevelType w:val="hybridMultilevel"/>
    <w:tmpl w:val="CC927A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F5A88"/>
    <w:multiLevelType w:val="hybridMultilevel"/>
    <w:tmpl w:val="FF1C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1B"/>
    <w:rsid w:val="00022EE3"/>
    <w:rsid w:val="0002302F"/>
    <w:rsid w:val="000231B1"/>
    <w:rsid w:val="00024138"/>
    <w:rsid w:val="0002551E"/>
    <w:rsid w:val="0002555E"/>
    <w:rsid w:val="000262E4"/>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47B4"/>
    <w:rsid w:val="00066150"/>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076BA"/>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37F35"/>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317"/>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5F9A"/>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F5E"/>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041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2B00"/>
    <w:rsid w:val="00433E5C"/>
    <w:rsid w:val="004349B7"/>
    <w:rsid w:val="00436DD2"/>
    <w:rsid w:val="0043717B"/>
    <w:rsid w:val="00437287"/>
    <w:rsid w:val="004412EB"/>
    <w:rsid w:val="00443A36"/>
    <w:rsid w:val="00446B6F"/>
    <w:rsid w:val="00447B01"/>
    <w:rsid w:val="00450155"/>
    <w:rsid w:val="0045274D"/>
    <w:rsid w:val="00452DA1"/>
    <w:rsid w:val="00453237"/>
    <w:rsid w:val="00453DE9"/>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98B"/>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1737F"/>
    <w:rsid w:val="0052089C"/>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105"/>
    <w:rsid w:val="005572A4"/>
    <w:rsid w:val="00557EA9"/>
    <w:rsid w:val="0056091F"/>
    <w:rsid w:val="00560D50"/>
    <w:rsid w:val="00561804"/>
    <w:rsid w:val="00561E7C"/>
    <w:rsid w:val="005621CF"/>
    <w:rsid w:val="0056311F"/>
    <w:rsid w:val="00564B10"/>
    <w:rsid w:val="00564DEE"/>
    <w:rsid w:val="00565248"/>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3159"/>
    <w:rsid w:val="00596ACA"/>
    <w:rsid w:val="005A1377"/>
    <w:rsid w:val="005A2AE5"/>
    <w:rsid w:val="005A2BC9"/>
    <w:rsid w:val="005A3FD9"/>
    <w:rsid w:val="005A4155"/>
    <w:rsid w:val="005A5CC1"/>
    <w:rsid w:val="005A7B2A"/>
    <w:rsid w:val="005A7E12"/>
    <w:rsid w:val="005B0541"/>
    <w:rsid w:val="005B0FD8"/>
    <w:rsid w:val="005B3B8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6B66"/>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BD2"/>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A3F"/>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1886"/>
    <w:rsid w:val="007532A9"/>
    <w:rsid w:val="00753E84"/>
    <w:rsid w:val="00755A77"/>
    <w:rsid w:val="00755B13"/>
    <w:rsid w:val="00755C37"/>
    <w:rsid w:val="00756DB3"/>
    <w:rsid w:val="007574DF"/>
    <w:rsid w:val="007607D5"/>
    <w:rsid w:val="007614A1"/>
    <w:rsid w:val="007635B2"/>
    <w:rsid w:val="0076386D"/>
    <w:rsid w:val="00765EB5"/>
    <w:rsid w:val="0076606D"/>
    <w:rsid w:val="00767B3E"/>
    <w:rsid w:val="00771486"/>
    <w:rsid w:val="00772135"/>
    <w:rsid w:val="00772261"/>
    <w:rsid w:val="00773139"/>
    <w:rsid w:val="00773149"/>
    <w:rsid w:val="00774931"/>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A6499"/>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438"/>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80C"/>
    <w:rsid w:val="00883A48"/>
    <w:rsid w:val="008848DC"/>
    <w:rsid w:val="00885C43"/>
    <w:rsid w:val="00886402"/>
    <w:rsid w:val="00887986"/>
    <w:rsid w:val="008904F0"/>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DF1"/>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31DF"/>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1620"/>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46A47"/>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123F"/>
    <w:rsid w:val="00AB2549"/>
    <w:rsid w:val="00AB546C"/>
    <w:rsid w:val="00AB5D11"/>
    <w:rsid w:val="00AB62CD"/>
    <w:rsid w:val="00AB745F"/>
    <w:rsid w:val="00AB7EDB"/>
    <w:rsid w:val="00AC1CD2"/>
    <w:rsid w:val="00AC3F0D"/>
    <w:rsid w:val="00AC515D"/>
    <w:rsid w:val="00AC6245"/>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BF8"/>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54FC"/>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3A68"/>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65EB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175"/>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66A9"/>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576EE"/>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481B"/>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1E58"/>
    <w:rsid w:val="00F41F6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F7B"/>
    <w:rsid w:val="00F731E8"/>
    <w:rsid w:val="00F768EB"/>
    <w:rsid w:val="00F77845"/>
    <w:rsid w:val="00F8004A"/>
    <w:rsid w:val="00F80769"/>
    <w:rsid w:val="00F80B33"/>
    <w:rsid w:val="00F81A74"/>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5EF0"/>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32ED"/>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paragraph" w:styleId="NoSpacing">
    <w:name w:val="No Spacing"/>
    <w:uiPriority w:val="1"/>
    <w:qFormat/>
    <w:rsid w:val="000647B4"/>
    <w:rPr>
      <w:sz w:val="24"/>
    </w:rPr>
  </w:style>
  <w:style w:type="character" w:customStyle="1" w:styleId="A10">
    <w:name w:val="A10"/>
    <w:uiPriority w:val="99"/>
    <w:rsid w:val="008E5DF1"/>
    <w:rPr>
      <w:rFonts w:cs="Open Sans"/>
      <w:color w:val="312E30"/>
      <w:sz w:val="21"/>
      <w:szCs w:val="21"/>
    </w:rPr>
  </w:style>
  <w:style w:type="paragraph" w:styleId="EndnoteText">
    <w:name w:val="endnote text"/>
    <w:basedOn w:val="Normal"/>
    <w:link w:val="EndnoteTextChar"/>
    <w:uiPriority w:val="99"/>
    <w:semiHidden/>
    <w:unhideWhenUsed/>
    <w:rsid w:val="008904F0"/>
    <w:rPr>
      <w:sz w:val="20"/>
    </w:rPr>
  </w:style>
  <w:style w:type="character" w:customStyle="1" w:styleId="EndnoteTextChar">
    <w:name w:val="Endnote Text Char"/>
    <w:basedOn w:val="DefaultParagraphFont"/>
    <w:link w:val="EndnoteText"/>
    <w:uiPriority w:val="99"/>
    <w:semiHidden/>
    <w:rsid w:val="008904F0"/>
  </w:style>
  <w:style w:type="character" w:styleId="EndnoteReference">
    <w:name w:val="endnote reference"/>
    <w:basedOn w:val="DefaultParagraphFont"/>
    <w:uiPriority w:val="99"/>
    <w:semiHidden/>
    <w:unhideWhenUsed/>
    <w:rsid w:val="008904F0"/>
    <w:rPr>
      <w:vertAlign w:val="superscript"/>
    </w:rPr>
  </w:style>
  <w:style w:type="paragraph" w:styleId="PlainText">
    <w:name w:val="Plain Text"/>
    <w:basedOn w:val="Normal"/>
    <w:link w:val="PlainTextChar"/>
    <w:uiPriority w:val="99"/>
    <w:unhideWhenUsed/>
    <w:rsid w:val="00557105"/>
    <w:rPr>
      <w:rFonts w:eastAsiaTheme="minorHAnsi" w:cstheme="minorBidi"/>
      <w:szCs w:val="21"/>
    </w:rPr>
  </w:style>
  <w:style w:type="character" w:customStyle="1" w:styleId="PlainTextChar">
    <w:name w:val="Plain Text Char"/>
    <w:basedOn w:val="DefaultParagraphFont"/>
    <w:link w:val="PlainText"/>
    <w:uiPriority w:val="99"/>
    <w:rsid w:val="00557105"/>
    <w:rPr>
      <w:rFonts w:eastAsiaTheme="minorHAns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739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76017146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cba.org/Portals/0/pbs/pdf/Losing%20Home%202018.pdf" TargetMode="External"/><Relationship Id="rId13" Type="http://schemas.openxmlformats.org/officeDocument/2006/relationships/hyperlink" Target="https://sfrb.org/section-379-evictions" TargetMode="External"/><Relationship Id="rId18" Type="http://schemas.openxmlformats.org/officeDocument/2006/relationships/hyperlink" Target="http://sdc.wastateleg.org/kuderer/2019/05/09/governor-signs-bill-extending-notice-for-eviction-expanding-tenant-protections/" TargetMode="External"/><Relationship Id="rId3" Type="http://schemas.openxmlformats.org/officeDocument/2006/relationships/hyperlink" Target="http://www.evictionlab.org/methods" TargetMode="External"/><Relationship Id="rId7" Type="http://schemas.openxmlformats.org/officeDocument/2006/relationships/hyperlink" Target="https://www.kcba.org/Portals/0/pbs/pdf/Losing%20Home%202018.pdf" TargetMode="External"/><Relationship Id="rId12" Type="http://schemas.openxmlformats.org/officeDocument/2006/relationships/hyperlink" Target="https://www.phila.gov/FairHousingCommission/pdf/Fair%20Housing%20Ordinance%209-800%209-1200%20(4-20-2019).pdf" TargetMode="External"/><Relationship Id="rId17" Type="http://schemas.openxmlformats.org/officeDocument/2006/relationships/hyperlink" Target="http://lawfilesext.leg.wa.gov/biennium/2019-20/Pdf/Bill%20Reports/House/1440-S.E%20HBR%20FBR%2019.pdf" TargetMode="External"/><Relationship Id="rId2" Type="http://schemas.openxmlformats.org/officeDocument/2006/relationships/hyperlink" Target="https://evictionlab.org/about/" TargetMode="External"/><Relationship Id="rId16" Type="http://schemas.openxmlformats.org/officeDocument/2006/relationships/hyperlink" Target="https://code.dccouncil.us/dc/council/code/sections/42-3505.01.html" TargetMode="External"/><Relationship Id="rId20" Type="http://schemas.openxmlformats.org/officeDocument/2006/relationships/hyperlink" Target="http://www.seattle.gov/Documents/Departments/SDCI/Codes/InformationForTenants.pdf" TargetMode="External"/><Relationship Id="rId1" Type="http://schemas.openxmlformats.org/officeDocument/2006/relationships/hyperlink" Target="https://www.kingcounty.gov/~/media/initiatives/affordablehousing/documents/report/RAH-Report-Print-File-7-17-19.ashx?la=en" TargetMode="External"/><Relationship Id="rId6" Type="http://schemas.openxmlformats.org/officeDocument/2006/relationships/hyperlink" Target="https://www.kcba.org/Portals/0/pbs/pdf/Losing%20Home%202018.pdf" TargetMode="External"/><Relationship Id="rId11" Type="http://schemas.openxmlformats.org/officeDocument/2006/relationships/hyperlink" Target="https://www.kingcounty.gov/~/media/initiatives/affordablehousing/documents/report/RAH-Report-Print-File-7-17-19.ashx?la=en" TargetMode="External"/><Relationship Id="rId5" Type="http://schemas.openxmlformats.org/officeDocument/2006/relationships/hyperlink" Target="https://evictionlab.org/why-eviction-matters/" TargetMode="External"/><Relationship Id="rId15" Type="http://schemas.openxmlformats.org/officeDocument/2006/relationships/hyperlink" Target="https://hcidla.lacity.org/RSO-Overview" TargetMode="External"/><Relationship Id="rId10" Type="http://schemas.openxmlformats.org/officeDocument/2006/relationships/hyperlink" Target="https://www.kingcounty.gov/~/media/initiatives/affordablehousing/documents/report/RAH-Report-Print-File-7-17-19.ashx?la=en" TargetMode="External"/><Relationship Id="rId19" Type="http://schemas.openxmlformats.org/officeDocument/2006/relationships/hyperlink" Target="https://www.seattle.gov/sdci/codes/licensing-and-registration/rental-registration-and-inspection-ordinance" TargetMode="External"/><Relationship Id="rId4" Type="http://schemas.openxmlformats.org/officeDocument/2006/relationships/hyperlink" Target="http://www.evictionlab.org/methods" TargetMode="External"/><Relationship Id="rId9" Type="http://schemas.openxmlformats.org/officeDocument/2006/relationships/hyperlink" Target="https://www.kcba.org/Portals/0/pbs/pdf/Losing%20Home%202018.pdf" TargetMode="External"/><Relationship Id="rId14" Type="http://schemas.openxmlformats.org/officeDocument/2006/relationships/hyperlink" Target="https://www.oaklandca.gov/resources/read-the-just-cause-for-eviction-ordi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1B8A-0F79-49C7-A28D-2396E1BE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4</cp:revision>
  <cp:lastPrinted>2015-03-13T15:09:00Z</cp:lastPrinted>
  <dcterms:created xsi:type="dcterms:W3CDTF">2019-07-25T16:43:00Z</dcterms:created>
  <dcterms:modified xsi:type="dcterms:W3CDTF">2019-07-26T17:35:00Z</dcterms:modified>
</cp:coreProperties>
</file>