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BC38" w14:textId="77777777" w:rsidR="00EB5A13" w:rsidRPr="00B64ADE" w:rsidRDefault="00EB5A13" w:rsidP="00EB5A13">
      <w:pPr>
        <w:pStyle w:val="Heading2"/>
        <w:rPr>
          <w:rFonts w:ascii="Arial" w:hAnsi="Arial" w:cs="Arial"/>
          <w:b w:val="0"/>
          <w:sz w:val="24"/>
          <w:szCs w:val="24"/>
          <w:u w:val="none"/>
        </w:rPr>
      </w:pPr>
    </w:p>
    <w:p w14:paraId="510C907A" w14:textId="28D02CE6" w:rsidR="00EB5A13" w:rsidRPr="00B64ADE" w:rsidRDefault="00837104" w:rsidP="00EB5A13">
      <w:pPr>
        <w:pStyle w:val="Heading2"/>
        <w:rPr>
          <w:rFonts w:ascii="Arial" w:hAnsi="Arial" w:cs="Arial"/>
          <w:sz w:val="24"/>
          <w:szCs w:val="24"/>
        </w:rPr>
      </w:pPr>
      <w:r>
        <w:rPr>
          <w:rFonts w:ascii="Arial" w:hAnsi="Arial" w:cs="Arial"/>
          <w:sz w:val="24"/>
          <w:szCs w:val="24"/>
        </w:rPr>
        <w:t xml:space="preserve">REVISED </w:t>
      </w:r>
      <w:r w:rsidR="00EB5A13" w:rsidRPr="00B64ADE">
        <w:rPr>
          <w:rFonts w:ascii="Arial" w:hAnsi="Arial" w:cs="Arial"/>
          <w:sz w:val="24"/>
          <w:szCs w:val="24"/>
        </w:rPr>
        <w:t>STAFF REPORT</w:t>
      </w:r>
    </w:p>
    <w:p w14:paraId="6A0F73F5" w14:textId="77777777" w:rsidR="00EB5A13" w:rsidRPr="00B64ADE"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64ADE" w14:paraId="1E39709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DE05D76" w14:textId="77777777" w:rsidR="00EB5A13" w:rsidRPr="00B64ADE" w:rsidRDefault="00EB5A13" w:rsidP="00074A56">
            <w:pPr>
              <w:spacing w:before="40" w:after="40"/>
              <w:rPr>
                <w:rFonts w:ascii="Arial" w:hAnsi="Arial" w:cs="Arial"/>
                <w:b/>
                <w:szCs w:val="24"/>
              </w:rPr>
            </w:pPr>
            <w:r w:rsidRPr="00B64ADE">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36E6171" w14:textId="2E44C5EB" w:rsidR="00EB5A13" w:rsidRPr="00B64ADE" w:rsidRDefault="006D4F7F" w:rsidP="00074A56">
            <w:pPr>
              <w:spacing w:before="40" w:after="40"/>
              <w:rPr>
                <w:rFonts w:ascii="Arial" w:hAnsi="Arial" w:cs="Arial"/>
                <w:szCs w:val="24"/>
              </w:rPr>
            </w:pPr>
            <w:r>
              <w:rPr>
                <w:rFonts w:ascii="Arial" w:hAnsi="Arial" w:cs="Arial"/>
                <w:szCs w:val="24"/>
              </w:rPr>
              <w:t>13</w:t>
            </w:r>
          </w:p>
        </w:tc>
        <w:tc>
          <w:tcPr>
            <w:tcW w:w="1170" w:type="dxa"/>
            <w:tcBorders>
              <w:top w:val="single" w:sz="4" w:space="0" w:color="auto"/>
              <w:left w:val="single" w:sz="4" w:space="0" w:color="auto"/>
              <w:bottom w:val="single" w:sz="4" w:space="0" w:color="auto"/>
              <w:right w:val="single" w:sz="4" w:space="0" w:color="auto"/>
            </w:tcBorders>
            <w:vAlign w:val="center"/>
          </w:tcPr>
          <w:p w14:paraId="4C9D0358" w14:textId="77777777" w:rsidR="00EB5A13" w:rsidRPr="00B64ADE" w:rsidRDefault="00EB5A13" w:rsidP="00074A56">
            <w:pPr>
              <w:spacing w:before="40" w:after="40"/>
              <w:rPr>
                <w:rFonts w:ascii="Arial" w:hAnsi="Arial" w:cs="Arial"/>
                <w:b/>
                <w:szCs w:val="24"/>
              </w:rPr>
            </w:pPr>
            <w:r w:rsidRPr="00B64ADE">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E9611E6" w14:textId="77777777" w:rsidR="00EB5A13" w:rsidRPr="00B64ADE" w:rsidRDefault="00C43325" w:rsidP="00074A56">
            <w:pPr>
              <w:spacing w:before="40" w:after="40"/>
              <w:rPr>
                <w:rFonts w:ascii="Arial" w:hAnsi="Arial" w:cs="Arial"/>
                <w:szCs w:val="24"/>
              </w:rPr>
            </w:pPr>
            <w:r w:rsidRPr="00B64ADE">
              <w:rPr>
                <w:rFonts w:ascii="Arial" w:hAnsi="Arial" w:cs="Arial"/>
                <w:szCs w:val="24"/>
              </w:rPr>
              <w:t>Sam Porter</w:t>
            </w:r>
          </w:p>
        </w:tc>
      </w:tr>
      <w:tr w:rsidR="00EB5A13" w:rsidRPr="00B64ADE" w14:paraId="158E0DB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A1D229" w14:textId="77777777" w:rsidR="00EB5A13" w:rsidRPr="00B64ADE" w:rsidRDefault="00EB5A13" w:rsidP="00074A56">
            <w:pPr>
              <w:spacing w:before="40" w:after="40"/>
              <w:rPr>
                <w:rFonts w:ascii="Arial" w:hAnsi="Arial" w:cs="Arial"/>
                <w:szCs w:val="24"/>
              </w:rPr>
            </w:pPr>
            <w:r w:rsidRPr="00B64ADE">
              <w:rPr>
                <w:rFonts w:ascii="Arial" w:hAnsi="Arial" w:cs="Arial"/>
                <w:b/>
                <w:szCs w:val="24"/>
              </w:rPr>
              <w:t>Proposed No</w:t>
            </w:r>
            <w:r w:rsidRPr="00B64ADE">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07083F4C" w14:textId="77777777" w:rsidR="00EB5A13" w:rsidRPr="00B64ADE" w:rsidRDefault="00C43325" w:rsidP="00074A56">
            <w:pPr>
              <w:spacing w:before="40" w:after="40"/>
              <w:rPr>
                <w:rFonts w:ascii="Arial" w:hAnsi="Arial" w:cs="Arial"/>
                <w:szCs w:val="24"/>
              </w:rPr>
            </w:pPr>
            <w:r w:rsidRPr="00B64ADE">
              <w:rPr>
                <w:rFonts w:ascii="Arial" w:hAnsi="Arial" w:cs="Arial"/>
                <w:szCs w:val="24"/>
              </w:rPr>
              <w:t>2019-0137</w:t>
            </w:r>
          </w:p>
        </w:tc>
        <w:tc>
          <w:tcPr>
            <w:tcW w:w="1170" w:type="dxa"/>
            <w:tcBorders>
              <w:top w:val="single" w:sz="4" w:space="0" w:color="auto"/>
              <w:left w:val="single" w:sz="4" w:space="0" w:color="auto"/>
              <w:bottom w:val="single" w:sz="4" w:space="0" w:color="auto"/>
              <w:right w:val="single" w:sz="4" w:space="0" w:color="auto"/>
            </w:tcBorders>
            <w:vAlign w:val="center"/>
          </w:tcPr>
          <w:p w14:paraId="6270F643" w14:textId="77777777" w:rsidR="00EB5A13" w:rsidRPr="00B64ADE" w:rsidRDefault="00EB5A13" w:rsidP="00074A56">
            <w:pPr>
              <w:spacing w:before="40" w:after="40"/>
              <w:ind w:right="-108"/>
              <w:rPr>
                <w:rFonts w:ascii="Arial" w:hAnsi="Arial" w:cs="Arial"/>
                <w:szCs w:val="24"/>
              </w:rPr>
            </w:pPr>
            <w:r w:rsidRPr="00B64ADE">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2A45643" w14:textId="4EFAD966" w:rsidR="00EB5A13" w:rsidRPr="00B64ADE" w:rsidRDefault="00495F54" w:rsidP="00B40D25">
            <w:pPr>
              <w:spacing w:before="40" w:after="40"/>
              <w:rPr>
                <w:rFonts w:ascii="Arial" w:hAnsi="Arial" w:cs="Arial"/>
                <w:szCs w:val="24"/>
              </w:rPr>
            </w:pPr>
            <w:r>
              <w:rPr>
                <w:rFonts w:ascii="Arial" w:hAnsi="Arial" w:cs="Arial"/>
                <w:szCs w:val="24"/>
              </w:rPr>
              <w:t xml:space="preserve">June </w:t>
            </w:r>
            <w:r w:rsidR="00B40D25">
              <w:rPr>
                <w:rFonts w:ascii="Arial" w:hAnsi="Arial" w:cs="Arial"/>
                <w:szCs w:val="24"/>
              </w:rPr>
              <w:t>25</w:t>
            </w:r>
            <w:r w:rsidR="00C43325" w:rsidRPr="00B64ADE">
              <w:rPr>
                <w:rFonts w:ascii="Arial" w:hAnsi="Arial" w:cs="Arial"/>
                <w:szCs w:val="24"/>
              </w:rPr>
              <w:t>, 2019</w:t>
            </w:r>
          </w:p>
        </w:tc>
      </w:tr>
    </w:tbl>
    <w:p w14:paraId="05B153B1" w14:textId="77777777" w:rsidR="00C37A37" w:rsidRPr="00B64ADE" w:rsidRDefault="00C37A37" w:rsidP="00C37A37">
      <w:pPr>
        <w:rPr>
          <w:rFonts w:ascii="Arial" w:hAnsi="Arial" w:cs="Arial"/>
          <w:b/>
          <w:smallCaps/>
          <w:szCs w:val="24"/>
          <w:u w:val="single"/>
        </w:rPr>
      </w:pPr>
    </w:p>
    <w:p w14:paraId="7650A794" w14:textId="77777777" w:rsidR="00837104" w:rsidRDefault="00837104" w:rsidP="00837104">
      <w:pPr>
        <w:rPr>
          <w:rFonts w:ascii="Arial" w:hAnsi="Arial" w:cs="Arial"/>
          <w:b/>
          <w:smallCaps/>
          <w:szCs w:val="24"/>
          <w:u w:val="single"/>
        </w:rPr>
      </w:pPr>
      <w:r>
        <w:rPr>
          <w:rFonts w:ascii="Arial" w:hAnsi="Arial" w:cs="Arial"/>
          <w:b/>
          <w:smallCaps/>
          <w:szCs w:val="24"/>
          <w:u w:val="single"/>
        </w:rPr>
        <w:t>COMMITTEE ACTION</w:t>
      </w:r>
    </w:p>
    <w:p w14:paraId="0F39DF31" w14:textId="77777777" w:rsidR="00837104" w:rsidRDefault="00837104" w:rsidP="00837104">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37104" w14:paraId="5C98AD46" w14:textId="77777777" w:rsidTr="00560CDF">
        <w:tc>
          <w:tcPr>
            <w:tcW w:w="9535" w:type="dxa"/>
          </w:tcPr>
          <w:p w14:paraId="3A34092F" w14:textId="77777777" w:rsidR="00837104" w:rsidRDefault="00837104" w:rsidP="00560CDF">
            <w:pPr>
              <w:jc w:val="both"/>
              <w:rPr>
                <w:rFonts w:ascii="Arial" w:hAnsi="Arial" w:cs="Arial"/>
                <w:b/>
                <w:i/>
              </w:rPr>
            </w:pPr>
          </w:p>
          <w:p w14:paraId="79511441" w14:textId="5B04438C" w:rsidR="00837104" w:rsidRDefault="00837104" w:rsidP="00560CDF">
            <w:pPr>
              <w:jc w:val="both"/>
              <w:rPr>
                <w:rFonts w:ascii="Arial" w:hAnsi="Arial" w:cs="Arial"/>
                <w:b/>
                <w:i/>
              </w:rPr>
            </w:pPr>
            <w:r w:rsidRPr="00837104">
              <w:rPr>
                <w:rFonts w:ascii="Arial" w:hAnsi="Arial" w:cs="Arial"/>
                <w:b/>
                <w:i/>
              </w:rPr>
              <w:t>Proposed Substitute Ordinance 2019-</w:t>
            </w:r>
            <w:r w:rsidRPr="00837104">
              <w:rPr>
                <w:rFonts w:ascii="Arial" w:hAnsi="Arial" w:cs="Arial"/>
                <w:b/>
                <w:i/>
              </w:rPr>
              <w:t>0137</w:t>
            </w:r>
            <w:r w:rsidRPr="00837104">
              <w:rPr>
                <w:rFonts w:ascii="Arial" w:hAnsi="Arial" w:cs="Arial"/>
                <w:b/>
                <w:i/>
              </w:rPr>
              <w:t xml:space="preserve">.2 </w:t>
            </w:r>
            <w:r w:rsidRPr="00837104">
              <w:rPr>
                <w:rFonts w:ascii="Arial" w:hAnsi="Arial" w:cs="Arial"/>
                <w:b/>
                <w:i/>
              </w:rPr>
              <w:t>would make changes to King County Code related to fees and reporting requirements for Public Records Act requests,</w:t>
            </w:r>
            <w:r w:rsidRPr="00837104">
              <w:rPr>
                <w:rFonts w:ascii="Arial" w:hAnsi="Arial" w:cs="Arial"/>
                <w:b/>
                <w:i/>
              </w:rPr>
              <w:t xml:space="preserve"> passed out of committee on </w:t>
            </w:r>
            <w:r w:rsidRPr="00837104">
              <w:rPr>
                <w:rFonts w:ascii="Arial" w:hAnsi="Arial" w:cs="Arial"/>
                <w:b/>
                <w:i/>
              </w:rPr>
              <w:t>June 25, 2019</w:t>
            </w:r>
            <w:r w:rsidRPr="00837104">
              <w:rPr>
                <w:rFonts w:ascii="Arial" w:hAnsi="Arial" w:cs="Arial"/>
                <w:b/>
                <w:i/>
              </w:rPr>
              <w:t>,</w:t>
            </w:r>
            <w:r w:rsidRPr="00837104">
              <w:rPr>
                <w:rFonts w:ascii="Arial" w:hAnsi="Arial" w:cs="Arial"/>
                <w:b/>
                <w:i/>
              </w:rPr>
              <w:t xml:space="preserve"> without</w:t>
            </w:r>
            <w:r w:rsidRPr="00837104">
              <w:rPr>
                <w:rFonts w:ascii="Arial" w:hAnsi="Arial" w:cs="Arial"/>
                <w:b/>
                <w:i/>
              </w:rPr>
              <w:t xml:space="preserve"> recommendation. The Ordinance was amended in committee with Amendment </w:t>
            </w:r>
            <w:r w:rsidRPr="00837104">
              <w:rPr>
                <w:rFonts w:ascii="Arial" w:hAnsi="Arial" w:cs="Arial"/>
                <w:b/>
                <w:i/>
              </w:rPr>
              <w:t>1</w:t>
            </w:r>
            <w:r w:rsidRPr="00837104">
              <w:rPr>
                <w:rFonts w:ascii="Arial" w:hAnsi="Arial" w:cs="Arial"/>
                <w:b/>
                <w:i/>
              </w:rPr>
              <w:t xml:space="preserve"> to </w:t>
            </w:r>
            <w:r w:rsidRPr="00837104">
              <w:rPr>
                <w:rFonts w:ascii="Arial" w:hAnsi="Arial" w:cs="Arial"/>
                <w:b/>
                <w:i/>
              </w:rPr>
              <w:t>align the annual reporting requirements pertaining to public records act requests with 40.14.026(5) RCW and make technical adjustments.</w:t>
            </w:r>
          </w:p>
          <w:p w14:paraId="36830D0E" w14:textId="77777777" w:rsidR="00837104" w:rsidRPr="00A11E83" w:rsidRDefault="00837104" w:rsidP="00560CDF">
            <w:pPr>
              <w:jc w:val="both"/>
              <w:rPr>
                <w:rFonts w:ascii="Arial" w:hAnsi="Arial" w:cs="Arial"/>
                <w:b/>
                <w:i/>
              </w:rPr>
            </w:pPr>
          </w:p>
        </w:tc>
      </w:tr>
    </w:tbl>
    <w:p w14:paraId="683C3271" w14:textId="77777777" w:rsidR="00837104" w:rsidRDefault="00837104" w:rsidP="00837104">
      <w:pPr>
        <w:jc w:val="both"/>
        <w:rPr>
          <w:rFonts w:ascii="Arial" w:hAnsi="Arial" w:cs="Arial"/>
          <w:b/>
          <w:u w:val="single"/>
        </w:rPr>
      </w:pPr>
    </w:p>
    <w:p w14:paraId="1C304F25" w14:textId="543BDFCE" w:rsidR="00785660" w:rsidRPr="00B64ADE" w:rsidRDefault="00785660" w:rsidP="00785660">
      <w:pPr>
        <w:jc w:val="both"/>
        <w:rPr>
          <w:rFonts w:ascii="Arial" w:hAnsi="Arial" w:cs="Arial"/>
          <w:b/>
          <w:szCs w:val="24"/>
          <w:u w:val="single"/>
        </w:rPr>
      </w:pPr>
      <w:r w:rsidRPr="00B64ADE">
        <w:rPr>
          <w:rFonts w:ascii="Arial" w:hAnsi="Arial" w:cs="Arial"/>
          <w:b/>
          <w:szCs w:val="24"/>
          <w:u w:val="single"/>
        </w:rPr>
        <w:t>SUBJECT</w:t>
      </w:r>
    </w:p>
    <w:p w14:paraId="04590C98" w14:textId="77777777" w:rsidR="00785660" w:rsidRPr="00B64ADE" w:rsidRDefault="00785660" w:rsidP="00785660">
      <w:pPr>
        <w:rPr>
          <w:rFonts w:ascii="Arial" w:hAnsi="Arial" w:cs="Arial"/>
          <w:szCs w:val="24"/>
        </w:rPr>
      </w:pPr>
    </w:p>
    <w:p w14:paraId="6744E800" w14:textId="77777777" w:rsidR="00785660" w:rsidRPr="00B64ADE" w:rsidRDefault="00C43325" w:rsidP="00785660">
      <w:pPr>
        <w:jc w:val="both"/>
        <w:rPr>
          <w:rFonts w:ascii="Arial" w:hAnsi="Arial" w:cs="Arial"/>
          <w:b/>
          <w:szCs w:val="24"/>
          <w:u w:val="single"/>
        </w:rPr>
      </w:pPr>
      <w:r w:rsidRPr="00B64ADE">
        <w:rPr>
          <w:rFonts w:ascii="Arial" w:hAnsi="Arial" w:cs="Arial"/>
          <w:szCs w:val="24"/>
        </w:rPr>
        <w:t>Proposed Ordinance 2019-</w:t>
      </w:r>
      <w:r w:rsidR="00C12ECE">
        <w:rPr>
          <w:rFonts w:ascii="Arial" w:hAnsi="Arial" w:cs="Arial"/>
          <w:szCs w:val="24"/>
        </w:rPr>
        <w:t>0137 would make changes to King County Code related to fees and reporting requirements for Public Records Act requests.</w:t>
      </w:r>
      <w:r w:rsidRPr="00B64ADE">
        <w:rPr>
          <w:rFonts w:ascii="Arial" w:hAnsi="Arial" w:cs="Arial"/>
          <w:szCs w:val="24"/>
        </w:rPr>
        <w:t xml:space="preserve"> </w:t>
      </w:r>
    </w:p>
    <w:p w14:paraId="59853E76" w14:textId="77777777" w:rsidR="00785660" w:rsidRPr="00B64ADE" w:rsidRDefault="00785660" w:rsidP="00785660">
      <w:pPr>
        <w:rPr>
          <w:rFonts w:ascii="Arial" w:hAnsi="Arial" w:cs="Arial"/>
          <w:b/>
          <w:smallCaps/>
          <w:szCs w:val="24"/>
          <w:u w:val="single"/>
        </w:rPr>
      </w:pPr>
    </w:p>
    <w:p w14:paraId="67BA155F" w14:textId="77777777" w:rsidR="00785660" w:rsidRPr="00B64ADE" w:rsidRDefault="00785660" w:rsidP="00785660">
      <w:pPr>
        <w:rPr>
          <w:rFonts w:ascii="Arial" w:hAnsi="Arial" w:cs="Arial"/>
          <w:b/>
          <w:smallCaps/>
          <w:szCs w:val="24"/>
          <w:u w:val="single"/>
        </w:rPr>
      </w:pPr>
      <w:r w:rsidRPr="00B64ADE">
        <w:rPr>
          <w:rFonts w:ascii="Arial" w:hAnsi="Arial" w:cs="Arial"/>
          <w:b/>
          <w:smallCaps/>
          <w:szCs w:val="24"/>
          <w:u w:val="single"/>
        </w:rPr>
        <w:t>SUMMARY</w:t>
      </w:r>
    </w:p>
    <w:p w14:paraId="68D2DBEA" w14:textId="77777777" w:rsidR="00785660" w:rsidRPr="00B64ADE" w:rsidRDefault="00785660" w:rsidP="00785660">
      <w:pPr>
        <w:rPr>
          <w:rFonts w:ascii="Arial" w:hAnsi="Arial" w:cs="Arial"/>
          <w:szCs w:val="24"/>
        </w:rPr>
      </w:pPr>
    </w:p>
    <w:p w14:paraId="7C4B8A41" w14:textId="1406D1D5" w:rsidR="0096685B" w:rsidRDefault="00C43325" w:rsidP="003F2C7D">
      <w:pPr>
        <w:jc w:val="both"/>
        <w:rPr>
          <w:rFonts w:ascii="Arial" w:hAnsi="Arial" w:cs="Arial"/>
          <w:szCs w:val="24"/>
        </w:rPr>
      </w:pPr>
      <w:r w:rsidRPr="00B64ADE">
        <w:rPr>
          <w:rFonts w:ascii="Arial" w:hAnsi="Arial" w:cs="Arial"/>
          <w:szCs w:val="24"/>
        </w:rPr>
        <w:t xml:space="preserve">Proposed Ordinance 2019-0137 would </w:t>
      </w:r>
      <w:r w:rsidR="00C12ECE">
        <w:rPr>
          <w:rFonts w:ascii="Arial" w:hAnsi="Arial" w:cs="Arial"/>
          <w:szCs w:val="24"/>
        </w:rPr>
        <w:t xml:space="preserve">make three </w:t>
      </w:r>
      <w:r w:rsidR="005F5CE9">
        <w:rPr>
          <w:rFonts w:ascii="Arial" w:hAnsi="Arial" w:cs="Arial"/>
          <w:szCs w:val="24"/>
        </w:rPr>
        <w:t>substantive</w:t>
      </w:r>
      <w:r w:rsidR="00C12ECE">
        <w:rPr>
          <w:rFonts w:ascii="Arial" w:hAnsi="Arial" w:cs="Arial"/>
          <w:szCs w:val="24"/>
        </w:rPr>
        <w:t xml:space="preserve"> changes</w:t>
      </w:r>
      <w:r w:rsidR="005F5CE9">
        <w:rPr>
          <w:rFonts w:ascii="Arial" w:hAnsi="Arial" w:cs="Arial"/>
          <w:szCs w:val="24"/>
        </w:rPr>
        <w:t xml:space="preserve"> to King County Code (K</w:t>
      </w:r>
      <w:r w:rsidR="0096685B">
        <w:rPr>
          <w:rFonts w:ascii="Arial" w:hAnsi="Arial" w:cs="Arial"/>
          <w:szCs w:val="24"/>
        </w:rPr>
        <w:t>.</w:t>
      </w:r>
      <w:r w:rsidR="005F5CE9">
        <w:rPr>
          <w:rFonts w:ascii="Arial" w:hAnsi="Arial" w:cs="Arial"/>
          <w:szCs w:val="24"/>
        </w:rPr>
        <w:t>C</w:t>
      </w:r>
      <w:r w:rsidR="0096685B">
        <w:rPr>
          <w:rFonts w:ascii="Arial" w:hAnsi="Arial" w:cs="Arial"/>
          <w:szCs w:val="24"/>
        </w:rPr>
        <w:t>.</w:t>
      </w:r>
      <w:r w:rsidR="005F5CE9">
        <w:rPr>
          <w:rFonts w:ascii="Arial" w:hAnsi="Arial" w:cs="Arial"/>
          <w:szCs w:val="24"/>
        </w:rPr>
        <w:t>C</w:t>
      </w:r>
      <w:r w:rsidR="0096685B">
        <w:rPr>
          <w:rFonts w:ascii="Arial" w:hAnsi="Arial" w:cs="Arial"/>
          <w:szCs w:val="24"/>
        </w:rPr>
        <w:t>.</w:t>
      </w:r>
      <w:r w:rsidR="005F5CE9">
        <w:rPr>
          <w:rFonts w:ascii="Arial" w:hAnsi="Arial" w:cs="Arial"/>
          <w:szCs w:val="24"/>
        </w:rPr>
        <w:t>)</w:t>
      </w:r>
      <w:r w:rsidR="007A796F">
        <w:rPr>
          <w:rFonts w:ascii="Arial" w:hAnsi="Arial" w:cs="Arial"/>
          <w:szCs w:val="24"/>
        </w:rPr>
        <w:t xml:space="preserve"> pertaining to Public Records Act (PRA) requests</w:t>
      </w:r>
      <w:r w:rsidR="00457A7E">
        <w:rPr>
          <w:rFonts w:ascii="Arial" w:hAnsi="Arial" w:cs="Arial"/>
          <w:szCs w:val="24"/>
        </w:rPr>
        <w:t xml:space="preserve"> fees and reporting requirements.</w:t>
      </w:r>
      <w:r w:rsidR="00273135">
        <w:rPr>
          <w:rFonts w:ascii="Arial" w:hAnsi="Arial" w:cs="Arial"/>
          <w:szCs w:val="24"/>
        </w:rPr>
        <w:t xml:space="preserve"> </w:t>
      </w:r>
    </w:p>
    <w:p w14:paraId="64AC9B83" w14:textId="77777777" w:rsidR="00D26543" w:rsidRDefault="00D26543" w:rsidP="003F2C7D">
      <w:pPr>
        <w:jc w:val="both"/>
        <w:rPr>
          <w:rFonts w:ascii="Arial" w:hAnsi="Arial" w:cs="Arial"/>
          <w:szCs w:val="24"/>
        </w:rPr>
      </w:pPr>
    </w:p>
    <w:p w14:paraId="7903CF2E" w14:textId="69525309" w:rsidR="0096685B" w:rsidRDefault="00C12ECE" w:rsidP="00C33421">
      <w:pPr>
        <w:pStyle w:val="ListParagraph0"/>
        <w:numPr>
          <w:ilvl w:val="0"/>
          <w:numId w:val="3"/>
        </w:numPr>
        <w:jc w:val="both"/>
        <w:rPr>
          <w:rFonts w:ascii="Arial" w:hAnsi="Arial" w:cs="Arial"/>
        </w:rPr>
      </w:pPr>
      <w:r w:rsidRPr="0064148A">
        <w:rPr>
          <w:rFonts w:ascii="Arial" w:hAnsi="Arial" w:cs="Arial"/>
        </w:rPr>
        <w:t xml:space="preserve">First, it would </w:t>
      </w:r>
      <w:r w:rsidR="00C43325" w:rsidRPr="0064148A">
        <w:rPr>
          <w:rFonts w:ascii="Arial" w:hAnsi="Arial" w:cs="Arial"/>
        </w:rPr>
        <w:t>amend</w:t>
      </w:r>
      <w:r w:rsidR="00B64ADE" w:rsidRPr="0064148A">
        <w:rPr>
          <w:rFonts w:ascii="Arial" w:hAnsi="Arial" w:cs="Arial"/>
        </w:rPr>
        <w:t xml:space="preserve"> </w:t>
      </w:r>
      <w:r w:rsidR="005F5CE9" w:rsidRPr="0064148A">
        <w:rPr>
          <w:rFonts w:ascii="Arial" w:hAnsi="Arial" w:cs="Arial"/>
        </w:rPr>
        <w:t>K</w:t>
      </w:r>
      <w:r w:rsidR="007A796F" w:rsidRPr="0064148A">
        <w:rPr>
          <w:rFonts w:ascii="Arial" w:hAnsi="Arial" w:cs="Arial"/>
        </w:rPr>
        <w:t>.</w:t>
      </w:r>
      <w:r w:rsidR="005F5CE9" w:rsidRPr="0064148A">
        <w:rPr>
          <w:rFonts w:ascii="Arial" w:hAnsi="Arial" w:cs="Arial"/>
        </w:rPr>
        <w:t>C</w:t>
      </w:r>
      <w:r w:rsidR="007A796F" w:rsidRPr="0064148A">
        <w:rPr>
          <w:rFonts w:ascii="Arial" w:hAnsi="Arial" w:cs="Arial"/>
        </w:rPr>
        <w:t>.</w:t>
      </w:r>
      <w:r w:rsidR="005F5CE9" w:rsidRPr="0064148A">
        <w:rPr>
          <w:rFonts w:ascii="Arial" w:hAnsi="Arial" w:cs="Arial"/>
        </w:rPr>
        <w:t>C</w:t>
      </w:r>
      <w:r w:rsidR="007A796F" w:rsidRPr="0064148A">
        <w:rPr>
          <w:rFonts w:ascii="Arial" w:hAnsi="Arial" w:cs="Arial"/>
        </w:rPr>
        <w:t>.</w:t>
      </w:r>
      <w:r w:rsidR="00CE18DC" w:rsidRPr="0064148A">
        <w:rPr>
          <w:rFonts w:ascii="Arial" w:hAnsi="Arial" w:cs="Arial"/>
        </w:rPr>
        <w:t xml:space="preserve"> </w:t>
      </w:r>
      <w:r w:rsidR="002E5E9A" w:rsidRPr="0064148A">
        <w:rPr>
          <w:rFonts w:ascii="Arial" w:hAnsi="Arial" w:cs="Arial"/>
        </w:rPr>
        <w:t>S</w:t>
      </w:r>
      <w:r w:rsidR="00CE18DC" w:rsidRPr="0064148A">
        <w:rPr>
          <w:rFonts w:ascii="Arial" w:hAnsi="Arial" w:cs="Arial"/>
        </w:rPr>
        <w:t>ection</w:t>
      </w:r>
      <w:r w:rsidR="00F478AA" w:rsidRPr="0064148A">
        <w:rPr>
          <w:rFonts w:ascii="Arial" w:hAnsi="Arial" w:cs="Arial"/>
        </w:rPr>
        <w:t xml:space="preserve"> 2.12</w:t>
      </w:r>
      <w:r w:rsidR="00B64ADE" w:rsidRPr="0064148A">
        <w:rPr>
          <w:rFonts w:ascii="Arial" w:hAnsi="Arial" w:cs="Arial"/>
        </w:rPr>
        <w:t xml:space="preserve"> </w:t>
      </w:r>
      <w:r w:rsidR="007A796F" w:rsidRPr="0064148A">
        <w:rPr>
          <w:rFonts w:ascii="Arial" w:hAnsi="Arial" w:cs="Arial"/>
        </w:rPr>
        <w:t>related</w:t>
      </w:r>
      <w:r w:rsidR="00CE18DC" w:rsidRPr="0064148A">
        <w:rPr>
          <w:rFonts w:ascii="Arial" w:hAnsi="Arial" w:cs="Arial"/>
        </w:rPr>
        <w:t xml:space="preserve"> to </w:t>
      </w:r>
      <w:r w:rsidRPr="0064148A">
        <w:rPr>
          <w:rFonts w:ascii="Arial" w:hAnsi="Arial" w:cs="Arial"/>
        </w:rPr>
        <w:t xml:space="preserve">the fees charged to requestors receiving </w:t>
      </w:r>
      <w:r w:rsidR="00CE18DC" w:rsidRPr="0064148A">
        <w:rPr>
          <w:rFonts w:ascii="Arial" w:hAnsi="Arial" w:cs="Arial"/>
        </w:rPr>
        <w:t>public records</w:t>
      </w:r>
      <w:r w:rsidR="00273135" w:rsidRPr="0064148A">
        <w:rPr>
          <w:rFonts w:ascii="Arial" w:hAnsi="Arial" w:cs="Arial"/>
        </w:rPr>
        <w:t xml:space="preserve">. This change would align K.C.C. </w:t>
      </w:r>
      <w:r w:rsidRPr="0064148A">
        <w:rPr>
          <w:rFonts w:ascii="Arial" w:hAnsi="Arial" w:cs="Arial"/>
        </w:rPr>
        <w:t xml:space="preserve">with Washington State law </w:t>
      </w:r>
      <w:r w:rsidR="00457A7E" w:rsidRPr="0064148A">
        <w:rPr>
          <w:rFonts w:ascii="Arial" w:hAnsi="Arial" w:cs="Arial"/>
        </w:rPr>
        <w:t xml:space="preserve">that </w:t>
      </w:r>
      <w:r w:rsidRPr="0064148A">
        <w:rPr>
          <w:rFonts w:ascii="Arial" w:hAnsi="Arial" w:cs="Arial"/>
        </w:rPr>
        <w:t>in 2017</w:t>
      </w:r>
      <w:r w:rsidR="007A796F" w:rsidRPr="0064148A">
        <w:rPr>
          <w:rFonts w:ascii="Arial" w:hAnsi="Arial" w:cs="Arial"/>
        </w:rPr>
        <w:t xml:space="preserve"> </w:t>
      </w:r>
      <w:r w:rsidR="00FE0025" w:rsidRPr="0064148A">
        <w:rPr>
          <w:rFonts w:ascii="Arial" w:hAnsi="Arial" w:cs="Arial"/>
        </w:rPr>
        <w:t>revised</w:t>
      </w:r>
      <w:r w:rsidR="007A796F" w:rsidRPr="0064148A">
        <w:rPr>
          <w:rFonts w:ascii="Arial" w:hAnsi="Arial" w:cs="Arial"/>
        </w:rPr>
        <w:t xml:space="preserve"> statutory default</w:t>
      </w:r>
      <w:r w:rsidR="00495F54">
        <w:rPr>
          <w:rFonts w:ascii="Arial" w:hAnsi="Arial" w:cs="Arial"/>
        </w:rPr>
        <w:t xml:space="preserve"> fee</w:t>
      </w:r>
      <w:r w:rsidR="007A796F" w:rsidRPr="0064148A">
        <w:rPr>
          <w:rFonts w:ascii="Arial" w:hAnsi="Arial" w:cs="Arial"/>
        </w:rPr>
        <w:t>s for PRA requests</w:t>
      </w:r>
      <w:r w:rsidR="00CE18DC" w:rsidRPr="0064148A">
        <w:rPr>
          <w:rFonts w:ascii="Arial" w:hAnsi="Arial" w:cs="Arial"/>
        </w:rPr>
        <w:t>.</w:t>
      </w:r>
    </w:p>
    <w:p w14:paraId="22300363" w14:textId="566E4BBF" w:rsidR="0096685B" w:rsidRDefault="005F5CE9" w:rsidP="00C33421">
      <w:pPr>
        <w:pStyle w:val="ListParagraph0"/>
        <w:numPr>
          <w:ilvl w:val="0"/>
          <w:numId w:val="3"/>
        </w:numPr>
        <w:jc w:val="both"/>
        <w:rPr>
          <w:rFonts w:ascii="Arial" w:hAnsi="Arial" w:cs="Arial"/>
        </w:rPr>
      </w:pPr>
      <w:r w:rsidRPr="0064148A">
        <w:rPr>
          <w:rFonts w:ascii="Arial" w:hAnsi="Arial" w:cs="Arial"/>
        </w:rPr>
        <w:t>Second,</w:t>
      </w:r>
      <w:r w:rsidR="006B4EC1" w:rsidRPr="0064148A">
        <w:rPr>
          <w:rFonts w:ascii="Arial" w:hAnsi="Arial" w:cs="Arial"/>
        </w:rPr>
        <w:t xml:space="preserve"> </w:t>
      </w:r>
      <w:r w:rsidR="00FE0025" w:rsidRPr="0064148A">
        <w:rPr>
          <w:rFonts w:ascii="Arial" w:hAnsi="Arial" w:cs="Arial"/>
        </w:rPr>
        <w:t>the proposed ordinance</w:t>
      </w:r>
      <w:r w:rsidR="00C12ECE" w:rsidRPr="0064148A">
        <w:rPr>
          <w:rFonts w:ascii="Arial" w:hAnsi="Arial" w:cs="Arial"/>
        </w:rPr>
        <w:t xml:space="preserve"> would </w:t>
      </w:r>
      <w:r w:rsidR="007A796F" w:rsidRPr="0064148A">
        <w:rPr>
          <w:rFonts w:ascii="Arial" w:hAnsi="Arial" w:cs="Arial"/>
        </w:rPr>
        <w:t>amend K.C.C. Section 2.12</w:t>
      </w:r>
      <w:r w:rsidR="00273135" w:rsidRPr="0064148A">
        <w:rPr>
          <w:rFonts w:ascii="Arial" w:hAnsi="Arial" w:cs="Arial"/>
        </w:rPr>
        <w:t xml:space="preserve"> to change </w:t>
      </w:r>
      <w:r w:rsidR="007A796F" w:rsidRPr="0064148A">
        <w:rPr>
          <w:rFonts w:ascii="Arial" w:hAnsi="Arial" w:cs="Arial"/>
        </w:rPr>
        <w:t xml:space="preserve">the </w:t>
      </w:r>
      <w:r w:rsidRPr="0064148A">
        <w:rPr>
          <w:rFonts w:ascii="Arial" w:hAnsi="Arial" w:cs="Arial"/>
        </w:rPr>
        <w:t xml:space="preserve">contents of the </w:t>
      </w:r>
      <w:r w:rsidR="00362BC8" w:rsidRPr="0064148A">
        <w:rPr>
          <w:rFonts w:ascii="Arial" w:hAnsi="Arial" w:cs="Arial"/>
        </w:rPr>
        <w:t>departmental public records officer performance</w:t>
      </w:r>
      <w:r w:rsidR="00457A7E" w:rsidRPr="0064148A">
        <w:rPr>
          <w:rFonts w:ascii="Arial" w:hAnsi="Arial" w:cs="Arial"/>
        </w:rPr>
        <w:t xml:space="preserve"> </w:t>
      </w:r>
      <w:r w:rsidR="00362BC8" w:rsidRPr="0064148A">
        <w:rPr>
          <w:rFonts w:ascii="Arial" w:hAnsi="Arial" w:cs="Arial"/>
        </w:rPr>
        <w:t xml:space="preserve">report that are included in the </w:t>
      </w:r>
      <w:r w:rsidRPr="0064148A">
        <w:rPr>
          <w:rFonts w:ascii="Arial" w:hAnsi="Arial" w:cs="Arial"/>
        </w:rPr>
        <w:t xml:space="preserve">annual </w:t>
      </w:r>
      <w:r w:rsidR="007A796F" w:rsidRPr="0064148A">
        <w:rPr>
          <w:rFonts w:ascii="Arial" w:hAnsi="Arial" w:cs="Arial"/>
        </w:rPr>
        <w:t>Public Records Committee</w:t>
      </w:r>
      <w:r w:rsidR="0048220A">
        <w:rPr>
          <w:rStyle w:val="FootnoteReference"/>
          <w:rFonts w:ascii="Arial" w:hAnsi="Arial" w:cs="Arial"/>
        </w:rPr>
        <w:footnoteReference w:id="1"/>
      </w:r>
      <w:r w:rsidR="00FC0DF1">
        <w:rPr>
          <w:rFonts w:ascii="Arial" w:hAnsi="Arial" w:cs="Arial"/>
        </w:rPr>
        <w:t xml:space="preserve"> (PRC)</w:t>
      </w:r>
      <w:r w:rsidR="007A796F" w:rsidRPr="0064148A">
        <w:rPr>
          <w:rFonts w:ascii="Arial" w:hAnsi="Arial" w:cs="Arial"/>
        </w:rPr>
        <w:t xml:space="preserve"> </w:t>
      </w:r>
      <w:r w:rsidRPr="0064148A">
        <w:rPr>
          <w:rFonts w:ascii="Arial" w:hAnsi="Arial" w:cs="Arial"/>
        </w:rPr>
        <w:t>report</w:t>
      </w:r>
      <w:r w:rsidR="00FE0025" w:rsidRPr="0064148A">
        <w:rPr>
          <w:rFonts w:ascii="Arial" w:hAnsi="Arial" w:cs="Arial"/>
        </w:rPr>
        <w:t xml:space="preserve"> transmitted to Council </w:t>
      </w:r>
      <w:r w:rsidR="00495F54">
        <w:rPr>
          <w:rFonts w:ascii="Arial" w:hAnsi="Arial" w:cs="Arial"/>
        </w:rPr>
        <w:t>every</w:t>
      </w:r>
      <w:r w:rsidR="00495F54" w:rsidRPr="0064148A">
        <w:rPr>
          <w:rFonts w:ascii="Arial" w:hAnsi="Arial" w:cs="Arial"/>
        </w:rPr>
        <w:t xml:space="preserve"> </w:t>
      </w:r>
      <w:r w:rsidR="00FE0025" w:rsidRPr="0064148A">
        <w:rPr>
          <w:rFonts w:ascii="Arial" w:hAnsi="Arial" w:cs="Arial"/>
        </w:rPr>
        <w:t>April. This change would</w:t>
      </w:r>
      <w:r w:rsidRPr="0064148A">
        <w:rPr>
          <w:rFonts w:ascii="Arial" w:hAnsi="Arial" w:cs="Arial"/>
        </w:rPr>
        <w:t xml:space="preserve"> </w:t>
      </w:r>
      <w:r w:rsidR="007A796F" w:rsidRPr="0064148A">
        <w:rPr>
          <w:rFonts w:ascii="Arial" w:hAnsi="Arial" w:cs="Arial"/>
        </w:rPr>
        <w:t xml:space="preserve">remove reporting requirements related </w:t>
      </w:r>
      <w:r w:rsidR="007A796F" w:rsidRPr="0064148A">
        <w:rPr>
          <w:rFonts w:ascii="Arial" w:hAnsi="Arial" w:cs="Arial"/>
        </w:rPr>
        <w:lastRenderedPageBreak/>
        <w:t>to whether five-day response requirements were met and</w:t>
      </w:r>
      <w:r w:rsidR="00273135" w:rsidRPr="0064148A">
        <w:rPr>
          <w:rFonts w:ascii="Arial" w:hAnsi="Arial" w:cs="Arial"/>
        </w:rPr>
        <w:t xml:space="preserve"> explanations for the length of requests that </w:t>
      </w:r>
      <w:r w:rsidR="001C2FA3" w:rsidRPr="0064148A">
        <w:rPr>
          <w:rFonts w:ascii="Arial" w:hAnsi="Arial" w:cs="Arial"/>
        </w:rPr>
        <w:t>were</w:t>
      </w:r>
      <w:r w:rsidR="00273135" w:rsidRPr="0064148A">
        <w:rPr>
          <w:rFonts w:ascii="Arial" w:hAnsi="Arial" w:cs="Arial"/>
        </w:rPr>
        <w:t xml:space="preserve"> six months or older. </w:t>
      </w:r>
    </w:p>
    <w:p w14:paraId="26FEA131" w14:textId="77777777" w:rsidR="00F27EFA" w:rsidRPr="0064148A" w:rsidRDefault="005F5CE9" w:rsidP="00C33421">
      <w:pPr>
        <w:pStyle w:val="ListParagraph0"/>
        <w:numPr>
          <w:ilvl w:val="0"/>
          <w:numId w:val="3"/>
        </w:numPr>
        <w:jc w:val="both"/>
        <w:rPr>
          <w:rFonts w:ascii="Arial" w:hAnsi="Arial" w:cs="Arial"/>
        </w:rPr>
      </w:pPr>
      <w:r w:rsidRPr="0064148A">
        <w:rPr>
          <w:rFonts w:ascii="Arial" w:hAnsi="Arial" w:cs="Arial"/>
        </w:rPr>
        <w:t xml:space="preserve">Third, it would change </w:t>
      </w:r>
      <w:r w:rsidR="00FE0025" w:rsidRPr="0064148A">
        <w:rPr>
          <w:rFonts w:ascii="Arial" w:hAnsi="Arial" w:cs="Arial"/>
        </w:rPr>
        <w:t>the date by which the PRC annual</w:t>
      </w:r>
      <w:r w:rsidRPr="0064148A">
        <w:rPr>
          <w:rFonts w:ascii="Arial" w:hAnsi="Arial" w:cs="Arial"/>
        </w:rPr>
        <w:t xml:space="preserve"> report is transmitted to Council</w:t>
      </w:r>
      <w:r w:rsidR="00273135" w:rsidRPr="0064148A">
        <w:rPr>
          <w:rFonts w:ascii="Arial" w:hAnsi="Arial" w:cs="Arial"/>
        </w:rPr>
        <w:t xml:space="preserve"> from April to July.</w:t>
      </w:r>
      <w:r w:rsidR="00FE0025" w:rsidRPr="0064148A">
        <w:rPr>
          <w:rFonts w:ascii="Arial" w:hAnsi="Arial" w:cs="Arial"/>
        </w:rPr>
        <w:t xml:space="preserve"> </w:t>
      </w:r>
    </w:p>
    <w:p w14:paraId="650F9516" w14:textId="77777777" w:rsidR="00C74043" w:rsidRDefault="00C74043" w:rsidP="003F2C7D">
      <w:pPr>
        <w:jc w:val="both"/>
        <w:rPr>
          <w:rFonts w:ascii="Arial" w:hAnsi="Arial" w:cs="Arial"/>
        </w:rPr>
      </w:pPr>
    </w:p>
    <w:p w14:paraId="28431581" w14:textId="77777777" w:rsidR="00E15C29" w:rsidRPr="00B64ADE" w:rsidRDefault="00E15C29" w:rsidP="005B478C">
      <w:pPr>
        <w:jc w:val="both"/>
        <w:rPr>
          <w:rFonts w:ascii="Arial" w:hAnsi="Arial" w:cs="Arial"/>
          <w:b/>
          <w:smallCaps/>
          <w:szCs w:val="24"/>
          <w:u w:val="single"/>
        </w:rPr>
      </w:pPr>
      <w:r w:rsidRPr="00B64ADE">
        <w:rPr>
          <w:rFonts w:ascii="Arial" w:hAnsi="Arial" w:cs="Arial"/>
          <w:b/>
          <w:smallCaps/>
          <w:szCs w:val="24"/>
          <w:u w:val="single"/>
        </w:rPr>
        <w:t>BACKGROUND</w:t>
      </w:r>
      <w:r w:rsidR="00082009" w:rsidRPr="00B64ADE">
        <w:rPr>
          <w:rFonts w:ascii="Arial" w:hAnsi="Arial" w:cs="Arial"/>
          <w:b/>
          <w:smallCaps/>
          <w:szCs w:val="24"/>
          <w:u w:val="single"/>
        </w:rPr>
        <w:t xml:space="preserve"> </w:t>
      </w:r>
    </w:p>
    <w:p w14:paraId="309CC7D6" w14:textId="1CCC7E7C" w:rsidR="00074A56" w:rsidRDefault="00074A56" w:rsidP="005B478C">
      <w:pPr>
        <w:jc w:val="both"/>
        <w:rPr>
          <w:rFonts w:ascii="Arial" w:hAnsi="Arial" w:cs="Arial"/>
          <w:szCs w:val="24"/>
        </w:rPr>
      </w:pPr>
    </w:p>
    <w:p w14:paraId="6C1D1D48" w14:textId="53A8BC6D" w:rsidR="00137F77" w:rsidRPr="0064148A" w:rsidRDefault="00137F77" w:rsidP="005B478C">
      <w:pPr>
        <w:jc w:val="both"/>
        <w:rPr>
          <w:rFonts w:ascii="Arial" w:hAnsi="Arial" w:cs="Arial"/>
          <w:szCs w:val="24"/>
          <w:u w:val="single"/>
        </w:rPr>
      </w:pPr>
      <w:r w:rsidRPr="0064148A">
        <w:rPr>
          <w:rFonts w:ascii="Arial" w:hAnsi="Arial" w:cs="Arial"/>
          <w:szCs w:val="24"/>
          <w:u w:val="single"/>
        </w:rPr>
        <w:t>Public Records Act</w:t>
      </w:r>
    </w:p>
    <w:p w14:paraId="09AB2BA5" w14:textId="77777777" w:rsidR="00746861" w:rsidRDefault="00D755CA" w:rsidP="00746861">
      <w:pPr>
        <w:jc w:val="both"/>
        <w:rPr>
          <w:rFonts w:ascii="Helvetica" w:hAnsi="Helvetica" w:cs="Helvetica"/>
          <w:shd w:val="clear" w:color="auto" w:fill="FFFFFF"/>
        </w:rPr>
      </w:pPr>
      <w:r w:rsidRPr="00D755CA">
        <w:rPr>
          <w:rFonts w:ascii="Arial" w:hAnsi="Arial" w:cs="Arial"/>
          <w:szCs w:val="24"/>
        </w:rPr>
        <w:t xml:space="preserve">The </w:t>
      </w:r>
      <w:r w:rsidR="004D24D7">
        <w:rPr>
          <w:rFonts w:ascii="Arial" w:hAnsi="Arial" w:cs="Arial"/>
          <w:szCs w:val="24"/>
        </w:rPr>
        <w:t xml:space="preserve">Public Records Act (PRA) </w:t>
      </w:r>
      <w:r w:rsidRPr="00D755CA">
        <w:rPr>
          <w:rFonts w:ascii="Arial" w:hAnsi="Arial" w:cs="Arial"/>
          <w:szCs w:val="24"/>
        </w:rPr>
        <w:t xml:space="preserve">requires </w:t>
      </w:r>
      <w:r>
        <w:rPr>
          <w:rFonts w:ascii="Arial" w:hAnsi="Arial" w:cs="Arial"/>
          <w:szCs w:val="24"/>
        </w:rPr>
        <w:t>that King County</w:t>
      </w:r>
      <w:r w:rsidRPr="00D755CA">
        <w:rPr>
          <w:rFonts w:ascii="Arial" w:hAnsi="Arial" w:cs="Arial"/>
          <w:szCs w:val="24"/>
        </w:rPr>
        <w:t xml:space="preserve"> make written records</w:t>
      </w:r>
      <w:r>
        <w:rPr>
          <w:rFonts w:ascii="Arial" w:hAnsi="Arial" w:cs="Arial"/>
          <w:szCs w:val="24"/>
        </w:rPr>
        <w:t xml:space="preserve"> </w:t>
      </w:r>
      <w:r w:rsidRPr="00D755CA">
        <w:rPr>
          <w:rFonts w:ascii="Arial" w:hAnsi="Arial" w:cs="Arial"/>
          <w:szCs w:val="24"/>
        </w:rPr>
        <w:t xml:space="preserve">available to the public </w:t>
      </w:r>
      <w:r w:rsidR="00746861">
        <w:rPr>
          <w:rFonts w:ascii="Arial" w:hAnsi="Arial" w:cs="Arial"/>
          <w:szCs w:val="24"/>
        </w:rPr>
        <w:t>upon request</w:t>
      </w:r>
      <w:r w:rsidRPr="00746861">
        <w:rPr>
          <w:rFonts w:ascii="Arial" w:hAnsi="Arial" w:cs="Arial"/>
          <w:szCs w:val="24"/>
        </w:rPr>
        <w:t xml:space="preserve">. </w:t>
      </w:r>
      <w:r w:rsidR="00746861" w:rsidRPr="00746861">
        <w:rPr>
          <w:rFonts w:ascii="Helvetica" w:hAnsi="Helvetica" w:cs="Helvetica"/>
          <w:shd w:val="clear" w:color="auto" w:fill="FFFFFF"/>
        </w:rPr>
        <w:t xml:space="preserve">State law defines public records as </w:t>
      </w:r>
      <w:r w:rsidR="000B5EC9">
        <w:rPr>
          <w:rFonts w:ascii="Helvetica" w:hAnsi="Helvetica" w:cs="Helvetica"/>
          <w:shd w:val="clear" w:color="auto" w:fill="FFFFFF"/>
        </w:rPr>
        <w:t>information</w:t>
      </w:r>
      <w:r w:rsidR="00746861" w:rsidRPr="00746861">
        <w:rPr>
          <w:rFonts w:ascii="Helvetica" w:hAnsi="Helvetica" w:cs="Helvetica"/>
          <w:shd w:val="clear" w:color="auto" w:fill="FFFFFF"/>
        </w:rPr>
        <w:t xml:space="preserve"> that is prepared, owned, used, or retained by any state or local agency regardless of physical form or characteristics.</w:t>
      </w:r>
      <w:r w:rsidR="00746861" w:rsidRPr="00746861">
        <w:rPr>
          <w:rStyle w:val="FootnoteReference"/>
          <w:rFonts w:ascii="Helvetica" w:hAnsi="Helvetica" w:cs="Helvetica"/>
          <w:shd w:val="clear" w:color="auto" w:fill="FFFFFF"/>
        </w:rPr>
        <w:footnoteReference w:id="2"/>
      </w:r>
      <w:r w:rsidR="00746861" w:rsidRPr="00746861">
        <w:rPr>
          <w:rFonts w:ascii="Helvetica" w:hAnsi="Helvetica" w:cs="Helvetica"/>
          <w:shd w:val="clear" w:color="auto" w:fill="FFFFFF"/>
        </w:rPr>
        <w:t> Some records are exempt under state law including such things as personal information maintained for students in public schools, information identifying the location of archaeological sites, and names of individuals residing in emergency or transitional housing.</w:t>
      </w:r>
      <w:r w:rsidR="00746861" w:rsidRPr="00746861">
        <w:rPr>
          <w:rStyle w:val="FootnoteReference"/>
          <w:rFonts w:ascii="Helvetica" w:hAnsi="Helvetica" w:cs="Helvetica"/>
          <w:shd w:val="clear" w:color="auto" w:fill="FFFFFF"/>
        </w:rPr>
        <w:footnoteReference w:id="3"/>
      </w:r>
      <w:r w:rsidR="00746861" w:rsidRPr="00746861">
        <w:rPr>
          <w:rFonts w:ascii="Helvetica" w:hAnsi="Helvetica" w:cs="Helvetica"/>
          <w:shd w:val="clear" w:color="auto" w:fill="FFFFFF"/>
        </w:rPr>
        <w:t xml:space="preserve"> </w:t>
      </w:r>
    </w:p>
    <w:p w14:paraId="6072F6E8" w14:textId="77777777" w:rsidR="00746861" w:rsidRDefault="00746861" w:rsidP="000E7718">
      <w:pPr>
        <w:jc w:val="both"/>
        <w:rPr>
          <w:rFonts w:ascii="Arial" w:hAnsi="Arial" w:cs="Arial"/>
          <w:szCs w:val="24"/>
        </w:rPr>
      </w:pPr>
    </w:p>
    <w:p w14:paraId="3576FD78" w14:textId="41EFBED1" w:rsidR="000E7718" w:rsidRPr="00746861" w:rsidRDefault="000B5EC9" w:rsidP="00746861">
      <w:pPr>
        <w:jc w:val="both"/>
        <w:rPr>
          <w:rFonts w:ascii="Arial" w:hAnsi="Arial" w:cs="Arial"/>
          <w:szCs w:val="24"/>
        </w:rPr>
      </w:pPr>
      <w:r>
        <w:rPr>
          <w:rFonts w:ascii="Helvetica" w:hAnsi="Helvetica" w:cs="Helvetica"/>
          <w:shd w:val="clear" w:color="auto" w:fill="FFFFFF"/>
        </w:rPr>
        <w:t>M</w:t>
      </w:r>
      <w:r w:rsidR="00746861">
        <w:rPr>
          <w:rFonts w:ascii="Helvetica" w:hAnsi="Helvetica" w:cs="Helvetica"/>
          <w:shd w:val="clear" w:color="auto" w:fill="FFFFFF"/>
        </w:rPr>
        <w:t xml:space="preserve">embers of governing bodies </w:t>
      </w:r>
      <w:r>
        <w:rPr>
          <w:rFonts w:ascii="Helvetica" w:hAnsi="Helvetica" w:cs="Helvetica"/>
          <w:shd w:val="clear" w:color="auto" w:fill="FFFFFF"/>
        </w:rPr>
        <w:t>and</w:t>
      </w:r>
      <w:r w:rsidR="00746861">
        <w:rPr>
          <w:rFonts w:ascii="Helvetica" w:hAnsi="Helvetica" w:cs="Helvetica"/>
          <w:shd w:val="clear" w:color="auto" w:fill="FFFFFF"/>
        </w:rPr>
        <w:t xml:space="preserve"> public records officers must complete a state mandated PRA training within 90 days of assuming</w:t>
      </w:r>
      <w:r>
        <w:rPr>
          <w:rFonts w:ascii="Helvetica" w:hAnsi="Helvetica" w:cs="Helvetica"/>
          <w:shd w:val="clear" w:color="auto" w:fill="FFFFFF"/>
        </w:rPr>
        <w:t xml:space="preserve"> their</w:t>
      </w:r>
      <w:r w:rsidR="00746861">
        <w:rPr>
          <w:rFonts w:ascii="Helvetica" w:hAnsi="Helvetica" w:cs="Helvetica"/>
          <w:shd w:val="clear" w:color="auto" w:fill="FFFFFF"/>
        </w:rPr>
        <w:t xml:space="preserve"> duties.</w:t>
      </w:r>
      <w:r w:rsidR="00746861">
        <w:rPr>
          <w:rStyle w:val="FootnoteReference"/>
          <w:rFonts w:ascii="Helvetica" w:hAnsi="Helvetica" w:cs="Helvetica"/>
          <w:shd w:val="clear" w:color="auto" w:fill="FFFFFF"/>
        </w:rPr>
        <w:footnoteReference w:id="4"/>
      </w:r>
      <w:r w:rsidR="00746861">
        <w:rPr>
          <w:rFonts w:ascii="Helvetica" w:hAnsi="Helvetica" w:cs="Helvetica"/>
          <w:shd w:val="clear" w:color="auto" w:fill="FFFFFF"/>
        </w:rPr>
        <w:t xml:space="preserve"> </w:t>
      </w:r>
      <w:r w:rsidR="00137F77">
        <w:rPr>
          <w:rFonts w:ascii="Helvetica" w:hAnsi="Helvetica" w:cs="Helvetica"/>
          <w:shd w:val="clear" w:color="auto" w:fill="FFFFFF"/>
        </w:rPr>
        <w:t>PRA also</w:t>
      </w:r>
      <w:r w:rsidR="00EA6E0E">
        <w:rPr>
          <w:rFonts w:ascii="Helvetica" w:hAnsi="Helvetica" w:cs="Helvetica"/>
          <w:shd w:val="clear" w:color="auto" w:fill="FFFFFF"/>
        </w:rPr>
        <w:t xml:space="preserve"> requires that the</w:t>
      </w:r>
      <w:r w:rsidR="00F860B9">
        <w:rPr>
          <w:rFonts w:ascii="Helvetica" w:hAnsi="Helvetica" w:cs="Helvetica"/>
          <w:shd w:val="clear" w:color="auto" w:fill="FFFFFF"/>
        </w:rPr>
        <w:t xml:space="preserve"> </w:t>
      </w:r>
      <w:r w:rsidR="000E7718" w:rsidRPr="00746861">
        <w:rPr>
          <w:rFonts w:ascii="Arial" w:hAnsi="Arial" w:cs="Arial"/>
          <w:szCs w:val="24"/>
        </w:rPr>
        <w:t>County</w:t>
      </w:r>
      <w:r w:rsidR="00D755CA" w:rsidRPr="00746861">
        <w:rPr>
          <w:rFonts w:ascii="Arial" w:hAnsi="Arial" w:cs="Arial"/>
          <w:szCs w:val="24"/>
        </w:rPr>
        <w:t xml:space="preserve"> respond to records request</w:t>
      </w:r>
      <w:r>
        <w:rPr>
          <w:rFonts w:ascii="Arial" w:hAnsi="Arial" w:cs="Arial"/>
          <w:szCs w:val="24"/>
        </w:rPr>
        <w:t>s</w:t>
      </w:r>
      <w:r w:rsidR="00D755CA" w:rsidRPr="00746861">
        <w:rPr>
          <w:rFonts w:ascii="Arial" w:hAnsi="Arial" w:cs="Arial"/>
          <w:szCs w:val="24"/>
        </w:rPr>
        <w:t xml:space="preserve"> within five business days and either provide the record, deny the request, or give a time estimate for when the records will be </w:t>
      </w:r>
      <w:r w:rsidR="000E7718" w:rsidRPr="00746861">
        <w:rPr>
          <w:rFonts w:ascii="Arial" w:hAnsi="Arial" w:cs="Arial"/>
          <w:szCs w:val="24"/>
        </w:rPr>
        <w:t>available.</w:t>
      </w:r>
      <w:r w:rsidR="00EA6E0E">
        <w:rPr>
          <w:rStyle w:val="FootnoteReference"/>
          <w:rFonts w:ascii="Arial" w:hAnsi="Arial" w:cs="Arial"/>
          <w:szCs w:val="24"/>
        </w:rPr>
        <w:footnoteReference w:id="5"/>
      </w:r>
      <w:r w:rsidR="000E7718" w:rsidRPr="00746861">
        <w:rPr>
          <w:rFonts w:ascii="Arial" w:hAnsi="Arial" w:cs="Arial"/>
          <w:szCs w:val="24"/>
        </w:rPr>
        <w:t xml:space="preserve"> A department </w:t>
      </w:r>
      <w:r w:rsidR="00D755CA" w:rsidRPr="00746861">
        <w:rPr>
          <w:rFonts w:ascii="Arial" w:hAnsi="Arial" w:cs="Arial"/>
          <w:szCs w:val="24"/>
        </w:rPr>
        <w:t xml:space="preserve">may ask the requester to clarify what information </w:t>
      </w:r>
      <w:r w:rsidR="000E7718" w:rsidRPr="00746861">
        <w:rPr>
          <w:rFonts w:ascii="Arial" w:hAnsi="Arial" w:cs="Arial"/>
          <w:szCs w:val="24"/>
        </w:rPr>
        <w:t>they are</w:t>
      </w:r>
      <w:r w:rsidR="00D755CA" w:rsidRPr="00746861">
        <w:rPr>
          <w:rFonts w:ascii="Arial" w:hAnsi="Arial" w:cs="Arial"/>
          <w:szCs w:val="24"/>
        </w:rPr>
        <w:t xml:space="preserve"> seeking. If the requester fails to clarify the request, the agency is not obligated to respond. </w:t>
      </w:r>
      <w:r w:rsidR="000E7718" w:rsidRPr="00746861">
        <w:rPr>
          <w:rFonts w:ascii="Arial" w:hAnsi="Arial" w:cs="Arial"/>
          <w:szCs w:val="24"/>
        </w:rPr>
        <w:t>County agencies cannot charge a fee for locating or making records available for inspection.</w:t>
      </w:r>
      <w:r w:rsidR="00DF004A" w:rsidRPr="00746861">
        <w:rPr>
          <w:rFonts w:ascii="Arial" w:hAnsi="Arial" w:cs="Arial"/>
          <w:szCs w:val="24"/>
        </w:rPr>
        <w:t xml:space="preserve"> </w:t>
      </w:r>
    </w:p>
    <w:p w14:paraId="30E6C09B" w14:textId="77777777" w:rsidR="001D2B3A" w:rsidRDefault="001D2B3A" w:rsidP="000E7718">
      <w:pPr>
        <w:jc w:val="both"/>
        <w:rPr>
          <w:rFonts w:ascii="Arial" w:hAnsi="Arial" w:cs="Arial"/>
          <w:szCs w:val="24"/>
        </w:rPr>
      </w:pPr>
    </w:p>
    <w:p w14:paraId="54CAE96F" w14:textId="4CD6E733" w:rsidR="00D80CF2" w:rsidRDefault="00D80CF2" w:rsidP="009B738F">
      <w:pPr>
        <w:jc w:val="both"/>
        <w:rPr>
          <w:rFonts w:ascii="Arial" w:hAnsi="Arial" w:cs="Arial"/>
          <w:szCs w:val="24"/>
        </w:rPr>
      </w:pPr>
      <w:r>
        <w:rPr>
          <w:rFonts w:ascii="Arial" w:hAnsi="Arial" w:cs="Arial"/>
          <w:szCs w:val="24"/>
        </w:rPr>
        <w:t>Prior to legislative changes in 2017, s</w:t>
      </w:r>
      <w:r w:rsidR="00DF004A" w:rsidRPr="00746861">
        <w:rPr>
          <w:rFonts w:ascii="Arial" w:hAnsi="Arial" w:cs="Arial"/>
          <w:szCs w:val="24"/>
        </w:rPr>
        <w:t xml:space="preserve">tate law </w:t>
      </w:r>
      <w:r w:rsidR="005761BB" w:rsidRPr="00746861">
        <w:rPr>
          <w:rFonts w:ascii="Arial" w:hAnsi="Arial" w:cs="Arial"/>
          <w:szCs w:val="24"/>
        </w:rPr>
        <w:t>allowed</w:t>
      </w:r>
      <w:r w:rsidR="00DF004A" w:rsidRPr="00746861">
        <w:rPr>
          <w:rFonts w:ascii="Arial" w:hAnsi="Arial" w:cs="Arial"/>
          <w:szCs w:val="24"/>
        </w:rPr>
        <w:t xml:space="preserve"> requesters </w:t>
      </w:r>
      <w:r w:rsidR="001B07A5">
        <w:rPr>
          <w:rFonts w:ascii="Arial" w:hAnsi="Arial" w:cs="Arial"/>
          <w:szCs w:val="24"/>
        </w:rPr>
        <w:t xml:space="preserve">of public records </w:t>
      </w:r>
      <w:r w:rsidR="00DF004A" w:rsidRPr="00746861">
        <w:rPr>
          <w:rFonts w:ascii="Arial" w:hAnsi="Arial" w:cs="Arial"/>
          <w:szCs w:val="24"/>
        </w:rPr>
        <w:t xml:space="preserve">to be charged </w:t>
      </w:r>
      <w:r w:rsidR="001B07A5">
        <w:rPr>
          <w:rFonts w:ascii="Arial" w:hAnsi="Arial" w:cs="Arial"/>
          <w:szCs w:val="24"/>
        </w:rPr>
        <w:t xml:space="preserve">$0.15 per page </w:t>
      </w:r>
      <w:r w:rsidR="00DF004A" w:rsidRPr="00746861">
        <w:rPr>
          <w:rFonts w:ascii="Arial" w:hAnsi="Arial" w:cs="Arial"/>
          <w:szCs w:val="24"/>
        </w:rPr>
        <w:t xml:space="preserve">for </w:t>
      </w:r>
      <w:r w:rsidR="001B07A5">
        <w:rPr>
          <w:rFonts w:ascii="Arial" w:hAnsi="Arial" w:cs="Arial"/>
          <w:szCs w:val="24"/>
        </w:rPr>
        <w:t>copies</w:t>
      </w:r>
      <w:r w:rsidR="00AC4C21">
        <w:rPr>
          <w:rFonts w:ascii="Arial" w:hAnsi="Arial" w:cs="Arial"/>
          <w:szCs w:val="24"/>
        </w:rPr>
        <w:t xml:space="preserve"> and $0.10 for scans of documents.</w:t>
      </w:r>
      <w:r w:rsidR="001B07A5">
        <w:rPr>
          <w:rFonts w:ascii="Arial" w:hAnsi="Arial" w:cs="Arial"/>
          <w:szCs w:val="24"/>
        </w:rPr>
        <w:t xml:space="preserve"> </w:t>
      </w:r>
      <w:r w:rsidR="00AC4C21">
        <w:rPr>
          <w:rFonts w:ascii="Arial" w:hAnsi="Arial" w:cs="Arial"/>
          <w:szCs w:val="24"/>
        </w:rPr>
        <w:t xml:space="preserve">In 2017, </w:t>
      </w:r>
      <w:r>
        <w:rPr>
          <w:rFonts w:ascii="Arial" w:hAnsi="Arial" w:cs="Arial"/>
          <w:szCs w:val="24"/>
        </w:rPr>
        <w:t xml:space="preserve">the public records request fee structure was revised in </w:t>
      </w:r>
      <w:r w:rsidR="00AC4C21">
        <w:rPr>
          <w:rFonts w:ascii="Arial" w:hAnsi="Arial" w:cs="Arial"/>
          <w:szCs w:val="24"/>
        </w:rPr>
        <w:t xml:space="preserve">RCW 42.56 </w:t>
      </w:r>
      <w:r>
        <w:rPr>
          <w:rFonts w:ascii="Arial" w:hAnsi="Arial" w:cs="Arial"/>
          <w:szCs w:val="24"/>
        </w:rPr>
        <w:t>to allow</w:t>
      </w:r>
      <w:r w:rsidR="006759DE">
        <w:rPr>
          <w:rFonts w:ascii="Arial" w:hAnsi="Arial" w:cs="Arial"/>
          <w:szCs w:val="24"/>
        </w:rPr>
        <w:t xml:space="preserve"> a</w:t>
      </w:r>
      <w:r w:rsidR="00F836D9">
        <w:rPr>
          <w:rFonts w:ascii="Arial" w:hAnsi="Arial" w:cs="Arial"/>
          <w:szCs w:val="24"/>
        </w:rPr>
        <w:t xml:space="preserve">gencies </w:t>
      </w:r>
      <w:r>
        <w:rPr>
          <w:rFonts w:ascii="Arial" w:hAnsi="Arial" w:cs="Arial"/>
          <w:szCs w:val="24"/>
        </w:rPr>
        <w:t>one of three options:</w:t>
      </w:r>
    </w:p>
    <w:p w14:paraId="6B707DF8" w14:textId="77777777" w:rsidR="00D26543" w:rsidRDefault="00D26543" w:rsidP="009B738F">
      <w:pPr>
        <w:jc w:val="both"/>
        <w:rPr>
          <w:rFonts w:ascii="Arial" w:hAnsi="Arial" w:cs="Arial"/>
          <w:szCs w:val="24"/>
        </w:rPr>
      </w:pPr>
    </w:p>
    <w:p w14:paraId="7FF7946F" w14:textId="77777777" w:rsidR="00D80CF2" w:rsidRDefault="00D80CF2" w:rsidP="00C33421">
      <w:pPr>
        <w:pStyle w:val="ListParagraph0"/>
        <w:numPr>
          <w:ilvl w:val="0"/>
          <w:numId w:val="5"/>
        </w:numPr>
        <w:jc w:val="both"/>
        <w:rPr>
          <w:rFonts w:ascii="Arial" w:hAnsi="Arial" w:cs="Arial"/>
        </w:rPr>
      </w:pPr>
      <w:r>
        <w:rPr>
          <w:rFonts w:ascii="Arial" w:hAnsi="Arial" w:cs="Arial"/>
        </w:rPr>
        <w:t>c</w:t>
      </w:r>
      <w:r w:rsidR="00F836D9" w:rsidRPr="00D80CF2">
        <w:rPr>
          <w:rFonts w:ascii="Arial" w:hAnsi="Arial" w:cs="Arial"/>
        </w:rPr>
        <w:t xml:space="preserve">onduct a study </w:t>
      </w:r>
      <w:r w:rsidRPr="00D80CF2">
        <w:rPr>
          <w:rFonts w:ascii="Arial" w:hAnsi="Arial" w:cs="Arial"/>
        </w:rPr>
        <w:t>determining</w:t>
      </w:r>
      <w:r w:rsidR="00F836D9" w:rsidRPr="00D80CF2">
        <w:rPr>
          <w:rFonts w:ascii="Arial" w:hAnsi="Arial" w:cs="Arial"/>
        </w:rPr>
        <w:t xml:space="preserve"> the actual cost of producing records and charge that amount, </w:t>
      </w:r>
    </w:p>
    <w:p w14:paraId="08B4D980" w14:textId="7251F3C9" w:rsidR="00D80CF2" w:rsidRDefault="00E748D9" w:rsidP="00C33421">
      <w:pPr>
        <w:pStyle w:val="ListParagraph0"/>
        <w:numPr>
          <w:ilvl w:val="0"/>
          <w:numId w:val="5"/>
        </w:numPr>
        <w:jc w:val="both"/>
        <w:rPr>
          <w:rFonts w:ascii="Arial" w:hAnsi="Arial" w:cs="Arial"/>
        </w:rPr>
      </w:pPr>
      <w:r>
        <w:rPr>
          <w:rFonts w:ascii="Arial" w:hAnsi="Arial" w:cs="Arial"/>
        </w:rPr>
        <w:t>charge</w:t>
      </w:r>
      <w:r w:rsidR="00F836D9" w:rsidRPr="00D80CF2">
        <w:rPr>
          <w:rFonts w:ascii="Arial" w:hAnsi="Arial" w:cs="Arial"/>
        </w:rPr>
        <w:t xml:space="preserve"> statutory defaults </w:t>
      </w:r>
      <w:r w:rsidR="00B429F8">
        <w:rPr>
          <w:rFonts w:ascii="Arial" w:hAnsi="Arial" w:cs="Arial"/>
        </w:rPr>
        <w:t xml:space="preserve">that appear </w:t>
      </w:r>
      <w:r w:rsidR="00F836D9" w:rsidRPr="00D80CF2">
        <w:rPr>
          <w:rFonts w:ascii="Arial" w:hAnsi="Arial" w:cs="Arial"/>
        </w:rPr>
        <w:t>in</w:t>
      </w:r>
      <w:r w:rsidR="00B429F8">
        <w:rPr>
          <w:rFonts w:ascii="Arial" w:hAnsi="Arial" w:cs="Arial"/>
        </w:rPr>
        <w:t xml:space="preserve"> Table 1 of this staff report</w:t>
      </w:r>
      <w:r w:rsidR="00B429F8">
        <w:rPr>
          <w:rStyle w:val="FootnoteReference"/>
          <w:rFonts w:ascii="Arial" w:hAnsi="Arial" w:cs="Arial"/>
        </w:rPr>
        <w:footnoteReference w:id="6"/>
      </w:r>
      <w:r w:rsidR="00F836D9" w:rsidRPr="00D80CF2">
        <w:rPr>
          <w:rFonts w:ascii="Arial" w:hAnsi="Arial" w:cs="Arial"/>
        </w:rPr>
        <w:t xml:space="preserve">, or </w:t>
      </w:r>
    </w:p>
    <w:p w14:paraId="1F77D63F" w14:textId="47B15216" w:rsidR="00DF004A" w:rsidRDefault="00F836D9" w:rsidP="00C33421">
      <w:pPr>
        <w:pStyle w:val="ListParagraph0"/>
        <w:numPr>
          <w:ilvl w:val="0"/>
          <w:numId w:val="5"/>
        </w:numPr>
        <w:jc w:val="both"/>
        <w:rPr>
          <w:rFonts w:ascii="Arial" w:hAnsi="Arial" w:cs="Arial"/>
        </w:rPr>
      </w:pPr>
      <w:proofErr w:type="gramStart"/>
      <w:r w:rsidRPr="00D80CF2">
        <w:rPr>
          <w:rFonts w:ascii="Arial" w:hAnsi="Arial" w:cs="Arial"/>
        </w:rPr>
        <w:t>charge</w:t>
      </w:r>
      <w:proofErr w:type="gramEnd"/>
      <w:r w:rsidRPr="00D80CF2">
        <w:rPr>
          <w:rFonts w:ascii="Arial" w:hAnsi="Arial" w:cs="Arial"/>
        </w:rPr>
        <w:t xml:space="preserve"> a flat fee of up to two dollars for any request if the request is clearly equal to</w:t>
      </w:r>
      <w:r w:rsidR="00E62C0A">
        <w:rPr>
          <w:rFonts w:ascii="Arial" w:hAnsi="Arial" w:cs="Arial"/>
        </w:rPr>
        <w:t xml:space="preserve"> </w:t>
      </w:r>
      <w:r w:rsidRPr="00D80CF2">
        <w:rPr>
          <w:rFonts w:ascii="Arial" w:hAnsi="Arial" w:cs="Arial"/>
        </w:rPr>
        <w:t xml:space="preserve">or more than two dollars. </w:t>
      </w:r>
    </w:p>
    <w:p w14:paraId="66EA555B" w14:textId="0BB25898" w:rsidR="00E62C0A" w:rsidRDefault="00E62C0A" w:rsidP="00E62C0A">
      <w:pPr>
        <w:jc w:val="both"/>
        <w:rPr>
          <w:rFonts w:ascii="Arial" w:hAnsi="Arial" w:cs="Arial"/>
        </w:rPr>
      </w:pPr>
    </w:p>
    <w:p w14:paraId="53FD8773" w14:textId="59B7B36E" w:rsidR="00E62C0A" w:rsidRPr="00E62C0A" w:rsidRDefault="00E62C0A" w:rsidP="00E62C0A">
      <w:pPr>
        <w:jc w:val="both"/>
        <w:rPr>
          <w:rFonts w:ascii="Arial" w:hAnsi="Arial" w:cs="Arial"/>
        </w:rPr>
      </w:pPr>
      <w:r>
        <w:rPr>
          <w:rFonts w:ascii="Arial" w:hAnsi="Arial" w:cs="Arial"/>
        </w:rPr>
        <w:t>Currently the County is charging the flat fee of two dollars.</w:t>
      </w:r>
    </w:p>
    <w:p w14:paraId="450A6322" w14:textId="0B5178BE" w:rsidR="00F5297B" w:rsidRDefault="00F5297B" w:rsidP="000E7718">
      <w:pPr>
        <w:jc w:val="both"/>
        <w:rPr>
          <w:rFonts w:ascii="Arial" w:hAnsi="Arial" w:cs="Arial"/>
          <w:szCs w:val="24"/>
        </w:rPr>
      </w:pPr>
    </w:p>
    <w:p w14:paraId="4F91CE04" w14:textId="66FAEE1E" w:rsidR="00137F77" w:rsidRPr="00B75D49" w:rsidRDefault="00137F77" w:rsidP="000E7718">
      <w:pPr>
        <w:jc w:val="both"/>
        <w:rPr>
          <w:rFonts w:ascii="Arial" w:hAnsi="Arial" w:cs="Arial"/>
          <w:szCs w:val="24"/>
          <w:u w:val="single"/>
        </w:rPr>
      </w:pPr>
      <w:r w:rsidRPr="00B75D49">
        <w:rPr>
          <w:rFonts w:ascii="Arial" w:hAnsi="Arial" w:cs="Arial"/>
          <w:szCs w:val="24"/>
          <w:u w:val="single"/>
        </w:rPr>
        <w:t>Summary of Proposed Ordinance 2019-0137</w:t>
      </w:r>
    </w:p>
    <w:p w14:paraId="25D3A6A2" w14:textId="77777777" w:rsidR="00F5297B" w:rsidRDefault="00F5297B" w:rsidP="000E7718">
      <w:pPr>
        <w:jc w:val="both"/>
        <w:rPr>
          <w:rFonts w:ascii="Arial" w:hAnsi="Arial" w:cs="Arial"/>
          <w:szCs w:val="24"/>
        </w:rPr>
      </w:pPr>
      <w:r>
        <w:rPr>
          <w:rFonts w:ascii="Arial" w:hAnsi="Arial" w:cs="Arial"/>
          <w:szCs w:val="24"/>
        </w:rPr>
        <w:t>Below is a summary of the contents of each section of Proposed Ordinance 2019-0137:</w:t>
      </w:r>
    </w:p>
    <w:p w14:paraId="46310FBA" w14:textId="77777777" w:rsidR="00F5297B" w:rsidRDefault="00F5297B" w:rsidP="000E7718">
      <w:pPr>
        <w:jc w:val="both"/>
        <w:rPr>
          <w:rFonts w:ascii="Arial" w:hAnsi="Arial" w:cs="Arial"/>
          <w:szCs w:val="24"/>
        </w:rPr>
      </w:pPr>
    </w:p>
    <w:p w14:paraId="6B120DCF" w14:textId="7700A10D" w:rsidR="00F5297B" w:rsidRDefault="00F5297B" w:rsidP="00B75D49">
      <w:pPr>
        <w:ind w:left="720"/>
        <w:jc w:val="both"/>
        <w:rPr>
          <w:rFonts w:ascii="Arial" w:hAnsi="Arial" w:cs="Arial"/>
          <w:szCs w:val="24"/>
          <w:u w:val="single"/>
        </w:rPr>
      </w:pPr>
      <w:r w:rsidRPr="00F5297B">
        <w:rPr>
          <w:rFonts w:ascii="Arial" w:hAnsi="Arial" w:cs="Arial"/>
          <w:szCs w:val="24"/>
          <w:u w:val="single"/>
        </w:rPr>
        <w:t>Section 1:</w:t>
      </w:r>
      <w:r w:rsidRPr="004B33BC">
        <w:rPr>
          <w:rFonts w:ascii="Arial" w:hAnsi="Arial" w:cs="Arial"/>
          <w:szCs w:val="24"/>
        </w:rPr>
        <w:t xml:space="preserve"> Findings that calculating the actual cost of providing public records would be unduly burdensome.</w:t>
      </w:r>
    </w:p>
    <w:p w14:paraId="62FEFDC8" w14:textId="77777777" w:rsidR="00F5297B" w:rsidRDefault="00F5297B" w:rsidP="00B75D49">
      <w:pPr>
        <w:ind w:left="720"/>
        <w:jc w:val="both"/>
        <w:rPr>
          <w:rFonts w:ascii="Arial" w:hAnsi="Arial" w:cs="Arial"/>
          <w:szCs w:val="24"/>
          <w:u w:val="single"/>
        </w:rPr>
      </w:pPr>
    </w:p>
    <w:p w14:paraId="64A808FB" w14:textId="0F82A648" w:rsidR="00F5297B" w:rsidRDefault="00F5297B" w:rsidP="00B75D49">
      <w:pPr>
        <w:ind w:left="720"/>
        <w:jc w:val="both"/>
        <w:rPr>
          <w:rFonts w:ascii="Arial" w:hAnsi="Arial" w:cs="Arial"/>
          <w:szCs w:val="24"/>
          <w:u w:val="single"/>
        </w:rPr>
      </w:pPr>
      <w:r>
        <w:rPr>
          <w:rFonts w:ascii="Arial" w:hAnsi="Arial" w:cs="Arial"/>
          <w:szCs w:val="24"/>
          <w:u w:val="single"/>
        </w:rPr>
        <w:lastRenderedPageBreak/>
        <w:t>Section 2</w:t>
      </w:r>
      <w:r w:rsidRPr="00306282">
        <w:rPr>
          <w:rFonts w:ascii="Arial" w:hAnsi="Arial" w:cs="Arial"/>
          <w:szCs w:val="24"/>
          <w:u w:val="single"/>
        </w:rPr>
        <w:t>:</w:t>
      </w:r>
      <w:r w:rsidRPr="004B33BC">
        <w:rPr>
          <w:rFonts w:ascii="Arial" w:hAnsi="Arial" w:cs="Arial"/>
          <w:szCs w:val="24"/>
        </w:rPr>
        <w:t xml:space="preserve"> Removes reference to a King County Code section proposed for removal in Section 3 below.</w:t>
      </w:r>
    </w:p>
    <w:p w14:paraId="69653893" w14:textId="77777777" w:rsidR="00F5297B" w:rsidRPr="00306282" w:rsidRDefault="00F5297B" w:rsidP="00F5297B">
      <w:pPr>
        <w:ind w:firstLine="720"/>
        <w:jc w:val="both"/>
        <w:rPr>
          <w:rFonts w:ascii="Arial" w:hAnsi="Arial" w:cs="Arial"/>
          <w:szCs w:val="24"/>
          <w:u w:val="single"/>
        </w:rPr>
      </w:pPr>
    </w:p>
    <w:p w14:paraId="1D6D8131" w14:textId="7BCED9D6" w:rsidR="00F5297B" w:rsidRDefault="00F5297B" w:rsidP="004B33BC">
      <w:pPr>
        <w:ind w:left="720"/>
        <w:jc w:val="both"/>
        <w:rPr>
          <w:rFonts w:ascii="Arial" w:hAnsi="Arial" w:cs="Arial"/>
          <w:szCs w:val="24"/>
          <w:u w:val="single"/>
        </w:rPr>
      </w:pPr>
      <w:r>
        <w:rPr>
          <w:rFonts w:ascii="Arial" w:hAnsi="Arial" w:cs="Arial"/>
          <w:szCs w:val="24"/>
          <w:u w:val="single"/>
        </w:rPr>
        <w:t>Section 3</w:t>
      </w:r>
      <w:r w:rsidRPr="00306282">
        <w:rPr>
          <w:rFonts w:ascii="Arial" w:hAnsi="Arial" w:cs="Arial"/>
          <w:szCs w:val="24"/>
          <w:u w:val="single"/>
        </w:rPr>
        <w:t>:</w:t>
      </w:r>
      <w:r w:rsidR="004B33BC">
        <w:rPr>
          <w:rFonts w:ascii="Arial" w:hAnsi="Arial" w:cs="Arial"/>
          <w:szCs w:val="24"/>
        </w:rPr>
        <w:t xml:space="preserve"> </w:t>
      </w:r>
      <w:r w:rsidR="000A01EF">
        <w:rPr>
          <w:rFonts w:ascii="Arial" w:hAnsi="Arial" w:cs="Arial"/>
          <w:szCs w:val="24"/>
        </w:rPr>
        <w:t xml:space="preserve"> </w:t>
      </w:r>
      <w:r w:rsidR="004B33BC" w:rsidRPr="004B33BC">
        <w:rPr>
          <w:rFonts w:ascii="Arial" w:hAnsi="Arial" w:cs="Arial"/>
          <w:szCs w:val="24"/>
        </w:rPr>
        <w:t xml:space="preserve">Removes </w:t>
      </w:r>
      <w:r w:rsidR="00A77831">
        <w:rPr>
          <w:rFonts w:ascii="Arial" w:hAnsi="Arial" w:cs="Arial"/>
          <w:szCs w:val="24"/>
        </w:rPr>
        <w:t>language related</w:t>
      </w:r>
      <w:r w:rsidR="004B33BC" w:rsidRPr="004B33BC">
        <w:rPr>
          <w:rFonts w:ascii="Arial" w:hAnsi="Arial" w:cs="Arial"/>
          <w:szCs w:val="24"/>
        </w:rPr>
        <w:t xml:space="preserve"> to charging requestors for certified copies. References RCW 42.56.120(2</w:t>
      </w:r>
      <w:proofErr w:type="gramStart"/>
      <w:r w:rsidR="004B33BC" w:rsidRPr="004B33BC">
        <w:rPr>
          <w:rFonts w:ascii="Arial" w:hAnsi="Arial" w:cs="Arial"/>
          <w:szCs w:val="24"/>
        </w:rPr>
        <w:t>)(</w:t>
      </w:r>
      <w:proofErr w:type="gramEnd"/>
      <w:r w:rsidR="004B33BC" w:rsidRPr="004B33BC">
        <w:rPr>
          <w:rFonts w:ascii="Arial" w:hAnsi="Arial" w:cs="Arial"/>
          <w:szCs w:val="24"/>
        </w:rPr>
        <w:t>b) and (c)</w:t>
      </w:r>
      <w:r w:rsidR="004B33BC">
        <w:rPr>
          <w:rFonts w:ascii="Arial" w:hAnsi="Arial" w:cs="Arial"/>
          <w:szCs w:val="24"/>
        </w:rPr>
        <w:t xml:space="preserve"> as the basis for what fees the county may charge for copies of records. </w:t>
      </w:r>
      <w:r w:rsidR="0030380F">
        <w:rPr>
          <w:rFonts w:ascii="Arial" w:hAnsi="Arial" w:cs="Arial"/>
          <w:szCs w:val="24"/>
        </w:rPr>
        <w:t>Moves language allowing for the collection of a deposit of up to ten percent of the estimated costs of copying all the records requested.</w:t>
      </w:r>
    </w:p>
    <w:p w14:paraId="3564B4E9" w14:textId="77777777" w:rsidR="00F5297B" w:rsidRPr="00306282" w:rsidRDefault="00F5297B" w:rsidP="00F5297B">
      <w:pPr>
        <w:ind w:firstLine="720"/>
        <w:jc w:val="both"/>
        <w:rPr>
          <w:rFonts w:ascii="Arial" w:hAnsi="Arial" w:cs="Arial"/>
          <w:szCs w:val="24"/>
          <w:u w:val="single"/>
        </w:rPr>
      </w:pPr>
    </w:p>
    <w:p w14:paraId="0156EDCA" w14:textId="613BD4EA" w:rsidR="00F5297B" w:rsidRPr="000A01EF" w:rsidRDefault="00F5297B" w:rsidP="000A01EF">
      <w:pPr>
        <w:ind w:left="720"/>
        <w:jc w:val="both"/>
        <w:rPr>
          <w:rFonts w:ascii="Arial" w:hAnsi="Arial" w:cs="Arial"/>
          <w:szCs w:val="24"/>
        </w:rPr>
      </w:pPr>
      <w:r>
        <w:rPr>
          <w:rFonts w:ascii="Arial" w:hAnsi="Arial" w:cs="Arial"/>
          <w:szCs w:val="24"/>
          <w:u w:val="single"/>
        </w:rPr>
        <w:t>Section 4</w:t>
      </w:r>
      <w:r w:rsidR="000A01EF" w:rsidRPr="000A01EF">
        <w:rPr>
          <w:rFonts w:ascii="Arial" w:hAnsi="Arial" w:cs="Arial"/>
          <w:szCs w:val="24"/>
          <w:u w:val="single"/>
        </w:rPr>
        <w:t>:</w:t>
      </w:r>
      <w:r w:rsidR="000A01EF" w:rsidRPr="000A01EF">
        <w:rPr>
          <w:rFonts w:ascii="Arial" w:hAnsi="Arial" w:cs="Arial"/>
          <w:szCs w:val="24"/>
        </w:rPr>
        <w:t xml:space="preserve"> </w:t>
      </w:r>
      <w:r w:rsidR="000A01EF">
        <w:rPr>
          <w:rFonts w:ascii="Arial" w:hAnsi="Arial" w:cs="Arial"/>
          <w:szCs w:val="24"/>
        </w:rPr>
        <w:t xml:space="preserve"> Revises the content of the Public Records Officer annual report that is included in the Public Records Committee annual report transmitted to Council. A comparison of the contents can be seen in Table 2 later in this staff report.</w:t>
      </w:r>
    </w:p>
    <w:p w14:paraId="22A998AE" w14:textId="77777777" w:rsidR="00F5297B" w:rsidRPr="00306282" w:rsidRDefault="00F5297B" w:rsidP="00F5297B">
      <w:pPr>
        <w:ind w:firstLine="720"/>
        <w:jc w:val="both"/>
        <w:rPr>
          <w:rFonts w:ascii="Arial" w:hAnsi="Arial" w:cs="Arial"/>
          <w:szCs w:val="24"/>
          <w:u w:val="single"/>
        </w:rPr>
      </w:pPr>
    </w:p>
    <w:p w14:paraId="7EED105B" w14:textId="3AB15540" w:rsidR="00F5297B" w:rsidRPr="000A01EF" w:rsidRDefault="00F5297B" w:rsidP="000A01EF">
      <w:pPr>
        <w:ind w:left="720"/>
        <w:jc w:val="both"/>
        <w:rPr>
          <w:rFonts w:ascii="Arial" w:hAnsi="Arial" w:cs="Arial"/>
          <w:szCs w:val="24"/>
        </w:rPr>
      </w:pPr>
      <w:r>
        <w:rPr>
          <w:rFonts w:ascii="Arial" w:hAnsi="Arial" w:cs="Arial"/>
          <w:szCs w:val="24"/>
          <w:u w:val="single"/>
        </w:rPr>
        <w:t>Section 5</w:t>
      </w:r>
      <w:r w:rsidR="000A01EF">
        <w:rPr>
          <w:rFonts w:ascii="Arial" w:hAnsi="Arial" w:cs="Arial"/>
          <w:szCs w:val="24"/>
          <w:u w:val="single"/>
        </w:rPr>
        <w:t>:</w:t>
      </w:r>
      <w:r w:rsidR="000A01EF" w:rsidRPr="000A01EF">
        <w:rPr>
          <w:rFonts w:ascii="Arial" w:hAnsi="Arial" w:cs="Arial"/>
          <w:szCs w:val="24"/>
        </w:rPr>
        <w:t xml:space="preserve"> </w:t>
      </w:r>
      <w:r w:rsidR="000A01EF">
        <w:rPr>
          <w:rFonts w:ascii="Arial" w:hAnsi="Arial" w:cs="Arial"/>
          <w:szCs w:val="24"/>
        </w:rPr>
        <w:t xml:space="preserve"> Changes the deadline for the transmittal of the Public Records Committee annual report from April to July 1 annually.</w:t>
      </w:r>
    </w:p>
    <w:p w14:paraId="1F6AF0E3" w14:textId="77777777" w:rsidR="00F5297B" w:rsidRPr="00B75D49" w:rsidRDefault="00F5297B" w:rsidP="00B75D49">
      <w:pPr>
        <w:ind w:firstLine="720"/>
        <w:jc w:val="both"/>
        <w:rPr>
          <w:rFonts w:ascii="Arial" w:hAnsi="Arial" w:cs="Arial"/>
          <w:szCs w:val="24"/>
          <w:u w:val="single"/>
        </w:rPr>
      </w:pPr>
    </w:p>
    <w:p w14:paraId="1897C1A7" w14:textId="77777777" w:rsidR="00410D1B" w:rsidRDefault="00410D1B" w:rsidP="00410D1B">
      <w:pPr>
        <w:jc w:val="both"/>
        <w:rPr>
          <w:rFonts w:ascii="Arial" w:hAnsi="Arial" w:cs="Arial"/>
          <w:b/>
          <w:smallCaps/>
          <w:szCs w:val="24"/>
          <w:u w:val="single"/>
        </w:rPr>
      </w:pPr>
      <w:r w:rsidRPr="00B64ADE">
        <w:rPr>
          <w:rFonts w:ascii="Arial" w:hAnsi="Arial" w:cs="Arial"/>
          <w:b/>
          <w:smallCaps/>
          <w:szCs w:val="24"/>
          <w:u w:val="single"/>
        </w:rPr>
        <w:t>ANALYSIS</w:t>
      </w:r>
    </w:p>
    <w:p w14:paraId="10ECD606" w14:textId="77777777" w:rsidR="00410D1B" w:rsidRDefault="00410D1B" w:rsidP="0042573A">
      <w:pPr>
        <w:shd w:val="clear" w:color="auto" w:fill="FFFFFF"/>
        <w:rPr>
          <w:rFonts w:ascii="Arial" w:hAnsi="Arial" w:cs="Arial"/>
          <w:szCs w:val="24"/>
        </w:rPr>
      </w:pPr>
    </w:p>
    <w:p w14:paraId="68DB5A0D" w14:textId="77777777" w:rsidR="00BD0AC7" w:rsidRDefault="00BD0AC7" w:rsidP="00B75D49">
      <w:pPr>
        <w:shd w:val="clear" w:color="auto" w:fill="FFFFFF"/>
        <w:jc w:val="both"/>
        <w:rPr>
          <w:rFonts w:ascii="Arial" w:hAnsi="Arial" w:cs="Arial"/>
          <w:szCs w:val="24"/>
        </w:rPr>
      </w:pPr>
      <w:r>
        <w:rPr>
          <w:rFonts w:ascii="Arial" w:hAnsi="Arial" w:cs="Arial"/>
          <w:szCs w:val="24"/>
          <w:u w:val="single"/>
        </w:rPr>
        <w:t>Records Request Fees</w:t>
      </w:r>
    </w:p>
    <w:p w14:paraId="421A9591" w14:textId="77777777" w:rsidR="00BD0AC7" w:rsidRDefault="00BD0AC7" w:rsidP="00B75D49">
      <w:pPr>
        <w:shd w:val="clear" w:color="auto" w:fill="FFFFFF"/>
        <w:jc w:val="both"/>
        <w:rPr>
          <w:rFonts w:ascii="Arial" w:hAnsi="Arial" w:cs="Arial"/>
          <w:szCs w:val="24"/>
        </w:rPr>
      </w:pPr>
    </w:p>
    <w:p w14:paraId="36E23835" w14:textId="1ACAD8FD" w:rsidR="00B73BC8" w:rsidRDefault="00C17CB7" w:rsidP="00B75D49">
      <w:pPr>
        <w:shd w:val="clear" w:color="auto" w:fill="FFFFFF"/>
        <w:jc w:val="both"/>
        <w:rPr>
          <w:rFonts w:ascii="Arial" w:hAnsi="Arial" w:cs="Arial"/>
          <w:szCs w:val="24"/>
        </w:rPr>
      </w:pPr>
      <w:r>
        <w:rPr>
          <w:rFonts w:ascii="Arial" w:hAnsi="Arial" w:cs="Arial"/>
          <w:szCs w:val="24"/>
        </w:rPr>
        <w:t xml:space="preserve">In 2017, the </w:t>
      </w:r>
      <w:r w:rsidR="006B4EC1">
        <w:rPr>
          <w:rFonts w:ascii="Arial" w:hAnsi="Arial" w:cs="Arial"/>
          <w:szCs w:val="24"/>
        </w:rPr>
        <w:t xml:space="preserve">Washington State Legislature amended </w:t>
      </w:r>
      <w:r w:rsidR="00FB0A5F">
        <w:rPr>
          <w:rFonts w:ascii="Arial" w:hAnsi="Arial" w:cs="Arial"/>
          <w:szCs w:val="24"/>
        </w:rPr>
        <w:t xml:space="preserve">RCW </w:t>
      </w:r>
      <w:r w:rsidR="006B4EC1">
        <w:rPr>
          <w:rFonts w:ascii="Arial" w:hAnsi="Arial" w:cs="Arial"/>
          <w:szCs w:val="24"/>
        </w:rPr>
        <w:t xml:space="preserve">Chapter 42.56 </w:t>
      </w:r>
      <w:r w:rsidR="00D910BA">
        <w:rPr>
          <w:rFonts w:ascii="Arial" w:hAnsi="Arial" w:cs="Arial"/>
          <w:szCs w:val="24"/>
        </w:rPr>
        <w:t xml:space="preserve">and expanded the </w:t>
      </w:r>
      <w:r w:rsidR="006B4EC1">
        <w:rPr>
          <w:rFonts w:ascii="Arial" w:hAnsi="Arial" w:cs="Arial"/>
          <w:szCs w:val="24"/>
        </w:rPr>
        <w:t>default</w:t>
      </w:r>
      <w:r w:rsidR="00137F77">
        <w:rPr>
          <w:rFonts w:ascii="Arial" w:hAnsi="Arial" w:cs="Arial"/>
          <w:szCs w:val="24"/>
        </w:rPr>
        <w:t xml:space="preserve"> fee</w:t>
      </w:r>
      <w:r w:rsidR="008A142F">
        <w:rPr>
          <w:rFonts w:ascii="Arial" w:hAnsi="Arial" w:cs="Arial"/>
          <w:szCs w:val="24"/>
        </w:rPr>
        <w:t>s</w:t>
      </w:r>
      <w:r w:rsidR="006B4EC1">
        <w:rPr>
          <w:rFonts w:ascii="Arial" w:hAnsi="Arial" w:cs="Arial"/>
          <w:szCs w:val="24"/>
        </w:rPr>
        <w:t xml:space="preserve"> for </w:t>
      </w:r>
      <w:r w:rsidR="00D910BA">
        <w:rPr>
          <w:rFonts w:ascii="Arial" w:hAnsi="Arial" w:cs="Arial"/>
          <w:szCs w:val="24"/>
        </w:rPr>
        <w:t>providing public records in paper and electronic form.</w:t>
      </w:r>
      <w:r w:rsidR="006B4EC1">
        <w:rPr>
          <w:rFonts w:ascii="Arial" w:hAnsi="Arial" w:cs="Arial"/>
          <w:szCs w:val="24"/>
        </w:rPr>
        <w:t xml:space="preserve"> </w:t>
      </w:r>
      <w:r w:rsidR="00B80EAC">
        <w:rPr>
          <w:rFonts w:ascii="Arial" w:hAnsi="Arial" w:cs="Arial"/>
          <w:szCs w:val="24"/>
        </w:rPr>
        <w:t xml:space="preserve">Currently, </w:t>
      </w:r>
      <w:r>
        <w:rPr>
          <w:rFonts w:ascii="Arial" w:hAnsi="Arial" w:cs="Arial"/>
          <w:szCs w:val="24"/>
        </w:rPr>
        <w:t>King County</w:t>
      </w:r>
      <w:r w:rsidR="00D910BA">
        <w:rPr>
          <w:rFonts w:ascii="Arial" w:hAnsi="Arial" w:cs="Arial"/>
          <w:szCs w:val="24"/>
        </w:rPr>
        <w:t xml:space="preserve"> departments charge a flat fee of</w:t>
      </w:r>
      <w:r w:rsidR="00B80EAC">
        <w:rPr>
          <w:rFonts w:ascii="Arial" w:hAnsi="Arial" w:cs="Arial"/>
          <w:szCs w:val="24"/>
        </w:rPr>
        <w:t xml:space="preserve"> </w:t>
      </w:r>
      <w:r w:rsidR="00D910BA">
        <w:rPr>
          <w:rFonts w:ascii="Arial" w:hAnsi="Arial" w:cs="Arial"/>
          <w:szCs w:val="24"/>
        </w:rPr>
        <w:t>two dollars</w:t>
      </w:r>
      <w:r w:rsidR="00B80EAC">
        <w:rPr>
          <w:rFonts w:ascii="Arial" w:hAnsi="Arial" w:cs="Arial"/>
          <w:szCs w:val="24"/>
        </w:rPr>
        <w:t xml:space="preserve"> for </w:t>
      </w:r>
      <w:r w:rsidR="00D910BA">
        <w:rPr>
          <w:rFonts w:ascii="Arial" w:hAnsi="Arial" w:cs="Arial"/>
          <w:szCs w:val="24"/>
        </w:rPr>
        <w:t>public records requests</w:t>
      </w:r>
      <w:r w:rsidR="007703DF">
        <w:rPr>
          <w:rFonts w:ascii="Arial" w:hAnsi="Arial" w:cs="Arial"/>
          <w:szCs w:val="24"/>
        </w:rPr>
        <w:t xml:space="preserve"> </w:t>
      </w:r>
      <w:r w:rsidR="007703DF">
        <w:rPr>
          <w:rFonts w:ascii="Arial" w:hAnsi="Arial" w:cs="Arial"/>
        </w:rPr>
        <w:t>as described in RCW 42.56.120(2</w:t>
      </w:r>
      <w:proofErr w:type="gramStart"/>
      <w:r w:rsidR="007703DF">
        <w:rPr>
          <w:rFonts w:ascii="Arial" w:hAnsi="Arial" w:cs="Arial"/>
        </w:rPr>
        <w:t>)(</w:t>
      </w:r>
      <w:proofErr w:type="gramEnd"/>
      <w:r w:rsidR="007703DF">
        <w:rPr>
          <w:rFonts w:ascii="Arial" w:hAnsi="Arial" w:cs="Arial"/>
        </w:rPr>
        <w:t>d)</w:t>
      </w:r>
      <w:r w:rsidR="00D910BA">
        <w:rPr>
          <w:rFonts w:ascii="Arial" w:hAnsi="Arial" w:cs="Arial"/>
          <w:szCs w:val="24"/>
        </w:rPr>
        <w:t xml:space="preserve">. </w:t>
      </w:r>
      <w:r w:rsidR="0042573A" w:rsidRPr="000E7718">
        <w:rPr>
          <w:rFonts w:ascii="Arial" w:hAnsi="Arial" w:cs="Arial"/>
          <w:szCs w:val="24"/>
        </w:rPr>
        <w:t xml:space="preserve">The </w:t>
      </w:r>
      <w:r w:rsidR="00D26543">
        <w:rPr>
          <w:rFonts w:ascii="Arial" w:hAnsi="Arial" w:cs="Arial"/>
          <w:szCs w:val="24"/>
        </w:rPr>
        <w:t>p</w:t>
      </w:r>
      <w:r w:rsidR="0042573A" w:rsidRPr="000E7718">
        <w:rPr>
          <w:rFonts w:ascii="Arial" w:hAnsi="Arial" w:cs="Arial"/>
          <w:szCs w:val="24"/>
        </w:rPr>
        <w:t xml:space="preserve">roposed </w:t>
      </w:r>
      <w:r w:rsidR="00D26543">
        <w:rPr>
          <w:rFonts w:ascii="Arial" w:hAnsi="Arial" w:cs="Arial"/>
          <w:szCs w:val="24"/>
        </w:rPr>
        <w:t>o</w:t>
      </w:r>
      <w:r w:rsidR="0042573A" w:rsidRPr="000E7718">
        <w:rPr>
          <w:rFonts w:ascii="Arial" w:hAnsi="Arial" w:cs="Arial"/>
          <w:szCs w:val="24"/>
        </w:rPr>
        <w:t xml:space="preserve">rdinance </w:t>
      </w:r>
      <w:r w:rsidR="008A142F">
        <w:rPr>
          <w:rFonts w:ascii="Arial" w:hAnsi="Arial" w:cs="Arial"/>
          <w:szCs w:val="24"/>
        </w:rPr>
        <w:t xml:space="preserve">would </w:t>
      </w:r>
      <w:r w:rsidR="00D910BA">
        <w:rPr>
          <w:rFonts w:ascii="Arial" w:hAnsi="Arial" w:cs="Arial"/>
          <w:szCs w:val="24"/>
        </w:rPr>
        <w:t>amend</w:t>
      </w:r>
      <w:r w:rsidR="0042573A" w:rsidRPr="000E7718">
        <w:rPr>
          <w:rFonts w:ascii="Arial" w:hAnsi="Arial" w:cs="Arial"/>
          <w:szCs w:val="24"/>
        </w:rPr>
        <w:t xml:space="preserve"> </w:t>
      </w:r>
      <w:r w:rsidR="00410D1B">
        <w:rPr>
          <w:rFonts w:ascii="Arial" w:hAnsi="Arial" w:cs="Arial"/>
          <w:szCs w:val="24"/>
        </w:rPr>
        <w:t>K</w:t>
      </w:r>
      <w:r w:rsidR="005C2394">
        <w:rPr>
          <w:rFonts w:ascii="Arial" w:hAnsi="Arial" w:cs="Arial"/>
          <w:szCs w:val="24"/>
        </w:rPr>
        <w:t xml:space="preserve">ing </w:t>
      </w:r>
      <w:r w:rsidR="00410D1B">
        <w:rPr>
          <w:rFonts w:ascii="Arial" w:hAnsi="Arial" w:cs="Arial"/>
          <w:szCs w:val="24"/>
        </w:rPr>
        <w:t>C</w:t>
      </w:r>
      <w:r w:rsidR="005C2394">
        <w:rPr>
          <w:rFonts w:ascii="Arial" w:hAnsi="Arial" w:cs="Arial"/>
          <w:szCs w:val="24"/>
        </w:rPr>
        <w:t xml:space="preserve">ounty </w:t>
      </w:r>
      <w:r w:rsidR="00410D1B">
        <w:rPr>
          <w:rFonts w:ascii="Arial" w:hAnsi="Arial" w:cs="Arial"/>
          <w:szCs w:val="24"/>
        </w:rPr>
        <w:t>C</w:t>
      </w:r>
      <w:r w:rsidR="005C2394">
        <w:rPr>
          <w:rFonts w:ascii="Arial" w:hAnsi="Arial" w:cs="Arial"/>
          <w:szCs w:val="24"/>
        </w:rPr>
        <w:t>ode</w:t>
      </w:r>
      <w:r w:rsidR="0042573A" w:rsidRPr="000E7718">
        <w:rPr>
          <w:rFonts w:ascii="Arial" w:hAnsi="Arial" w:cs="Arial"/>
          <w:szCs w:val="24"/>
        </w:rPr>
        <w:t xml:space="preserve"> </w:t>
      </w:r>
      <w:r w:rsidR="00D910BA">
        <w:rPr>
          <w:rFonts w:ascii="Arial" w:hAnsi="Arial" w:cs="Arial"/>
          <w:szCs w:val="24"/>
        </w:rPr>
        <w:t xml:space="preserve">to allow departments to charge the default fees </w:t>
      </w:r>
      <w:r w:rsidR="00D26543">
        <w:rPr>
          <w:rFonts w:ascii="Arial" w:hAnsi="Arial" w:cs="Arial"/>
          <w:szCs w:val="24"/>
        </w:rPr>
        <w:t xml:space="preserve">as modified </w:t>
      </w:r>
      <w:r w:rsidR="00D910BA">
        <w:rPr>
          <w:rFonts w:ascii="Arial" w:hAnsi="Arial" w:cs="Arial"/>
          <w:szCs w:val="24"/>
        </w:rPr>
        <w:t>in 2017. Instead of a flat two dollar fee, the fees seen in Table 1 below could be combined if a reque</w:t>
      </w:r>
      <w:r w:rsidR="007703DF">
        <w:rPr>
          <w:rFonts w:ascii="Arial" w:hAnsi="Arial" w:cs="Arial"/>
          <w:szCs w:val="24"/>
        </w:rPr>
        <w:t>st resulted in the production of records in more than one medium.</w:t>
      </w:r>
      <w:r w:rsidR="00D910BA">
        <w:rPr>
          <w:rFonts w:ascii="Arial" w:hAnsi="Arial" w:cs="Arial"/>
          <w:szCs w:val="24"/>
        </w:rPr>
        <w:t xml:space="preserve"> </w:t>
      </w:r>
      <w:r w:rsidR="00B73BC8">
        <w:rPr>
          <w:rFonts w:ascii="Arial" w:hAnsi="Arial" w:cs="Arial"/>
          <w:szCs w:val="24"/>
        </w:rPr>
        <w:t>Further, state law allows agencies to collect a deposit of up to ten percent of the estimated costs of producing the requests.</w:t>
      </w:r>
      <w:r w:rsidR="00B73BC8">
        <w:rPr>
          <w:rStyle w:val="FootnoteReference"/>
          <w:rFonts w:ascii="Arial" w:hAnsi="Arial" w:cs="Arial"/>
          <w:szCs w:val="24"/>
        </w:rPr>
        <w:footnoteReference w:id="7"/>
      </w:r>
      <w:r w:rsidR="00B73BC8">
        <w:rPr>
          <w:rFonts w:ascii="Arial" w:hAnsi="Arial" w:cs="Arial"/>
          <w:szCs w:val="24"/>
        </w:rPr>
        <w:t xml:space="preserve">  The proposed ordinance retains this provision that currently exists in King County Code. The intent of collecting a deposit is to reduce the number of public records requests that are abandoned. While data was not available for all departments, the King County Sheriff's Office processed 6,701 records requests in 2018, 91 of which were abandoned. </w:t>
      </w:r>
    </w:p>
    <w:p w14:paraId="47F3385F" w14:textId="77777777" w:rsidR="006B4EC1" w:rsidRDefault="006B4EC1" w:rsidP="00B64ADE">
      <w:pPr>
        <w:tabs>
          <w:tab w:val="left" w:pos="6390"/>
        </w:tabs>
        <w:rPr>
          <w:rFonts w:ascii="Arial" w:hAnsi="Arial" w:cs="Arial"/>
          <w:szCs w:val="24"/>
        </w:rPr>
      </w:pPr>
    </w:p>
    <w:p w14:paraId="58C662A9" w14:textId="46221C17" w:rsidR="00DB33F5" w:rsidRPr="001C4B19" w:rsidRDefault="000E7718" w:rsidP="00DB33F5">
      <w:pPr>
        <w:jc w:val="center"/>
        <w:rPr>
          <w:rFonts w:ascii="Arial" w:hAnsi="Arial" w:cs="Arial"/>
          <w:b/>
          <w:szCs w:val="24"/>
        </w:rPr>
      </w:pPr>
      <w:r>
        <w:rPr>
          <w:rFonts w:ascii="Arial" w:hAnsi="Arial" w:cs="Arial"/>
          <w:b/>
          <w:szCs w:val="24"/>
        </w:rPr>
        <w:t xml:space="preserve">Table 1. </w:t>
      </w:r>
      <w:r w:rsidR="00DB33F5">
        <w:rPr>
          <w:rFonts w:ascii="Arial" w:hAnsi="Arial" w:cs="Arial"/>
          <w:b/>
          <w:szCs w:val="24"/>
        </w:rPr>
        <w:t>Statutory Default</w:t>
      </w:r>
      <w:r w:rsidR="00137F77">
        <w:rPr>
          <w:rFonts w:ascii="Arial" w:hAnsi="Arial" w:cs="Arial"/>
          <w:b/>
          <w:szCs w:val="24"/>
        </w:rPr>
        <w:t xml:space="preserve"> Fee</w:t>
      </w:r>
      <w:r w:rsidR="00DB33F5">
        <w:rPr>
          <w:rFonts w:ascii="Arial" w:hAnsi="Arial" w:cs="Arial"/>
          <w:b/>
          <w:szCs w:val="24"/>
        </w:rPr>
        <w:t xml:space="preserve">s for Public Records Act Requests, RCW 42.56.120 </w:t>
      </w:r>
    </w:p>
    <w:p w14:paraId="4DC3D88B" w14:textId="77777777" w:rsidR="006B4EC1" w:rsidRDefault="006B4EC1" w:rsidP="00B64ADE">
      <w:pPr>
        <w:tabs>
          <w:tab w:val="left" w:pos="6390"/>
        </w:tabs>
        <w:rPr>
          <w:rFonts w:ascii="Arial" w:hAnsi="Arial" w:cs="Arial"/>
          <w:szCs w:val="24"/>
        </w:rPr>
      </w:pPr>
    </w:p>
    <w:tbl>
      <w:tblPr>
        <w:tblStyle w:val="TableGrid"/>
        <w:tblW w:w="0" w:type="auto"/>
        <w:tblInd w:w="495" w:type="dxa"/>
        <w:tblLook w:val="04A0" w:firstRow="1" w:lastRow="0" w:firstColumn="1" w:lastColumn="0" w:noHBand="0" w:noVBand="1"/>
      </w:tblPr>
      <w:tblGrid>
        <w:gridCol w:w="4545"/>
        <w:gridCol w:w="3258"/>
      </w:tblGrid>
      <w:tr w:rsidR="00DB33F5" w:rsidRPr="001C4B19" w14:paraId="4EF75E9C" w14:textId="77777777" w:rsidTr="00DB33F5">
        <w:trPr>
          <w:trHeight w:val="265"/>
        </w:trPr>
        <w:tc>
          <w:tcPr>
            <w:tcW w:w="4545" w:type="dxa"/>
            <w:shd w:val="clear" w:color="auto" w:fill="000000" w:themeFill="text1"/>
            <w:vAlign w:val="center"/>
          </w:tcPr>
          <w:p w14:paraId="6D571C98" w14:textId="601305CA" w:rsidR="00DB33F5" w:rsidRPr="001C4B19" w:rsidRDefault="00836FDE" w:rsidP="009E5758">
            <w:pPr>
              <w:rPr>
                <w:rFonts w:ascii="Arial" w:hAnsi="Arial" w:cs="Arial"/>
                <w:b/>
                <w:color w:val="FFFFFF" w:themeColor="background1"/>
                <w:szCs w:val="24"/>
              </w:rPr>
            </w:pPr>
            <w:r>
              <w:rPr>
                <w:rFonts w:ascii="Arial" w:hAnsi="Arial" w:cs="Arial"/>
                <w:b/>
                <w:color w:val="FFFFFF" w:themeColor="background1"/>
                <w:szCs w:val="24"/>
              </w:rPr>
              <w:t>P</w:t>
            </w:r>
            <w:r w:rsidR="00DB33F5">
              <w:rPr>
                <w:rFonts w:ascii="Arial" w:hAnsi="Arial" w:cs="Arial"/>
                <w:b/>
                <w:color w:val="FFFFFF" w:themeColor="background1"/>
                <w:szCs w:val="24"/>
              </w:rPr>
              <w:t>ublic record</w:t>
            </w:r>
            <w:r>
              <w:rPr>
                <w:rFonts w:ascii="Arial" w:hAnsi="Arial" w:cs="Arial"/>
                <w:b/>
                <w:color w:val="FFFFFF" w:themeColor="background1"/>
                <w:szCs w:val="24"/>
              </w:rPr>
              <w:t xml:space="preserve"> medium</w:t>
            </w:r>
          </w:p>
        </w:tc>
        <w:tc>
          <w:tcPr>
            <w:tcW w:w="3258" w:type="dxa"/>
            <w:shd w:val="clear" w:color="auto" w:fill="000000" w:themeFill="text1"/>
            <w:vAlign w:val="center"/>
          </w:tcPr>
          <w:p w14:paraId="41F0D3BA" w14:textId="77777777" w:rsidR="00DB33F5" w:rsidRPr="001C4B19" w:rsidRDefault="00DB33F5" w:rsidP="009E5758">
            <w:pPr>
              <w:jc w:val="center"/>
              <w:rPr>
                <w:rFonts w:ascii="Arial" w:hAnsi="Arial" w:cs="Arial"/>
                <w:b/>
                <w:color w:val="FFFFFF" w:themeColor="background1"/>
                <w:szCs w:val="24"/>
              </w:rPr>
            </w:pPr>
            <w:r>
              <w:rPr>
                <w:rFonts w:ascii="Arial" w:hAnsi="Arial" w:cs="Arial"/>
                <w:b/>
                <w:color w:val="FFFFFF" w:themeColor="background1"/>
                <w:szCs w:val="24"/>
              </w:rPr>
              <w:t>Cost</w:t>
            </w:r>
          </w:p>
        </w:tc>
      </w:tr>
      <w:tr w:rsidR="00DB33F5" w:rsidRPr="001C4B19" w14:paraId="37B7A0CA" w14:textId="77777777" w:rsidTr="00DB33F5">
        <w:trPr>
          <w:trHeight w:val="265"/>
        </w:trPr>
        <w:tc>
          <w:tcPr>
            <w:tcW w:w="4545" w:type="dxa"/>
            <w:vAlign w:val="center"/>
          </w:tcPr>
          <w:p w14:paraId="02F570ED" w14:textId="77777777" w:rsidR="00DB33F5" w:rsidRPr="001C4B19" w:rsidRDefault="00DB33F5" w:rsidP="009E5758">
            <w:pPr>
              <w:rPr>
                <w:rFonts w:ascii="Arial" w:hAnsi="Arial" w:cs="Arial"/>
                <w:szCs w:val="24"/>
              </w:rPr>
            </w:pPr>
            <w:r>
              <w:rPr>
                <w:rFonts w:ascii="Arial" w:hAnsi="Arial" w:cs="Arial"/>
                <w:szCs w:val="24"/>
              </w:rPr>
              <w:t xml:space="preserve">Paper copies </w:t>
            </w:r>
          </w:p>
        </w:tc>
        <w:tc>
          <w:tcPr>
            <w:tcW w:w="3258" w:type="dxa"/>
            <w:vAlign w:val="center"/>
          </w:tcPr>
          <w:p w14:paraId="1CF9D6F1" w14:textId="77777777" w:rsidR="00DB33F5" w:rsidRPr="001C4B19" w:rsidRDefault="00DB33F5" w:rsidP="009E5758">
            <w:pPr>
              <w:jc w:val="center"/>
              <w:rPr>
                <w:rFonts w:ascii="Arial" w:hAnsi="Arial" w:cs="Arial"/>
                <w:szCs w:val="24"/>
              </w:rPr>
            </w:pPr>
            <w:r>
              <w:rPr>
                <w:rFonts w:ascii="Arial" w:hAnsi="Arial" w:cs="Arial"/>
                <w:szCs w:val="24"/>
              </w:rPr>
              <w:t>$0.15/page</w:t>
            </w:r>
          </w:p>
        </w:tc>
      </w:tr>
      <w:tr w:rsidR="00DB33F5" w:rsidRPr="001C4B19" w14:paraId="575CBB3A" w14:textId="77777777" w:rsidTr="00DB33F5">
        <w:trPr>
          <w:trHeight w:val="265"/>
        </w:trPr>
        <w:tc>
          <w:tcPr>
            <w:tcW w:w="4545" w:type="dxa"/>
            <w:vAlign w:val="center"/>
          </w:tcPr>
          <w:p w14:paraId="1AA02992" w14:textId="77777777" w:rsidR="00DB33F5" w:rsidRPr="001C4B19" w:rsidRDefault="00DB33F5" w:rsidP="009E5758">
            <w:pPr>
              <w:rPr>
                <w:rFonts w:ascii="Arial" w:hAnsi="Arial" w:cs="Arial"/>
                <w:szCs w:val="24"/>
              </w:rPr>
            </w:pPr>
            <w:r>
              <w:rPr>
                <w:rFonts w:ascii="Arial" w:hAnsi="Arial" w:cs="Arial"/>
                <w:szCs w:val="24"/>
              </w:rPr>
              <w:t>Scanned copies</w:t>
            </w:r>
          </w:p>
        </w:tc>
        <w:tc>
          <w:tcPr>
            <w:tcW w:w="3258" w:type="dxa"/>
            <w:vAlign w:val="center"/>
          </w:tcPr>
          <w:p w14:paraId="0D6784C2" w14:textId="77777777" w:rsidR="00DB33F5" w:rsidRPr="001C4B19" w:rsidRDefault="00DB33F5" w:rsidP="00DB33F5">
            <w:pPr>
              <w:jc w:val="center"/>
              <w:rPr>
                <w:rFonts w:ascii="Arial" w:hAnsi="Arial" w:cs="Arial"/>
                <w:szCs w:val="24"/>
              </w:rPr>
            </w:pPr>
            <w:r>
              <w:rPr>
                <w:rFonts w:ascii="Arial" w:hAnsi="Arial" w:cs="Arial"/>
                <w:szCs w:val="24"/>
              </w:rPr>
              <w:t>$0.10/page</w:t>
            </w:r>
          </w:p>
        </w:tc>
      </w:tr>
      <w:tr w:rsidR="00DB33F5" w:rsidRPr="001C4B19" w14:paraId="6870D0D0" w14:textId="77777777" w:rsidTr="00DB33F5">
        <w:trPr>
          <w:trHeight w:val="170"/>
        </w:trPr>
        <w:tc>
          <w:tcPr>
            <w:tcW w:w="4545" w:type="dxa"/>
            <w:vAlign w:val="center"/>
          </w:tcPr>
          <w:p w14:paraId="1B87751E" w14:textId="77777777" w:rsidR="00DB33F5" w:rsidRPr="001C4B19" w:rsidRDefault="00DB33F5" w:rsidP="00DB33F5">
            <w:pPr>
              <w:rPr>
                <w:rFonts w:ascii="Arial" w:hAnsi="Arial" w:cs="Arial"/>
                <w:szCs w:val="24"/>
              </w:rPr>
            </w:pPr>
            <w:r>
              <w:rPr>
                <w:rFonts w:ascii="Arial" w:hAnsi="Arial" w:cs="Arial"/>
                <w:szCs w:val="24"/>
              </w:rPr>
              <w:t xml:space="preserve">Electronic files transmitted electronically </w:t>
            </w:r>
          </w:p>
        </w:tc>
        <w:tc>
          <w:tcPr>
            <w:tcW w:w="3258" w:type="dxa"/>
            <w:vAlign w:val="center"/>
          </w:tcPr>
          <w:p w14:paraId="36A4B998" w14:textId="77777777" w:rsidR="00DB33F5" w:rsidRPr="001C4B19" w:rsidRDefault="00DB33F5" w:rsidP="00DB33F5">
            <w:pPr>
              <w:jc w:val="center"/>
              <w:rPr>
                <w:rFonts w:ascii="Arial" w:hAnsi="Arial" w:cs="Arial"/>
                <w:szCs w:val="24"/>
              </w:rPr>
            </w:pPr>
            <w:r>
              <w:rPr>
                <w:rFonts w:ascii="Arial" w:hAnsi="Arial" w:cs="Arial"/>
                <w:szCs w:val="24"/>
              </w:rPr>
              <w:t>$0.05/four electronic files</w:t>
            </w:r>
          </w:p>
        </w:tc>
      </w:tr>
      <w:tr w:rsidR="00DB33F5" w:rsidRPr="001C4B19" w14:paraId="431C33B3" w14:textId="77777777" w:rsidTr="00DB33F5">
        <w:trPr>
          <w:trHeight w:val="250"/>
        </w:trPr>
        <w:tc>
          <w:tcPr>
            <w:tcW w:w="4545" w:type="dxa"/>
            <w:vAlign w:val="center"/>
          </w:tcPr>
          <w:p w14:paraId="4B07982C" w14:textId="77777777" w:rsidR="00DB33F5" w:rsidRPr="001C4B19" w:rsidRDefault="00DB33F5" w:rsidP="00DB33F5">
            <w:pPr>
              <w:rPr>
                <w:rFonts w:ascii="Arial" w:hAnsi="Arial" w:cs="Arial"/>
                <w:szCs w:val="24"/>
              </w:rPr>
            </w:pPr>
            <w:r>
              <w:rPr>
                <w:rFonts w:ascii="Arial" w:hAnsi="Arial" w:cs="Arial"/>
                <w:szCs w:val="24"/>
              </w:rPr>
              <w:t>Transmission of electronic records</w:t>
            </w:r>
          </w:p>
        </w:tc>
        <w:tc>
          <w:tcPr>
            <w:tcW w:w="3258" w:type="dxa"/>
            <w:vAlign w:val="center"/>
          </w:tcPr>
          <w:p w14:paraId="7D65BD4D" w14:textId="77777777" w:rsidR="00DB33F5" w:rsidRPr="001C4B19" w:rsidRDefault="00DB33F5" w:rsidP="00DB33F5">
            <w:pPr>
              <w:jc w:val="center"/>
              <w:rPr>
                <w:rFonts w:ascii="Arial" w:hAnsi="Arial" w:cs="Arial"/>
                <w:szCs w:val="24"/>
              </w:rPr>
            </w:pPr>
            <w:r>
              <w:rPr>
                <w:rFonts w:ascii="Arial" w:hAnsi="Arial" w:cs="Arial"/>
                <w:szCs w:val="24"/>
              </w:rPr>
              <w:t>$0.10/gigabyte</w:t>
            </w:r>
          </w:p>
        </w:tc>
      </w:tr>
      <w:tr w:rsidR="00DB33F5" w:rsidRPr="001C4B19" w14:paraId="6B6F68AD" w14:textId="77777777" w:rsidTr="00DB33F5">
        <w:trPr>
          <w:trHeight w:val="250"/>
        </w:trPr>
        <w:tc>
          <w:tcPr>
            <w:tcW w:w="4545" w:type="dxa"/>
            <w:vAlign w:val="center"/>
          </w:tcPr>
          <w:p w14:paraId="2BF83644" w14:textId="77777777" w:rsidR="00DB33F5" w:rsidRDefault="00DB33F5" w:rsidP="00DB33F5">
            <w:pPr>
              <w:rPr>
                <w:rFonts w:ascii="Arial" w:hAnsi="Arial" w:cs="Arial"/>
                <w:szCs w:val="24"/>
              </w:rPr>
            </w:pPr>
            <w:r>
              <w:rPr>
                <w:rFonts w:ascii="Arial" w:hAnsi="Arial" w:cs="Arial"/>
                <w:szCs w:val="24"/>
              </w:rPr>
              <w:t>Digital storage media or device provided by the agency</w:t>
            </w:r>
          </w:p>
        </w:tc>
        <w:tc>
          <w:tcPr>
            <w:tcW w:w="3258" w:type="dxa"/>
            <w:vAlign w:val="center"/>
          </w:tcPr>
          <w:p w14:paraId="6C46992E" w14:textId="77777777" w:rsidR="00DB33F5" w:rsidRDefault="00DB33F5" w:rsidP="00DB33F5">
            <w:pPr>
              <w:jc w:val="center"/>
              <w:rPr>
                <w:rFonts w:ascii="Arial" w:hAnsi="Arial" w:cs="Arial"/>
                <w:szCs w:val="24"/>
              </w:rPr>
            </w:pPr>
            <w:r>
              <w:rPr>
                <w:rFonts w:ascii="Arial" w:hAnsi="Arial" w:cs="Arial"/>
                <w:szCs w:val="24"/>
              </w:rPr>
              <w:t>Actual cost</w:t>
            </w:r>
          </w:p>
        </w:tc>
      </w:tr>
      <w:tr w:rsidR="00DB33F5" w:rsidRPr="001C4B19" w14:paraId="7230A84B" w14:textId="77777777" w:rsidTr="00DB33F5">
        <w:trPr>
          <w:trHeight w:val="250"/>
        </w:trPr>
        <w:tc>
          <w:tcPr>
            <w:tcW w:w="4545" w:type="dxa"/>
            <w:vAlign w:val="center"/>
          </w:tcPr>
          <w:p w14:paraId="2C0FB580" w14:textId="77777777" w:rsidR="00DB33F5" w:rsidRDefault="00DB33F5" w:rsidP="00DB33F5">
            <w:pPr>
              <w:rPr>
                <w:rFonts w:ascii="Arial" w:hAnsi="Arial" w:cs="Arial"/>
                <w:szCs w:val="24"/>
              </w:rPr>
            </w:pPr>
            <w:r>
              <w:rPr>
                <w:rFonts w:ascii="Arial" w:hAnsi="Arial" w:cs="Arial"/>
                <w:szCs w:val="24"/>
              </w:rPr>
              <w:t>Shipping cost and packaging to ship</w:t>
            </w:r>
          </w:p>
        </w:tc>
        <w:tc>
          <w:tcPr>
            <w:tcW w:w="3258" w:type="dxa"/>
            <w:vAlign w:val="center"/>
          </w:tcPr>
          <w:p w14:paraId="71B2C4B1" w14:textId="77777777" w:rsidR="00DB33F5" w:rsidRDefault="00DB33F5" w:rsidP="00DB33F5">
            <w:pPr>
              <w:jc w:val="center"/>
              <w:rPr>
                <w:rFonts w:ascii="Arial" w:hAnsi="Arial" w:cs="Arial"/>
                <w:szCs w:val="24"/>
              </w:rPr>
            </w:pPr>
            <w:r>
              <w:rPr>
                <w:rFonts w:ascii="Arial" w:hAnsi="Arial" w:cs="Arial"/>
                <w:szCs w:val="24"/>
              </w:rPr>
              <w:t>Actual cost</w:t>
            </w:r>
          </w:p>
        </w:tc>
      </w:tr>
    </w:tbl>
    <w:p w14:paraId="4FB537F6" w14:textId="77777777" w:rsidR="00F26F63" w:rsidRDefault="00F26F63" w:rsidP="00665EB2">
      <w:pPr>
        <w:shd w:val="clear" w:color="auto" w:fill="FFFFFF"/>
        <w:rPr>
          <w:rFonts w:ascii="Arial" w:hAnsi="Arial" w:cs="Arial"/>
          <w:szCs w:val="24"/>
        </w:rPr>
      </w:pPr>
    </w:p>
    <w:p w14:paraId="12C5B613" w14:textId="72F31648" w:rsidR="000666A4" w:rsidRDefault="0075061B" w:rsidP="00F860B9">
      <w:pPr>
        <w:jc w:val="both"/>
        <w:rPr>
          <w:rFonts w:ascii="Arial" w:hAnsi="Arial" w:cs="Arial"/>
          <w:szCs w:val="24"/>
        </w:rPr>
      </w:pPr>
      <w:r>
        <w:rPr>
          <w:rFonts w:ascii="Arial" w:hAnsi="Arial" w:cs="Arial"/>
          <w:szCs w:val="24"/>
        </w:rPr>
        <w:lastRenderedPageBreak/>
        <w:t>U</w:t>
      </w:r>
      <w:r w:rsidR="00B80676">
        <w:rPr>
          <w:rFonts w:ascii="Arial" w:hAnsi="Arial" w:cs="Arial"/>
          <w:szCs w:val="24"/>
        </w:rPr>
        <w:t xml:space="preserve">nder the proposed </w:t>
      </w:r>
      <w:r>
        <w:rPr>
          <w:rFonts w:ascii="Arial" w:hAnsi="Arial" w:cs="Arial"/>
          <w:szCs w:val="24"/>
        </w:rPr>
        <w:t xml:space="preserve">fee structure </w:t>
      </w:r>
      <w:r w:rsidR="00B80676">
        <w:rPr>
          <w:rFonts w:ascii="Arial" w:hAnsi="Arial" w:cs="Arial"/>
          <w:szCs w:val="24"/>
        </w:rPr>
        <w:t xml:space="preserve">a requester </w:t>
      </w:r>
      <w:r>
        <w:rPr>
          <w:rFonts w:ascii="Arial" w:hAnsi="Arial" w:cs="Arial"/>
          <w:szCs w:val="24"/>
        </w:rPr>
        <w:t>who is</w:t>
      </w:r>
      <w:r w:rsidR="00B80676">
        <w:rPr>
          <w:rFonts w:ascii="Arial" w:hAnsi="Arial" w:cs="Arial"/>
          <w:szCs w:val="24"/>
        </w:rPr>
        <w:t xml:space="preserve"> provided </w:t>
      </w:r>
      <w:r w:rsidR="0009407F">
        <w:rPr>
          <w:rFonts w:ascii="Arial" w:hAnsi="Arial" w:cs="Arial"/>
          <w:szCs w:val="24"/>
        </w:rPr>
        <w:t xml:space="preserve">200 </w:t>
      </w:r>
      <w:r w:rsidR="00B80676">
        <w:rPr>
          <w:rFonts w:ascii="Arial" w:hAnsi="Arial" w:cs="Arial"/>
          <w:szCs w:val="24"/>
        </w:rPr>
        <w:t xml:space="preserve">separate </w:t>
      </w:r>
      <w:r w:rsidR="0009407F">
        <w:rPr>
          <w:rFonts w:ascii="Arial" w:hAnsi="Arial" w:cs="Arial"/>
          <w:szCs w:val="24"/>
        </w:rPr>
        <w:t xml:space="preserve">scanned documents as </w:t>
      </w:r>
      <w:r w:rsidR="00B80676">
        <w:rPr>
          <w:rFonts w:ascii="Arial" w:hAnsi="Arial" w:cs="Arial"/>
          <w:szCs w:val="24"/>
        </w:rPr>
        <w:t xml:space="preserve">PDFs in an email, the total size of </w:t>
      </w:r>
      <w:r>
        <w:rPr>
          <w:rFonts w:ascii="Arial" w:hAnsi="Arial" w:cs="Arial"/>
          <w:szCs w:val="24"/>
        </w:rPr>
        <w:t xml:space="preserve">which </w:t>
      </w:r>
      <w:r w:rsidR="00B80676">
        <w:rPr>
          <w:rFonts w:ascii="Arial" w:hAnsi="Arial" w:cs="Arial"/>
          <w:szCs w:val="24"/>
        </w:rPr>
        <w:t xml:space="preserve">is </w:t>
      </w:r>
      <w:r w:rsidR="0009407F">
        <w:rPr>
          <w:rFonts w:ascii="Arial" w:hAnsi="Arial" w:cs="Arial"/>
          <w:szCs w:val="24"/>
        </w:rPr>
        <w:t xml:space="preserve">50 </w:t>
      </w:r>
      <w:r w:rsidR="00B80676">
        <w:rPr>
          <w:rFonts w:ascii="Arial" w:hAnsi="Arial" w:cs="Arial"/>
          <w:szCs w:val="24"/>
        </w:rPr>
        <w:t>gigabytes, would be charged</w:t>
      </w:r>
      <w:r>
        <w:rPr>
          <w:rFonts w:ascii="Arial" w:hAnsi="Arial" w:cs="Arial"/>
          <w:szCs w:val="24"/>
        </w:rPr>
        <w:t xml:space="preserve"> $27.50 as outlined below</w:t>
      </w:r>
      <w:r w:rsidR="007703DF">
        <w:rPr>
          <w:rFonts w:ascii="Arial" w:hAnsi="Arial" w:cs="Arial"/>
          <w:szCs w:val="24"/>
        </w:rPr>
        <w:t xml:space="preserve">. </w:t>
      </w:r>
    </w:p>
    <w:p w14:paraId="6ECD8393" w14:textId="77777777" w:rsidR="00D26543" w:rsidRDefault="00D26543" w:rsidP="00F860B9">
      <w:pPr>
        <w:jc w:val="both"/>
        <w:rPr>
          <w:rFonts w:ascii="Arial" w:hAnsi="Arial" w:cs="Arial"/>
          <w:szCs w:val="24"/>
        </w:rPr>
      </w:pPr>
    </w:p>
    <w:p w14:paraId="53C9273A" w14:textId="003A87BA" w:rsidR="000666A4" w:rsidRDefault="0009407F" w:rsidP="00C33421">
      <w:pPr>
        <w:pStyle w:val="ListParagraph0"/>
        <w:numPr>
          <w:ilvl w:val="0"/>
          <w:numId w:val="4"/>
        </w:numPr>
        <w:jc w:val="both"/>
        <w:rPr>
          <w:rFonts w:ascii="Arial" w:hAnsi="Arial" w:cs="Arial"/>
        </w:rPr>
      </w:pPr>
      <w:r w:rsidRPr="000666A4">
        <w:rPr>
          <w:rFonts w:ascii="Arial" w:hAnsi="Arial" w:cs="Arial"/>
        </w:rPr>
        <w:t>$20.00 for the 200 scanned documents</w:t>
      </w:r>
      <w:r w:rsidR="00EF1939">
        <w:rPr>
          <w:rFonts w:ascii="Arial" w:hAnsi="Arial" w:cs="Arial"/>
        </w:rPr>
        <w:t xml:space="preserve"> ($0.10/page)</w:t>
      </w:r>
      <w:r w:rsidRPr="000666A4">
        <w:rPr>
          <w:rFonts w:ascii="Arial" w:hAnsi="Arial" w:cs="Arial"/>
        </w:rPr>
        <w:t>,</w:t>
      </w:r>
      <w:r w:rsidR="00B80676" w:rsidRPr="000666A4">
        <w:rPr>
          <w:rFonts w:ascii="Arial" w:hAnsi="Arial" w:cs="Arial"/>
        </w:rPr>
        <w:t xml:space="preserve"> </w:t>
      </w:r>
    </w:p>
    <w:p w14:paraId="494417B2" w14:textId="77777777" w:rsidR="000666A4" w:rsidRDefault="00B80676" w:rsidP="00C33421">
      <w:pPr>
        <w:pStyle w:val="ListParagraph0"/>
        <w:numPr>
          <w:ilvl w:val="0"/>
          <w:numId w:val="4"/>
        </w:numPr>
        <w:jc w:val="both"/>
        <w:rPr>
          <w:rFonts w:ascii="Arial" w:hAnsi="Arial" w:cs="Arial"/>
        </w:rPr>
      </w:pPr>
      <w:r w:rsidRPr="000666A4">
        <w:rPr>
          <w:rFonts w:ascii="Arial" w:hAnsi="Arial" w:cs="Arial"/>
        </w:rPr>
        <w:t>$</w:t>
      </w:r>
      <w:r w:rsidR="0009407F" w:rsidRPr="000666A4">
        <w:rPr>
          <w:rFonts w:ascii="Arial" w:hAnsi="Arial" w:cs="Arial"/>
        </w:rPr>
        <w:t>2.50</w:t>
      </w:r>
      <w:r w:rsidRPr="000666A4">
        <w:rPr>
          <w:rFonts w:ascii="Arial" w:hAnsi="Arial" w:cs="Arial"/>
        </w:rPr>
        <w:t xml:space="preserve"> for the </w:t>
      </w:r>
      <w:r w:rsidR="0009407F" w:rsidRPr="000666A4">
        <w:rPr>
          <w:rFonts w:ascii="Arial" w:hAnsi="Arial" w:cs="Arial"/>
        </w:rPr>
        <w:t xml:space="preserve">200 </w:t>
      </w:r>
      <w:r w:rsidRPr="000666A4">
        <w:rPr>
          <w:rFonts w:ascii="Arial" w:hAnsi="Arial" w:cs="Arial"/>
        </w:rPr>
        <w:t>electronic files ($0.05/four electronic files)</w:t>
      </w:r>
      <w:r w:rsidR="000666A4">
        <w:rPr>
          <w:rFonts w:ascii="Arial" w:hAnsi="Arial" w:cs="Arial"/>
        </w:rPr>
        <w:t>,</w:t>
      </w:r>
      <w:r w:rsidRPr="000666A4">
        <w:rPr>
          <w:rFonts w:ascii="Arial" w:hAnsi="Arial" w:cs="Arial"/>
        </w:rPr>
        <w:t xml:space="preserve"> and </w:t>
      </w:r>
    </w:p>
    <w:p w14:paraId="62029472" w14:textId="77777777" w:rsidR="000666A4" w:rsidRDefault="00B80676" w:rsidP="00C33421">
      <w:pPr>
        <w:pStyle w:val="ListParagraph0"/>
        <w:numPr>
          <w:ilvl w:val="0"/>
          <w:numId w:val="4"/>
        </w:numPr>
        <w:jc w:val="both"/>
        <w:rPr>
          <w:rFonts w:ascii="Arial" w:hAnsi="Arial" w:cs="Arial"/>
        </w:rPr>
      </w:pPr>
      <w:r w:rsidRPr="000666A4">
        <w:rPr>
          <w:rFonts w:ascii="Arial" w:hAnsi="Arial" w:cs="Arial"/>
        </w:rPr>
        <w:t>$</w:t>
      </w:r>
      <w:r w:rsidR="0009407F" w:rsidRPr="000666A4">
        <w:rPr>
          <w:rFonts w:ascii="Arial" w:hAnsi="Arial" w:cs="Arial"/>
        </w:rPr>
        <w:t>5.00</w:t>
      </w:r>
      <w:r w:rsidRPr="000666A4">
        <w:rPr>
          <w:rFonts w:ascii="Arial" w:hAnsi="Arial" w:cs="Arial"/>
        </w:rPr>
        <w:t xml:space="preserve"> for the transmission of the electronic files ($0.10/gigabyte).</w:t>
      </w:r>
    </w:p>
    <w:p w14:paraId="3CC22A20" w14:textId="429A242A" w:rsidR="000A01EF" w:rsidRDefault="0075061B" w:rsidP="007703DF">
      <w:pPr>
        <w:ind w:left="428"/>
        <w:jc w:val="both"/>
        <w:rPr>
          <w:rFonts w:ascii="Arial" w:hAnsi="Arial" w:cs="Arial"/>
        </w:rPr>
      </w:pPr>
      <w:r>
        <w:rPr>
          <w:rFonts w:ascii="Arial" w:hAnsi="Arial" w:cs="Arial"/>
        </w:rPr>
        <w:t xml:space="preserve"> </w:t>
      </w:r>
    </w:p>
    <w:p w14:paraId="782FE27D" w14:textId="15C0B1A6" w:rsidR="00D26543" w:rsidRDefault="00D26543" w:rsidP="00F860B9">
      <w:pPr>
        <w:jc w:val="both"/>
        <w:rPr>
          <w:rFonts w:ascii="Arial" w:hAnsi="Arial" w:cs="Arial"/>
        </w:rPr>
      </w:pPr>
      <w:r>
        <w:rPr>
          <w:rFonts w:ascii="Arial" w:hAnsi="Arial" w:cs="Arial"/>
        </w:rPr>
        <w:t>In comparison, the same request under the current structure would cost two dollars.</w:t>
      </w:r>
    </w:p>
    <w:p w14:paraId="01EE048F" w14:textId="77777777" w:rsidR="00D26543" w:rsidRDefault="00D26543" w:rsidP="00F860B9">
      <w:pPr>
        <w:jc w:val="both"/>
        <w:rPr>
          <w:rFonts w:ascii="Arial" w:hAnsi="Arial" w:cs="Arial"/>
        </w:rPr>
      </w:pPr>
    </w:p>
    <w:p w14:paraId="1DCCA5DE" w14:textId="6010DCA8" w:rsidR="008859D6" w:rsidRPr="000A01EF" w:rsidRDefault="00B80676" w:rsidP="00F860B9">
      <w:pPr>
        <w:jc w:val="both"/>
        <w:rPr>
          <w:rFonts w:ascii="Arial" w:hAnsi="Arial" w:cs="Arial"/>
        </w:rPr>
      </w:pPr>
      <w:r w:rsidRPr="000666A4">
        <w:rPr>
          <w:rFonts w:ascii="Arial" w:hAnsi="Arial" w:cs="Arial"/>
        </w:rPr>
        <w:t xml:space="preserve">While </w:t>
      </w:r>
      <w:r w:rsidR="007703DF">
        <w:rPr>
          <w:rFonts w:ascii="Arial" w:hAnsi="Arial" w:cs="Arial"/>
          <w:szCs w:val="24"/>
        </w:rPr>
        <w:t>state law states that agencies</w:t>
      </w:r>
      <w:r w:rsidR="007703DF" w:rsidRPr="00D910BA">
        <w:rPr>
          <w:rFonts w:ascii="Arial" w:hAnsi="Arial" w:cs="Arial"/>
          <w:szCs w:val="24"/>
        </w:rPr>
        <w:t xml:space="preserve"> </w:t>
      </w:r>
      <w:r w:rsidR="007703DF">
        <w:rPr>
          <w:rFonts w:ascii="Arial" w:hAnsi="Arial" w:cs="Arial"/>
          <w:szCs w:val="24"/>
        </w:rPr>
        <w:t>"</w:t>
      </w:r>
      <w:r w:rsidR="007703DF" w:rsidRPr="00D910BA">
        <w:rPr>
          <w:rFonts w:ascii="Arial" w:hAnsi="Arial" w:cs="Arial"/>
          <w:szCs w:val="24"/>
        </w:rPr>
        <w:t>shall take reasonable steps to provide the records in the most efficient manner available to the agency in its normal operations</w:t>
      </w:r>
      <w:r w:rsidR="007703DF">
        <w:rPr>
          <w:rFonts w:ascii="Arial" w:hAnsi="Arial" w:cs="Arial"/>
          <w:szCs w:val="24"/>
        </w:rPr>
        <w:t>"</w:t>
      </w:r>
      <w:r w:rsidR="007703DF">
        <w:rPr>
          <w:rStyle w:val="FootnoteReference"/>
          <w:rFonts w:ascii="Arial" w:hAnsi="Arial" w:cs="Arial"/>
          <w:szCs w:val="24"/>
        </w:rPr>
        <w:footnoteReference w:id="8"/>
      </w:r>
      <w:r w:rsidR="007703DF">
        <w:rPr>
          <w:rFonts w:ascii="Arial" w:hAnsi="Arial" w:cs="Arial"/>
          <w:szCs w:val="24"/>
        </w:rPr>
        <w:t xml:space="preserve"> </w:t>
      </w:r>
      <w:r w:rsidRPr="000666A4">
        <w:rPr>
          <w:rFonts w:ascii="Arial" w:hAnsi="Arial" w:cs="Arial"/>
        </w:rPr>
        <w:t>there is no maximum allowable total charge for PRA requests</w:t>
      </w:r>
      <w:r w:rsidR="007703DF">
        <w:rPr>
          <w:rFonts w:ascii="Arial" w:hAnsi="Arial" w:cs="Arial"/>
        </w:rPr>
        <w:t>.</w:t>
      </w:r>
    </w:p>
    <w:p w14:paraId="45BB66B8" w14:textId="77777777" w:rsidR="00B80676" w:rsidRDefault="00B80676" w:rsidP="00B75D49">
      <w:pPr>
        <w:shd w:val="clear" w:color="auto" w:fill="FFFFFF"/>
        <w:jc w:val="both"/>
        <w:rPr>
          <w:rFonts w:ascii="Arial" w:hAnsi="Arial" w:cs="Arial"/>
          <w:szCs w:val="24"/>
        </w:rPr>
      </w:pPr>
    </w:p>
    <w:p w14:paraId="41607464" w14:textId="72AAC715" w:rsidR="00410D1B" w:rsidRDefault="0015494A" w:rsidP="00B75D49">
      <w:pPr>
        <w:shd w:val="clear" w:color="auto" w:fill="FFFFFF"/>
        <w:jc w:val="both"/>
        <w:rPr>
          <w:rFonts w:ascii="Arial" w:hAnsi="Arial" w:cs="Arial"/>
          <w:szCs w:val="24"/>
        </w:rPr>
      </w:pPr>
      <w:r>
        <w:rPr>
          <w:rFonts w:ascii="Arial" w:hAnsi="Arial" w:cs="Arial"/>
          <w:szCs w:val="24"/>
        </w:rPr>
        <w:t xml:space="preserve">According to the fiscal note, </w:t>
      </w:r>
      <w:r w:rsidR="00410D1B">
        <w:rPr>
          <w:rFonts w:ascii="Arial" w:hAnsi="Arial" w:cs="Arial"/>
          <w:szCs w:val="24"/>
        </w:rPr>
        <w:t>the anticipated revenue expected</w:t>
      </w:r>
      <w:r w:rsidR="001B07A5">
        <w:rPr>
          <w:rFonts w:ascii="Arial" w:hAnsi="Arial" w:cs="Arial"/>
          <w:szCs w:val="24"/>
        </w:rPr>
        <w:t xml:space="preserve"> from this </w:t>
      </w:r>
      <w:r w:rsidR="00A11844">
        <w:rPr>
          <w:rFonts w:ascii="Arial" w:hAnsi="Arial" w:cs="Arial"/>
          <w:szCs w:val="24"/>
        </w:rPr>
        <w:t xml:space="preserve">change </w:t>
      </w:r>
      <w:r w:rsidR="001B07A5">
        <w:rPr>
          <w:rFonts w:ascii="Arial" w:hAnsi="Arial" w:cs="Arial"/>
          <w:szCs w:val="24"/>
        </w:rPr>
        <w:t>would</w:t>
      </w:r>
      <w:r w:rsidR="00410D1B">
        <w:rPr>
          <w:rFonts w:ascii="Arial" w:hAnsi="Arial" w:cs="Arial"/>
          <w:szCs w:val="24"/>
        </w:rPr>
        <w:t xml:space="preserve"> be approximately $8,000 annually with a </w:t>
      </w:r>
      <w:r w:rsidR="00D26543">
        <w:rPr>
          <w:rFonts w:ascii="Arial" w:hAnsi="Arial" w:cs="Arial"/>
          <w:szCs w:val="24"/>
        </w:rPr>
        <w:t>five</w:t>
      </w:r>
      <w:r w:rsidR="00410D1B">
        <w:rPr>
          <w:rFonts w:ascii="Arial" w:hAnsi="Arial" w:cs="Arial"/>
          <w:szCs w:val="24"/>
        </w:rPr>
        <w:t xml:space="preserve"> percent assumption of biennial growth. Executive staff indicate that </w:t>
      </w:r>
      <w:r w:rsidR="00672FE2">
        <w:rPr>
          <w:rFonts w:ascii="Arial" w:hAnsi="Arial" w:cs="Arial"/>
          <w:szCs w:val="24"/>
        </w:rPr>
        <w:t>the methodology used to develop this</w:t>
      </w:r>
      <w:r w:rsidR="00410D1B">
        <w:rPr>
          <w:rFonts w:ascii="Arial" w:hAnsi="Arial" w:cs="Arial"/>
          <w:szCs w:val="24"/>
        </w:rPr>
        <w:t xml:space="preserve"> revenue </w:t>
      </w:r>
      <w:r w:rsidR="007703DF">
        <w:rPr>
          <w:rFonts w:ascii="Arial" w:hAnsi="Arial" w:cs="Arial"/>
          <w:szCs w:val="24"/>
        </w:rPr>
        <w:t xml:space="preserve">projection </w:t>
      </w:r>
      <w:r w:rsidR="00552709">
        <w:rPr>
          <w:rFonts w:ascii="Arial" w:hAnsi="Arial" w:cs="Arial"/>
          <w:szCs w:val="24"/>
        </w:rPr>
        <w:t>was</w:t>
      </w:r>
      <w:r w:rsidR="00836FDE">
        <w:rPr>
          <w:rFonts w:ascii="Arial" w:hAnsi="Arial" w:cs="Arial"/>
          <w:szCs w:val="24"/>
        </w:rPr>
        <w:t xml:space="preserve"> based on</w:t>
      </w:r>
      <w:r w:rsidR="007703DF">
        <w:rPr>
          <w:rFonts w:ascii="Arial" w:hAnsi="Arial" w:cs="Arial"/>
          <w:szCs w:val="24"/>
        </w:rPr>
        <w:t xml:space="preserve"> the current fee structure</w:t>
      </w:r>
      <w:r w:rsidR="00552709">
        <w:rPr>
          <w:rFonts w:ascii="Arial" w:hAnsi="Arial" w:cs="Arial"/>
          <w:szCs w:val="24"/>
        </w:rPr>
        <w:t xml:space="preserve">. </w:t>
      </w:r>
      <w:r>
        <w:rPr>
          <w:rFonts w:ascii="Arial" w:hAnsi="Arial" w:cs="Arial"/>
          <w:szCs w:val="24"/>
        </w:rPr>
        <w:t>The expected revenue would</w:t>
      </w:r>
      <w:r w:rsidR="00410D1B">
        <w:rPr>
          <w:rFonts w:ascii="Arial" w:hAnsi="Arial" w:cs="Arial"/>
          <w:szCs w:val="24"/>
        </w:rPr>
        <w:t xml:space="preserve"> not cover the cost of providing records but is intended to allow</w:t>
      </w:r>
      <w:r w:rsidR="00410D1B" w:rsidRPr="00410D1B">
        <w:rPr>
          <w:rFonts w:ascii="Arial" w:hAnsi="Arial" w:cs="Arial"/>
          <w:szCs w:val="24"/>
        </w:rPr>
        <w:t xml:space="preserve"> requestors to be charged in a manner commensurate with the number of records </w:t>
      </w:r>
      <w:r>
        <w:rPr>
          <w:rFonts w:ascii="Arial" w:hAnsi="Arial" w:cs="Arial"/>
          <w:szCs w:val="24"/>
        </w:rPr>
        <w:t>received. According to a 2017 report sent to the state Joint Legislative Review Committee, King County Executive Branch agencies estimated that the total costs incurred in fulfilling requests</w:t>
      </w:r>
      <w:r w:rsidRPr="0015494A">
        <w:rPr>
          <w:rFonts w:ascii="Arial" w:hAnsi="Arial" w:cs="Arial"/>
          <w:szCs w:val="24"/>
        </w:rPr>
        <w:t xml:space="preserve"> </w:t>
      </w:r>
      <w:r>
        <w:rPr>
          <w:rFonts w:ascii="Arial" w:hAnsi="Arial" w:cs="Arial"/>
          <w:szCs w:val="24"/>
        </w:rPr>
        <w:t xml:space="preserve">was more than $1 million. This figure includes staff compensation, legal review, and average cost per requests.  </w:t>
      </w:r>
    </w:p>
    <w:p w14:paraId="2C5DE81C" w14:textId="77777777" w:rsidR="00410D1B" w:rsidRDefault="00410D1B" w:rsidP="00B75D49">
      <w:pPr>
        <w:shd w:val="clear" w:color="auto" w:fill="FFFFFF"/>
        <w:jc w:val="both"/>
        <w:rPr>
          <w:rFonts w:ascii="Arial" w:hAnsi="Arial" w:cs="Arial"/>
          <w:szCs w:val="24"/>
        </w:rPr>
      </w:pPr>
    </w:p>
    <w:p w14:paraId="299E5476" w14:textId="77777777" w:rsidR="00BD0AC7" w:rsidRDefault="00BD0AC7" w:rsidP="00B75D49">
      <w:pPr>
        <w:shd w:val="clear" w:color="auto" w:fill="FFFFFF"/>
        <w:jc w:val="both"/>
        <w:rPr>
          <w:rFonts w:ascii="Arial" w:hAnsi="Arial" w:cs="Arial"/>
          <w:szCs w:val="24"/>
          <w:u w:val="single"/>
        </w:rPr>
      </w:pPr>
      <w:r>
        <w:rPr>
          <w:rFonts w:ascii="Arial" w:hAnsi="Arial" w:cs="Arial"/>
          <w:szCs w:val="24"/>
          <w:u w:val="single"/>
        </w:rPr>
        <w:t>Performance Reporting Requirements</w:t>
      </w:r>
    </w:p>
    <w:p w14:paraId="3A1B07FD" w14:textId="77777777" w:rsidR="00BD0AC7" w:rsidRDefault="00BD0AC7" w:rsidP="00B75D49">
      <w:pPr>
        <w:shd w:val="clear" w:color="auto" w:fill="FFFFFF"/>
        <w:jc w:val="both"/>
        <w:rPr>
          <w:rFonts w:ascii="Arial" w:hAnsi="Arial" w:cs="Arial"/>
          <w:szCs w:val="24"/>
        </w:rPr>
      </w:pPr>
    </w:p>
    <w:p w14:paraId="006C89C3" w14:textId="66434C35" w:rsidR="007B0157" w:rsidRDefault="00F61282" w:rsidP="00B75D49">
      <w:pPr>
        <w:shd w:val="clear" w:color="auto" w:fill="FFFFFF"/>
        <w:jc w:val="both"/>
        <w:rPr>
          <w:rFonts w:ascii="Arial" w:hAnsi="Arial" w:cs="Arial"/>
          <w:szCs w:val="24"/>
        </w:rPr>
      </w:pPr>
      <w:r>
        <w:rPr>
          <w:rFonts w:ascii="Arial" w:hAnsi="Arial" w:cs="Arial"/>
          <w:szCs w:val="24"/>
        </w:rPr>
        <w:t>There are two annual reports</w:t>
      </w:r>
      <w:r w:rsidR="00410D1B">
        <w:rPr>
          <w:rFonts w:ascii="Arial" w:hAnsi="Arial" w:cs="Arial"/>
          <w:szCs w:val="24"/>
        </w:rPr>
        <w:t xml:space="preserve"> in K</w:t>
      </w:r>
      <w:r w:rsidR="005C2394">
        <w:rPr>
          <w:rFonts w:ascii="Arial" w:hAnsi="Arial" w:cs="Arial"/>
          <w:szCs w:val="24"/>
        </w:rPr>
        <w:t xml:space="preserve">ing </w:t>
      </w:r>
      <w:r w:rsidR="00410D1B">
        <w:rPr>
          <w:rFonts w:ascii="Arial" w:hAnsi="Arial" w:cs="Arial"/>
          <w:szCs w:val="24"/>
        </w:rPr>
        <w:t>C</w:t>
      </w:r>
      <w:r w:rsidR="005C2394">
        <w:rPr>
          <w:rFonts w:ascii="Arial" w:hAnsi="Arial" w:cs="Arial"/>
          <w:szCs w:val="24"/>
        </w:rPr>
        <w:t xml:space="preserve">ounty </w:t>
      </w:r>
      <w:r w:rsidR="00410D1B">
        <w:rPr>
          <w:rFonts w:ascii="Arial" w:hAnsi="Arial" w:cs="Arial"/>
          <w:szCs w:val="24"/>
        </w:rPr>
        <w:t>C</w:t>
      </w:r>
      <w:r w:rsidR="005C2394">
        <w:rPr>
          <w:rFonts w:ascii="Arial" w:hAnsi="Arial" w:cs="Arial"/>
          <w:szCs w:val="24"/>
        </w:rPr>
        <w:t>ode</w:t>
      </w:r>
      <w:r>
        <w:rPr>
          <w:rFonts w:ascii="Arial" w:hAnsi="Arial" w:cs="Arial"/>
          <w:szCs w:val="24"/>
        </w:rPr>
        <w:t xml:space="preserve"> related to public records that are </w:t>
      </w:r>
      <w:r w:rsidR="001B07A5">
        <w:rPr>
          <w:rFonts w:ascii="Arial" w:hAnsi="Arial" w:cs="Arial"/>
          <w:szCs w:val="24"/>
        </w:rPr>
        <w:t>proposed for modification under</w:t>
      </w:r>
      <w:r>
        <w:rPr>
          <w:rFonts w:ascii="Arial" w:hAnsi="Arial" w:cs="Arial"/>
          <w:szCs w:val="24"/>
        </w:rPr>
        <w:t xml:space="preserve"> the Proposed Ordinance. The first </w:t>
      </w:r>
      <w:r w:rsidR="007B0157">
        <w:rPr>
          <w:rFonts w:ascii="Arial" w:hAnsi="Arial" w:cs="Arial"/>
          <w:szCs w:val="24"/>
        </w:rPr>
        <w:t xml:space="preserve">report </w:t>
      </w:r>
      <w:r>
        <w:rPr>
          <w:rFonts w:ascii="Arial" w:hAnsi="Arial" w:cs="Arial"/>
          <w:szCs w:val="24"/>
        </w:rPr>
        <w:t xml:space="preserve">is the individual agency public records officer performance reports which are submitted to the chair of the </w:t>
      </w:r>
      <w:r w:rsidRPr="00F26F63">
        <w:rPr>
          <w:rFonts w:ascii="Arial" w:hAnsi="Arial" w:cs="Arial"/>
          <w:szCs w:val="24"/>
        </w:rPr>
        <w:t>Public Record Committee (PRC)</w:t>
      </w:r>
      <w:r>
        <w:rPr>
          <w:rFonts w:ascii="Arial" w:hAnsi="Arial" w:cs="Arial"/>
          <w:szCs w:val="24"/>
        </w:rPr>
        <w:t>.</w:t>
      </w:r>
      <w:r w:rsidR="001B07A5">
        <w:rPr>
          <w:rStyle w:val="FootnoteReference"/>
          <w:rFonts w:ascii="Arial" w:hAnsi="Arial" w:cs="Arial"/>
          <w:szCs w:val="24"/>
        </w:rPr>
        <w:footnoteReference w:id="9"/>
      </w:r>
      <w:r>
        <w:rPr>
          <w:rFonts w:ascii="Arial" w:hAnsi="Arial" w:cs="Arial"/>
          <w:szCs w:val="24"/>
        </w:rPr>
        <w:t xml:space="preserve"> These</w:t>
      </w:r>
      <w:r w:rsidR="001B07A5">
        <w:rPr>
          <w:rFonts w:ascii="Arial" w:hAnsi="Arial" w:cs="Arial"/>
          <w:szCs w:val="24"/>
        </w:rPr>
        <w:t xml:space="preserve"> </w:t>
      </w:r>
      <w:r w:rsidR="007B0157">
        <w:rPr>
          <w:rFonts w:ascii="Arial" w:hAnsi="Arial" w:cs="Arial"/>
          <w:szCs w:val="24"/>
        </w:rPr>
        <w:t xml:space="preserve">individual </w:t>
      </w:r>
      <w:r w:rsidR="001B07A5">
        <w:rPr>
          <w:rFonts w:ascii="Arial" w:hAnsi="Arial" w:cs="Arial"/>
          <w:szCs w:val="24"/>
        </w:rPr>
        <w:t>agency</w:t>
      </w:r>
      <w:r>
        <w:rPr>
          <w:rFonts w:ascii="Arial" w:hAnsi="Arial" w:cs="Arial"/>
          <w:szCs w:val="24"/>
        </w:rPr>
        <w:t xml:space="preserve"> reports are included in the second report, the PRC annual report </w:t>
      </w:r>
      <w:r w:rsidR="001B07A5">
        <w:rPr>
          <w:rFonts w:ascii="Arial" w:hAnsi="Arial" w:cs="Arial"/>
          <w:szCs w:val="24"/>
        </w:rPr>
        <w:t xml:space="preserve">that is </w:t>
      </w:r>
      <w:r>
        <w:rPr>
          <w:rFonts w:ascii="Arial" w:hAnsi="Arial" w:cs="Arial"/>
          <w:szCs w:val="24"/>
        </w:rPr>
        <w:t>transmitted to Council annually in April.</w:t>
      </w:r>
      <w:r w:rsidR="001B07A5">
        <w:rPr>
          <w:rFonts w:ascii="Arial" w:hAnsi="Arial" w:cs="Arial"/>
          <w:szCs w:val="24"/>
        </w:rPr>
        <w:t xml:space="preserve"> </w:t>
      </w:r>
    </w:p>
    <w:p w14:paraId="61B50B35" w14:textId="77777777" w:rsidR="007B0157" w:rsidRDefault="007B0157" w:rsidP="00B75D49">
      <w:pPr>
        <w:shd w:val="clear" w:color="auto" w:fill="FFFFFF"/>
        <w:jc w:val="both"/>
        <w:rPr>
          <w:rFonts w:ascii="Arial" w:hAnsi="Arial" w:cs="Arial"/>
          <w:szCs w:val="24"/>
        </w:rPr>
      </w:pPr>
    </w:p>
    <w:p w14:paraId="3A0E3593" w14:textId="2BAA0FC1" w:rsidR="00F61282" w:rsidRDefault="00F61282" w:rsidP="00B75D49">
      <w:pPr>
        <w:shd w:val="clear" w:color="auto" w:fill="FFFFFF"/>
        <w:jc w:val="both"/>
        <w:rPr>
          <w:rFonts w:ascii="Arial" w:hAnsi="Arial" w:cs="Arial"/>
          <w:szCs w:val="24"/>
        </w:rPr>
      </w:pPr>
      <w:r>
        <w:rPr>
          <w:rFonts w:ascii="Arial" w:hAnsi="Arial" w:cs="Arial"/>
          <w:szCs w:val="24"/>
        </w:rPr>
        <w:t>Table 2 belo</w:t>
      </w:r>
      <w:r w:rsidR="001B07A5">
        <w:rPr>
          <w:rFonts w:ascii="Arial" w:hAnsi="Arial" w:cs="Arial"/>
          <w:szCs w:val="24"/>
        </w:rPr>
        <w:t>w</w:t>
      </w:r>
      <w:r w:rsidR="007E0ABD">
        <w:rPr>
          <w:rFonts w:ascii="Arial" w:hAnsi="Arial" w:cs="Arial"/>
          <w:szCs w:val="24"/>
        </w:rPr>
        <w:t xml:space="preserve"> compares the current requirements of the individual agency public records officer performance reports to the modified requirements as proposed by the Proposed Ordinance</w:t>
      </w:r>
      <w:r>
        <w:rPr>
          <w:rFonts w:ascii="Arial" w:hAnsi="Arial" w:cs="Arial"/>
          <w:szCs w:val="24"/>
        </w:rPr>
        <w:t>.</w:t>
      </w:r>
    </w:p>
    <w:p w14:paraId="4E2A18E0" w14:textId="77777777" w:rsidR="00F61282" w:rsidRDefault="00F61282" w:rsidP="00F26F63">
      <w:pPr>
        <w:shd w:val="clear" w:color="auto" w:fill="FFFFFF"/>
        <w:rPr>
          <w:rFonts w:ascii="Arial" w:hAnsi="Arial" w:cs="Arial"/>
          <w:szCs w:val="24"/>
        </w:rPr>
      </w:pPr>
    </w:p>
    <w:p w14:paraId="4009265D" w14:textId="1022A57F" w:rsidR="00F61282" w:rsidRDefault="00F61282" w:rsidP="00B614E7">
      <w:pPr>
        <w:keepNext/>
        <w:jc w:val="center"/>
        <w:rPr>
          <w:rFonts w:ascii="Arial" w:hAnsi="Arial" w:cs="Arial"/>
          <w:b/>
          <w:szCs w:val="24"/>
        </w:rPr>
      </w:pPr>
      <w:r>
        <w:rPr>
          <w:rFonts w:ascii="Arial" w:hAnsi="Arial" w:cs="Arial"/>
          <w:b/>
          <w:szCs w:val="24"/>
        </w:rPr>
        <w:lastRenderedPageBreak/>
        <w:t xml:space="preserve">Table 2. </w:t>
      </w:r>
      <w:r w:rsidR="007E0ABD">
        <w:rPr>
          <w:rFonts w:ascii="Arial" w:hAnsi="Arial" w:cs="Arial"/>
          <w:b/>
          <w:szCs w:val="24"/>
        </w:rPr>
        <w:t xml:space="preserve">Comparison of Current Requirements versus Proposed Requirements </w:t>
      </w:r>
      <w:r>
        <w:rPr>
          <w:rFonts w:ascii="Arial" w:hAnsi="Arial" w:cs="Arial"/>
          <w:b/>
          <w:szCs w:val="24"/>
        </w:rPr>
        <w:t>f</w:t>
      </w:r>
      <w:r w:rsidR="007E0ABD">
        <w:rPr>
          <w:rFonts w:ascii="Arial" w:hAnsi="Arial" w:cs="Arial"/>
          <w:b/>
          <w:szCs w:val="24"/>
        </w:rPr>
        <w:t>or</w:t>
      </w:r>
      <w:r>
        <w:rPr>
          <w:rFonts w:ascii="Arial" w:hAnsi="Arial" w:cs="Arial"/>
          <w:b/>
          <w:szCs w:val="24"/>
        </w:rPr>
        <w:t xml:space="preserve"> the Agency Public Records Officer Performance Report</w:t>
      </w:r>
    </w:p>
    <w:p w14:paraId="3A118139" w14:textId="77777777" w:rsidR="00410D1B" w:rsidRPr="001C4B19" w:rsidRDefault="00410D1B" w:rsidP="00B614E7">
      <w:pPr>
        <w:keepNext/>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0"/>
        <w:gridCol w:w="2070"/>
        <w:gridCol w:w="3770"/>
      </w:tblGrid>
      <w:tr w:rsidR="00B75D49" w14:paraId="2796E13E" w14:textId="77777777" w:rsidTr="006D66EF">
        <w:trPr>
          <w:trHeight w:val="265"/>
        </w:trPr>
        <w:tc>
          <w:tcPr>
            <w:tcW w:w="3500" w:type="dxa"/>
            <w:shd w:val="clear" w:color="auto" w:fill="000000"/>
            <w:tcMar>
              <w:top w:w="0" w:type="dxa"/>
              <w:left w:w="108" w:type="dxa"/>
              <w:bottom w:w="0" w:type="dxa"/>
              <w:right w:w="108" w:type="dxa"/>
            </w:tcMar>
            <w:hideMark/>
          </w:tcPr>
          <w:p w14:paraId="54895D96" w14:textId="77777777" w:rsidR="00B75D49" w:rsidRDefault="00B75D49">
            <w:pPr>
              <w:keepNext/>
              <w:jc w:val="center"/>
              <w:rPr>
                <w:rFonts w:ascii="Arial" w:hAnsi="Arial" w:cs="Arial"/>
                <w:b/>
                <w:bCs/>
                <w:color w:val="FFFFFF"/>
                <w:szCs w:val="24"/>
              </w:rPr>
            </w:pPr>
            <w:r>
              <w:rPr>
                <w:rFonts w:ascii="Arial" w:hAnsi="Arial" w:cs="Arial"/>
                <w:b/>
                <w:bCs/>
                <w:color w:val="FFFFFF"/>
              </w:rPr>
              <w:t>Current Reporting Requirements</w:t>
            </w:r>
          </w:p>
        </w:tc>
        <w:tc>
          <w:tcPr>
            <w:tcW w:w="2070" w:type="dxa"/>
            <w:shd w:val="clear" w:color="auto" w:fill="000000"/>
            <w:hideMark/>
          </w:tcPr>
          <w:p w14:paraId="34D82054" w14:textId="77777777" w:rsidR="00B75D49" w:rsidRDefault="00B75D49">
            <w:pPr>
              <w:keepNext/>
              <w:jc w:val="center"/>
              <w:rPr>
                <w:rFonts w:ascii="Arial" w:hAnsi="Arial" w:cs="Arial"/>
                <w:b/>
                <w:bCs/>
                <w:color w:val="FFFFFF"/>
                <w:sz w:val="22"/>
                <w:szCs w:val="22"/>
              </w:rPr>
            </w:pPr>
            <w:r>
              <w:rPr>
                <w:rFonts w:ascii="Arial" w:hAnsi="Arial" w:cs="Arial"/>
                <w:b/>
                <w:bCs/>
                <w:color w:val="FFFFFF"/>
              </w:rPr>
              <w:t>Change Type</w:t>
            </w:r>
          </w:p>
        </w:tc>
        <w:tc>
          <w:tcPr>
            <w:tcW w:w="3770" w:type="dxa"/>
            <w:shd w:val="clear" w:color="auto" w:fill="000000"/>
            <w:tcMar>
              <w:top w:w="0" w:type="dxa"/>
              <w:left w:w="108" w:type="dxa"/>
              <w:bottom w:w="0" w:type="dxa"/>
              <w:right w:w="108" w:type="dxa"/>
            </w:tcMar>
            <w:vAlign w:val="center"/>
            <w:hideMark/>
          </w:tcPr>
          <w:p w14:paraId="625D1260" w14:textId="77777777" w:rsidR="00B75D49" w:rsidRDefault="00B75D49">
            <w:pPr>
              <w:keepNext/>
              <w:jc w:val="center"/>
              <w:rPr>
                <w:rFonts w:ascii="Arial" w:hAnsi="Arial" w:cs="Arial"/>
                <w:b/>
                <w:bCs/>
                <w:color w:val="FFFFFF"/>
              </w:rPr>
            </w:pPr>
            <w:r>
              <w:rPr>
                <w:rFonts w:ascii="Arial" w:hAnsi="Arial" w:cs="Arial"/>
                <w:b/>
                <w:bCs/>
                <w:color w:val="FFFFFF"/>
              </w:rPr>
              <w:t>Proposed Reporting Requirements</w:t>
            </w:r>
          </w:p>
        </w:tc>
      </w:tr>
      <w:tr w:rsidR="00B75D49" w14:paraId="2129FBBA" w14:textId="77777777" w:rsidTr="006D66EF">
        <w:trPr>
          <w:trHeight w:val="277"/>
        </w:trPr>
        <w:tc>
          <w:tcPr>
            <w:tcW w:w="3500" w:type="dxa"/>
            <w:tcMar>
              <w:top w:w="0" w:type="dxa"/>
              <w:left w:w="108" w:type="dxa"/>
              <w:bottom w:w="0" w:type="dxa"/>
              <w:right w:w="108" w:type="dxa"/>
            </w:tcMar>
            <w:hideMark/>
          </w:tcPr>
          <w:p w14:paraId="624BBE5F" w14:textId="77777777" w:rsidR="00B75D49" w:rsidRDefault="00B75D49">
            <w:pPr>
              <w:keepNext/>
              <w:rPr>
                <w:rFonts w:ascii="Arial" w:hAnsi="Arial" w:cs="Arial"/>
              </w:rPr>
            </w:pPr>
            <w:r>
              <w:rPr>
                <w:rFonts w:ascii="Arial" w:hAnsi="Arial" w:cs="Arial"/>
              </w:rPr>
              <w:t>Name of the requestor</w:t>
            </w:r>
          </w:p>
        </w:tc>
        <w:tc>
          <w:tcPr>
            <w:tcW w:w="2070" w:type="dxa"/>
            <w:hideMark/>
          </w:tcPr>
          <w:p w14:paraId="0ED31ADB" w14:textId="77777777" w:rsidR="00B75D49" w:rsidRDefault="00B75D49">
            <w:pPr>
              <w:keepNext/>
              <w:jc w:val="center"/>
              <w:rPr>
                <w:rFonts w:ascii="Arial" w:hAnsi="Arial" w:cs="Arial"/>
              </w:rPr>
            </w:pPr>
            <w:r>
              <w:rPr>
                <w:rFonts w:ascii="Arial" w:hAnsi="Arial" w:cs="Arial"/>
              </w:rPr>
              <w:t>No Change</w:t>
            </w:r>
          </w:p>
        </w:tc>
        <w:tc>
          <w:tcPr>
            <w:tcW w:w="3770" w:type="dxa"/>
            <w:tcMar>
              <w:top w:w="0" w:type="dxa"/>
              <w:left w:w="108" w:type="dxa"/>
              <w:bottom w:w="0" w:type="dxa"/>
              <w:right w:w="108" w:type="dxa"/>
            </w:tcMar>
            <w:hideMark/>
          </w:tcPr>
          <w:p w14:paraId="53B9FCF4" w14:textId="77777777" w:rsidR="00B75D49" w:rsidRDefault="00B75D49">
            <w:pPr>
              <w:keepNext/>
              <w:rPr>
                <w:rFonts w:ascii="Arial" w:hAnsi="Arial" w:cs="Arial"/>
              </w:rPr>
            </w:pPr>
            <w:r>
              <w:rPr>
                <w:rFonts w:ascii="Arial" w:hAnsi="Arial" w:cs="Arial"/>
              </w:rPr>
              <w:t>Name of the requestor</w:t>
            </w:r>
          </w:p>
        </w:tc>
      </w:tr>
      <w:tr w:rsidR="00B75D49" w14:paraId="7A9CE9F1" w14:textId="77777777" w:rsidTr="006D66EF">
        <w:trPr>
          <w:trHeight w:val="265"/>
        </w:trPr>
        <w:tc>
          <w:tcPr>
            <w:tcW w:w="3500" w:type="dxa"/>
            <w:tcMar>
              <w:top w:w="0" w:type="dxa"/>
              <w:left w:w="108" w:type="dxa"/>
              <w:bottom w:w="0" w:type="dxa"/>
              <w:right w:w="108" w:type="dxa"/>
            </w:tcMar>
            <w:hideMark/>
          </w:tcPr>
          <w:p w14:paraId="62AAD54D" w14:textId="77777777" w:rsidR="00B75D49" w:rsidRDefault="00B75D49">
            <w:pPr>
              <w:keepNext/>
              <w:rPr>
                <w:rFonts w:ascii="Arial" w:hAnsi="Arial" w:cs="Arial"/>
              </w:rPr>
            </w:pPr>
            <w:r>
              <w:rPr>
                <w:rFonts w:ascii="Arial" w:hAnsi="Arial" w:cs="Arial"/>
              </w:rPr>
              <w:t>Date the request was received</w:t>
            </w:r>
          </w:p>
        </w:tc>
        <w:tc>
          <w:tcPr>
            <w:tcW w:w="2070" w:type="dxa"/>
            <w:hideMark/>
          </w:tcPr>
          <w:p w14:paraId="4EC5D6CB" w14:textId="77777777" w:rsidR="00B75D49" w:rsidRDefault="00B75D49">
            <w:pPr>
              <w:keepNext/>
              <w:jc w:val="center"/>
              <w:rPr>
                <w:rFonts w:ascii="Arial" w:hAnsi="Arial" w:cs="Arial"/>
              </w:rPr>
            </w:pPr>
            <w:r>
              <w:rPr>
                <w:rFonts w:ascii="Arial" w:hAnsi="Arial" w:cs="Arial"/>
              </w:rPr>
              <w:t>No Change</w:t>
            </w:r>
          </w:p>
        </w:tc>
        <w:tc>
          <w:tcPr>
            <w:tcW w:w="3770" w:type="dxa"/>
            <w:tcMar>
              <w:top w:w="0" w:type="dxa"/>
              <w:left w:w="108" w:type="dxa"/>
              <w:bottom w:w="0" w:type="dxa"/>
              <w:right w:w="108" w:type="dxa"/>
            </w:tcMar>
            <w:hideMark/>
          </w:tcPr>
          <w:p w14:paraId="16CE1233" w14:textId="77777777" w:rsidR="00B75D49" w:rsidRDefault="00B75D49">
            <w:pPr>
              <w:keepNext/>
              <w:rPr>
                <w:rFonts w:ascii="Arial" w:hAnsi="Arial" w:cs="Arial"/>
              </w:rPr>
            </w:pPr>
            <w:r>
              <w:rPr>
                <w:rFonts w:ascii="Arial" w:hAnsi="Arial" w:cs="Arial"/>
              </w:rPr>
              <w:t>Date the request was received</w:t>
            </w:r>
          </w:p>
        </w:tc>
      </w:tr>
      <w:tr w:rsidR="00B75D49" w14:paraId="7093457F" w14:textId="77777777" w:rsidTr="006D66EF">
        <w:trPr>
          <w:trHeight w:val="265"/>
        </w:trPr>
        <w:tc>
          <w:tcPr>
            <w:tcW w:w="3500" w:type="dxa"/>
            <w:tcMar>
              <w:top w:w="0" w:type="dxa"/>
              <w:left w:w="108" w:type="dxa"/>
              <w:bottom w:w="0" w:type="dxa"/>
              <w:right w:w="108" w:type="dxa"/>
            </w:tcMar>
            <w:hideMark/>
          </w:tcPr>
          <w:p w14:paraId="70C7C453" w14:textId="77777777" w:rsidR="00B75D49" w:rsidRDefault="00B75D49">
            <w:pPr>
              <w:keepNext/>
              <w:rPr>
                <w:rFonts w:ascii="Arial" w:hAnsi="Arial" w:cs="Arial"/>
              </w:rPr>
            </w:pPr>
            <w:r>
              <w:rPr>
                <w:rFonts w:ascii="Arial" w:hAnsi="Arial" w:cs="Arial"/>
              </w:rPr>
              <w:t>Requests closed or opened in preceding year</w:t>
            </w:r>
          </w:p>
        </w:tc>
        <w:tc>
          <w:tcPr>
            <w:tcW w:w="2070" w:type="dxa"/>
            <w:hideMark/>
          </w:tcPr>
          <w:p w14:paraId="3AC39512" w14:textId="77777777" w:rsidR="00B75D49" w:rsidRDefault="00B75D49">
            <w:pPr>
              <w:keepNext/>
              <w:jc w:val="center"/>
              <w:rPr>
                <w:rFonts w:ascii="Arial" w:hAnsi="Arial" w:cs="Arial"/>
              </w:rPr>
            </w:pPr>
            <w:r>
              <w:rPr>
                <w:rFonts w:ascii="Arial" w:hAnsi="Arial" w:cs="Arial"/>
              </w:rPr>
              <w:t>Modified</w:t>
            </w:r>
          </w:p>
        </w:tc>
        <w:tc>
          <w:tcPr>
            <w:tcW w:w="3770" w:type="dxa"/>
            <w:tcMar>
              <w:top w:w="0" w:type="dxa"/>
              <w:left w:w="108" w:type="dxa"/>
              <w:bottom w:w="0" w:type="dxa"/>
              <w:right w:w="108" w:type="dxa"/>
            </w:tcMar>
            <w:hideMark/>
          </w:tcPr>
          <w:p w14:paraId="7C3AA32F" w14:textId="77777777" w:rsidR="00B75D49" w:rsidRDefault="00B75D49">
            <w:pPr>
              <w:keepNext/>
              <w:rPr>
                <w:rFonts w:ascii="Arial" w:hAnsi="Arial" w:cs="Arial"/>
              </w:rPr>
            </w:pPr>
            <w:r>
              <w:rPr>
                <w:rFonts w:ascii="Arial" w:hAnsi="Arial" w:cs="Arial"/>
              </w:rPr>
              <w:t>Requests received in preceding year</w:t>
            </w:r>
          </w:p>
        </w:tc>
      </w:tr>
      <w:tr w:rsidR="00B75D49" w14:paraId="6E7B32D3" w14:textId="77777777" w:rsidTr="006D66EF">
        <w:trPr>
          <w:trHeight w:val="265"/>
        </w:trPr>
        <w:tc>
          <w:tcPr>
            <w:tcW w:w="3500" w:type="dxa"/>
            <w:tcMar>
              <w:top w:w="0" w:type="dxa"/>
              <w:left w:w="108" w:type="dxa"/>
              <w:bottom w:w="0" w:type="dxa"/>
              <w:right w:w="108" w:type="dxa"/>
            </w:tcMar>
            <w:hideMark/>
          </w:tcPr>
          <w:p w14:paraId="5CDE0A0D" w14:textId="77777777" w:rsidR="00B75D49" w:rsidRDefault="00B75D49">
            <w:pPr>
              <w:keepNext/>
              <w:rPr>
                <w:rFonts w:ascii="Arial" w:hAnsi="Arial" w:cs="Arial"/>
              </w:rPr>
            </w:pPr>
            <w:r>
              <w:rPr>
                <w:rFonts w:ascii="Arial" w:hAnsi="Arial" w:cs="Arial"/>
              </w:rPr>
              <w:t>Summary of the request</w:t>
            </w:r>
          </w:p>
        </w:tc>
        <w:tc>
          <w:tcPr>
            <w:tcW w:w="2070" w:type="dxa"/>
            <w:hideMark/>
          </w:tcPr>
          <w:p w14:paraId="4D348ABC" w14:textId="77777777" w:rsidR="00B75D49" w:rsidRDefault="00B75D49">
            <w:pPr>
              <w:keepNext/>
              <w:jc w:val="center"/>
              <w:rPr>
                <w:rFonts w:ascii="Arial" w:hAnsi="Arial" w:cs="Arial"/>
              </w:rPr>
            </w:pPr>
            <w:r>
              <w:rPr>
                <w:rFonts w:ascii="Arial" w:hAnsi="Arial" w:cs="Arial"/>
              </w:rPr>
              <w:t>Modified</w:t>
            </w:r>
          </w:p>
        </w:tc>
        <w:tc>
          <w:tcPr>
            <w:tcW w:w="3770" w:type="dxa"/>
            <w:tcMar>
              <w:top w:w="0" w:type="dxa"/>
              <w:left w:w="108" w:type="dxa"/>
              <w:bottom w:w="0" w:type="dxa"/>
              <w:right w:w="108" w:type="dxa"/>
            </w:tcMar>
            <w:hideMark/>
          </w:tcPr>
          <w:p w14:paraId="73BB2B5B" w14:textId="77777777" w:rsidR="00B75D49" w:rsidRDefault="00B75D49">
            <w:pPr>
              <w:keepNext/>
              <w:rPr>
                <w:rFonts w:ascii="Arial" w:hAnsi="Arial" w:cs="Arial"/>
              </w:rPr>
            </w:pPr>
            <w:r>
              <w:rPr>
                <w:rFonts w:ascii="Arial" w:hAnsi="Arial" w:cs="Arial"/>
              </w:rPr>
              <w:t>Text of the original request</w:t>
            </w:r>
          </w:p>
        </w:tc>
      </w:tr>
      <w:tr w:rsidR="00B75D49" w14:paraId="38A3C87A" w14:textId="77777777" w:rsidTr="006D66EF">
        <w:trPr>
          <w:trHeight w:val="265"/>
        </w:trPr>
        <w:tc>
          <w:tcPr>
            <w:tcW w:w="3500" w:type="dxa"/>
            <w:tcMar>
              <w:top w:w="0" w:type="dxa"/>
              <w:left w:w="108" w:type="dxa"/>
              <w:bottom w:w="0" w:type="dxa"/>
              <w:right w:w="108" w:type="dxa"/>
            </w:tcMar>
            <w:hideMark/>
          </w:tcPr>
          <w:p w14:paraId="0759B0BB" w14:textId="77777777" w:rsidR="00B75D49" w:rsidRDefault="00B75D49">
            <w:pPr>
              <w:rPr>
                <w:rFonts w:ascii="Arial" w:hAnsi="Arial" w:cs="Arial"/>
              </w:rPr>
            </w:pPr>
            <w:r>
              <w:rPr>
                <w:rFonts w:ascii="Arial" w:hAnsi="Arial" w:cs="Arial"/>
              </w:rPr>
              <w:t>Date the request was closed, if it was closed</w:t>
            </w:r>
          </w:p>
        </w:tc>
        <w:tc>
          <w:tcPr>
            <w:tcW w:w="2070" w:type="dxa"/>
            <w:hideMark/>
          </w:tcPr>
          <w:p w14:paraId="16DDB4F3" w14:textId="77777777" w:rsidR="00B75D49" w:rsidRDefault="00B75D49">
            <w:pPr>
              <w:jc w:val="center"/>
              <w:rPr>
                <w:rFonts w:ascii="Arial" w:hAnsi="Arial" w:cs="Arial"/>
              </w:rPr>
            </w:pPr>
            <w:r>
              <w:rPr>
                <w:rFonts w:ascii="Arial" w:hAnsi="Arial" w:cs="Arial"/>
              </w:rPr>
              <w:t>Modified</w:t>
            </w:r>
          </w:p>
        </w:tc>
        <w:tc>
          <w:tcPr>
            <w:tcW w:w="3770" w:type="dxa"/>
            <w:tcMar>
              <w:top w:w="0" w:type="dxa"/>
              <w:left w:w="108" w:type="dxa"/>
              <w:bottom w:w="0" w:type="dxa"/>
              <w:right w:w="108" w:type="dxa"/>
            </w:tcMar>
            <w:hideMark/>
          </w:tcPr>
          <w:p w14:paraId="52739EE6" w14:textId="77777777" w:rsidR="00B75D49" w:rsidRDefault="00B75D49">
            <w:pPr>
              <w:rPr>
                <w:rFonts w:ascii="Arial" w:hAnsi="Arial" w:cs="Arial"/>
              </w:rPr>
            </w:pPr>
            <w:r>
              <w:rPr>
                <w:rFonts w:ascii="Arial" w:hAnsi="Arial" w:cs="Arial"/>
              </w:rPr>
              <w:t>Date of final disposition of the request</w:t>
            </w:r>
          </w:p>
        </w:tc>
      </w:tr>
      <w:tr w:rsidR="00B75D49" w14:paraId="3B295B28" w14:textId="77777777" w:rsidTr="006D66EF">
        <w:trPr>
          <w:trHeight w:val="242"/>
        </w:trPr>
        <w:tc>
          <w:tcPr>
            <w:tcW w:w="3500" w:type="dxa"/>
            <w:tcMar>
              <w:top w:w="0" w:type="dxa"/>
              <w:left w:w="108" w:type="dxa"/>
              <w:bottom w:w="0" w:type="dxa"/>
              <w:right w:w="108" w:type="dxa"/>
            </w:tcMar>
            <w:hideMark/>
          </w:tcPr>
          <w:p w14:paraId="7E4ED1E0" w14:textId="77777777" w:rsidR="00B75D49" w:rsidRDefault="00B75D49">
            <w:pPr>
              <w:rPr>
                <w:rFonts w:ascii="Arial" w:hAnsi="Arial" w:cs="Arial"/>
              </w:rPr>
            </w:pPr>
            <w:r>
              <w:rPr>
                <w:rFonts w:ascii="Arial" w:hAnsi="Arial" w:cs="Arial"/>
              </w:rPr>
              <w:t>(not required)</w:t>
            </w:r>
          </w:p>
        </w:tc>
        <w:tc>
          <w:tcPr>
            <w:tcW w:w="2070" w:type="dxa"/>
            <w:hideMark/>
          </w:tcPr>
          <w:p w14:paraId="30D66B3F" w14:textId="77777777" w:rsidR="00B75D49" w:rsidRDefault="00B75D49">
            <w:pPr>
              <w:jc w:val="center"/>
              <w:rPr>
                <w:rFonts w:ascii="Arial" w:hAnsi="Arial" w:cs="Arial"/>
              </w:rPr>
            </w:pPr>
            <w:r>
              <w:rPr>
                <w:rFonts w:ascii="Arial" w:hAnsi="Arial" w:cs="Arial"/>
              </w:rPr>
              <w:t>New</w:t>
            </w:r>
          </w:p>
        </w:tc>
        <w:tc>
          <w:tcPr>
            <w:tcW w:w="3770" w:type="dxa"/>
            <w:tcMar>
              <w:top w:w="0" w:type="dxa"/>
              <w:left w:w="108" w:type="dxa"/>
              <w:bottom w:w="0" w:type="dxa"/>
              <w:right w:w="108" w:type="dxa"/>
            </w:tcMar>
            <w:hideMark/>
          </w:tcPr>
          <w:p w14:paraId="2CDD26E1" w14:textId="77777777" w:rsidR="00B75D49" w:rsidRDefault="00B75D49">
            <w:pPr>
              <w:rPr>
                <w:rFonts w:ascii="Arial" w:hAnsi="Arial" w:cs="Arial"/>
              </w:rPr>
            </w:pPr>
            <w:r>
              <w:rPr>
                <w:rFonts w:ascii="Arial" w:hAnsi="Arial" w:cs="Arial"/>
              </w:rPr>
              <w:t>A description of the records produced, redacted, or withheld and the reason for the withholding</w:t>
            </w:r>
          </w:p>
        </w:tc>
      </w:tr>
      <w:tr w:rsidR="00B75D49" w14:paraId="27FE3FC2" w14:textId="77777777" w:rsidTr="006D66EF">
        <w:trPr>
          <w:trHeight w:val="250"/>
        </w:trPr>
        <w:tc>
          <w:tcPr>
            <w:tcW w:w="3500" w:type="dxa"/>
            <w:tcMar>
              <w:top w:w="0" w:type="dxa"/>
              <w:left w:w="108" w:type="dxa"/>
              <w:bottom w:w="0" w:type="dxa"/>
              <w:right w:w="108" w:type="dxa"/>
            </w:tcMar>
            <w:hideMark/>
          </w:tcPr>
          <w:p w14:paraId="3C9AEA11" w14:textId="77777777" w:rsidR="00B75D49" w:rsidRDefault="00B75D49">
            <w:pPr>
              <w:rPr>
                <w:rFonts w:ascii="Arial" w:hAnsi="Arial" w:cs="Arial"/>
              </w:rPr>
            </w:pPr>
            <w:r>
              <w:rPr>
                <w:rFonts w:ascii="Arial" w:hAnsi="Arial" w:cs="Arial"/>
              </w:rPr>
              <w:t>Whether the five-day response requirement in KCC and state law was met</w:t>
            </w:r>
          </w:p>
        </w:tc>
        <w:tc>
          <w:tcPr>
            <w:tcW w:w="2070" w:type="dxa"/>
            <w:hideMark/>
          </w:tcPr>
          <w:p w14:paraId="1E127488" w14:textId="77777777" w:rsidR="00B75D49" w:rsidRDefault="00B75D49">
            <w:pPr>
              <w:jc w:val="center"/>
              <w:rPr>
                <w:rFonts w:ascii="Arial" w:hAnsi="Arial" w:cs="Arial"/>
              </w:rPr>
            </w:pPr>
            <w:r>
              <w:rPr>
                <w:rFonts w:ascii="Arial" w:hAnsi="Arial" w:cs="Arial"/>
              </w:rPr>
              <w:t>Removed</w:t>
            </w:r>
          </w:p>
        </w:tc>
        <w:tc>
          <w:tcPr>
            <w:tcW w:w="3770" w:type="dxa"/>
            <w:tcMar>
              <w:top w:w="0" w:type="dxa"/>
              <w:left w:w="108" w:type="dxa"/>
              <w:bottom w:w="0" w:type="dxa"/>
              <w:right w:w="108" w:type="dxa"/>
            </w:tcMar>
            <w:hideMark/>
          </w:tcPr>
          <w:p w14:paraId="450D3D87" w14:textId="77777777" w:rsidR="00B75D49" w:rsidRDefault="00B75D49">
            <w:pPr>
              <w:rPr>
                <w:rFonts w:ascii="Arial" w:hAnsi="Arial" w:cs="Arial"/>
              </w:rPr>
            </w:pPr>
            <w:r>
              <w:rPr>
                <w:rFonts w:ascii="Arial" w:hAnsi="Arial" w:cs="Arial"/>
              </w:rPr>
              <w:t>(removed)</w:t>
            </w:r>
          </w:p>
        </w:tc>
      </w:tr>
      <w:tr w:rsidR="00B75D49" w14:paraId="14BFCA6F" w14:textId="77777777" w:rsidTr="006D66EF">
        <w:trPr>
          <w:trHeight w:val="250"/>
        </w:trPr>
        <w:tc>
          <w:tcPr>
            <w:tcW w:w="3500" w:type="dxa"/>
            <w:tcMar>
              <w:top w:w="0" w:type="dxa"/>
              <w:left w:w="108" w:type="dxa"/>
              <w:bottom w:w="0" w:type="dxa"/>
              <w:right w:w="108" w:type="dxa"/>
            </w:tcMar>
            <w:hideMark/>
          </w:tcPr>
          <w:p w14:paraId="5FE0B58A" w14:textId="14523D76" w:rsidR="00B75D49" w:rsidRDefault="00B75D49">
            <w:pPr>
              <w:rPr>
                <w:rFonts w:ascii="Arial" w:hAnsi="Arial" w:cs="Arial"/>
              </w:rPr>
            </w:pPr>
            <w:r>
              <w:rPr>
                <w:rFonts w:ascii="Arial" w:hAnsi="Arial" w:cs="Arial"/>
              </w:rPr>
              <w:t xml:space="preserve">For </w:t>
            </w:r>
            <w:r w:rsidR="00D26543">
              <w:rPr>
                <w:rFonts w:ascii="Arial" w:hAnsi="Arial" w:cs="Arial"/>
              </w:rPr>
              <w:t xml:space="preserve">a </w:t>
            </w:r>
            <w:r>
              <w:rPr>
                <w:rFonts w:ascii="Arial" w:hAnsi="Arial" w:cs="Arial"/>
              </w:rPr>
              <w:t>request six months or older, an explanation for why the request was not closed sooner, or why the request is still open</w:t>
            </w:r>
          </w:p>
        </w:tc>
        <w:tc>
          <w:tcPr>
            <w:tcW w:w="2070" w:type="dxa"/>
            <w:hideMark/>
          </w:tcPr>
          <w:p w14:paraId="4AA15496" w14:textId="77777777" w:rsidR="00B75D49" w:rsidRDefault="00B75D49">
            <w:pPr>
              <w:jc w:val="center"/>
              <w:rPr>
                <w:rFonts w:ascii="Arial" w:hAnsi="Arial" w:cs="Arial"/>
              </w:rPr>
            </w:pPr>
            <w:r>
              <w:rPr>
                <w:rFonts w:ascii="Arial" w:hAnsi="Arial" w:cs="Arial"/>
              </w:rPr>
              <w:t>Removed</w:t>
            </w:r>
          </w:p>
        </w:tc>
        <w:tc>
          <w:tcPr>
            <w:tcW w:w="3770" w:type="dxa"/>
            <w:tcMar>
              <w:top w:w="0" w:type="dxa"/>
              <w:left w:w="108" w:type="dxa"/>
              <w:bottom w:w="0" w:type="dxa"/>
              <w:right w:w="108" w:type="dxa"/>
            </w:tcMar>
            <w:hideMark/>
          </w:tcPr>
          <w:p w14:paraId="2A36D616" w14:textId="77777777" w:rsidR="00B75D49" w:rsidRDefault="00B75D49">
            <w:pPr>
              <w:rPr>
                <w:rFonts w:ascii="Arial" w:hAnsi="Arial" w:cs="Arial"/>
              </w:rPr>
            </w:pPr>
            <w:r>
              <w:rPr>
                <w:rFonts w:ascii="Arial" w:hAnsi="Arial" w:cs="Arial"/>
              </w:rPr>
              <w:t>(removed)</w:t>
            </w:r>
          </w:p>
        </w:tc>
      </w:tr>
    </w:tbl>
    <w:p w14:paraId="1A67EAF9" w14:textId="77777777" w:rsidR="000A4B2B" w:rsidRPr="00F61282" w:rsidRDefault="000A4B2B" w:rsidP="000A4B2B">
      <w:pPr>
        <w:shd w:val="clear" w:color="auto" w:fill="FFFFFF"/>
        <w:rPr>
          <w:rFonts w:ascii="Arial" w:hAnsi="Arial" w:cs="Arial"/>
          <w:szCs w:val="24"/>
        </w:rPr>
      </w:pPr>
    </w:p>
    <w:p w14:paraId="1FAE2315" w14:textId="185D659B" w:rsidR="006205C7" w:rsidRDefault="00410D1B" w:rsidP="0064148A">
      <w:pPr>
        <w:shd w:val="clear" w:color="auto" w:fill="FFFFFF"/>
        <w:jc w:val="both"/>
        <w:rPr>
          <w:rFonts w:ascii="Arial" w:hAnsi="Arial" w:cs="Arial"/>
          <w:szCs w:val="24"/>
        </w:rPr>
      </w:pPr>
      <w:r>
        <w:rPr>
          <w:rFonts w:ascii="Arial" w:hAnsi="Arial" w:cs="Arial"/>
        </w:rPr>
        <w:t xml:space="preserve">The </w:t>
      </w:r>
      <w:r w:rsidR="00D26543">
        <w:rPr>
          <w:rFonts w:ascii="Arial" w:hAnsi="Arial" w:cs="Arial"/>
        </w:rPr>
        <w:t>p</w:t>
      </w:r>
      <w:r>
        <w:rPr>
          <w:rFonts w:ascii="Arial" w:hAnsi="Arial" w:cs="Arial"/>
        </w:rPr>
        <w:t xml:space="preserve">roposed </w:t>
      </w:r>
      <w:r w:rsidR="00D26543">
        <w:rPr>
          <w:rFonts w:ascii="Arial" w:hAnsi="Arial" w:cs="Arial"/>
        </w:rPr>
        <w:t>o</w:t>
      </w:r>
      <w:r>
        <w:rPr>
          <w:rFonts w:ascii="Arial" w:hAnsi="Arial" w:cs="Arial"/>
        </w:rPr>
        <w:t xml:space="preserve">rdinance </w:t>
      </w:r>
      <w:r w:rsidR="00612709">
        <w:rPr>
          <w:rFonts w:ascii="Arial" w:hAnsi="Arial" w:cs="Arial"/>
        </w:rPr>
        <w:t xml:space="preserve">would </w:t>
      </w:r>
      <w:r>
        <w:rPr>
          <w:rFonts w:ascii="Arial" w:hAnsi="Arial" w:cs="Arial"/>
        </w:rPr>
        <w:t>remove</w:t>
      </w:r>
      <w:r w:rsidR="006205C7">
        <w:rPr>
          <w:rFonts w:ascii="Arial" w:hAnsi="Arial" w:cs="Arial"/>
        </w:rPr>
        <w:t xml:space="preserve"> the</w:t>
      </w:r>
      <w:r>
        <w:rPr>
          <w:rFonts w:ascii="Arial" w:hAnsi="Arial" w:cs="Arial"/>
        </w:rPr>
        <w:t xml:space="preserve"> five-day response requirement and information about requests that were open six months or longer, and </w:t>
      </w:r>
      <w:r w:rsidR="000C523F">
        <w:rPr>
          <w:rFonts w:ascii="Arial" w:hAnsi="Arial" w:cs="Arial"/>
        </w:rPr>
        <w:t xml:space="preserve">would </w:t>
      </w:r>
      <w:r w:rsidR="006205C7">
        <w:rPr>
          <w:rFonts w:ascii="Arial" w:hAnsi="Arial" w:cs="Arial"/>
        </w:rPr>
        <w:t>add</w:t>
      </w:r>
      <w:r>
        <w:rPr>
          <w:rFonts w:ascii="Arial" w:hAnsi="Arial" w:cs="Arial"/>
        </w:rPr>
        <w:t xml:space="preserve"> </w:t>
      </w:r>
      <w:r w:rsidR="000C523F">
        <w:rPr>
          <w:rFonts w:ascii="Arial" w:hAnsi="Arial" w:cs="Arial"/>
        </w:rPr>
        <w:t>description of the</w:t>
      </w:r>
      <w:r>
        <w:rPr>
          <w:rFonts w:ascii="Arial" w:hAnsi="Arial" w:cs="Arial"/>
        </w:rPr>
        <w:t xml:space="preserve"> records </w:t>
      </w:r>
      <w:r w:rsidR="000C523F">
        <w:rPr>
          <w:rFonts w:ascii="Arial" w:hAnsi="Arial" w:cs="Arial"/>
        </w:rPr>
        <w:t>produced</w:t>
      </w:r>
      <w:r>
        <w:rPr>
          <w:rFonts w:ascii="Arial" w:hAnsi="Arial" w:cs="Arial"/>
        </w:rPr>
        <w:t>, redact</w:t>
      </w:r>
      <w:r w:rsidR="000C523F">
        <w:rPr>
          <w:rFonts w:ascii="Arial" w:hAnsi="Arial" w:cs="Arial"/>
        </w:rPr>
        <w:t>ed</w:t>
      </w:r>
      <w:r>
        <w:rPr>
          <w:rFonts w:ascii="Arial" w:hAnsi="Arial" w:cs="Arial"/>
        </w:rPr>
        <w:t xml:space="preserve">, </w:t>
      </w:r>
      <w:r w:rsidR="000C523F">
        <w:rPr>
          <w:rFonts w:ascii="Arial" w:hAnsi="Arial" w:cs="Arial"/>
        </w:rPr>
        <w:t xml:space="preserve">or </w:t>
      </w:r>
      <w:r>
        <w:rPr>
          <w:rFonts w:ascii="Arial" w:hAnsi="Arial" w:cs="Arial"/>
        </w:rPr>
        <w:t>withheld and the reason for the withholding.</w:t>
      </w:r>
      <w:r w:rsidR="006205C7">
        <w:rPr>
          <w:rFonts w:ascii="Arial" w:hAnsi="Arial" w:cs="Arial"/>
        </w:rPr>
        <w:t xml:space="preserve"> </w:t>
      </w:r>
      <w:r w:rsidR="006205C7" w:rsidRPr="008F1612">
        <w:rPr>
          <w:rFonts w:ascii="Arial" w:hAnsi="Arial" w:cs="Arial"/>
          <w:szCs w:val="24"/>
        </w:rPr>
        <w:t>In 2018</w:t>
      </w:r>
      <w:r w:rsidR="006205C7">
        <w:rPr>
          <w:rFonts w:ascii="Arial" w:hAnsi="Arial" w:cs="Arial"/>
          <w:szCs w:val="24"/>
        </w:rPr>
        <w:t>,</w:t>
      </w:r>
      <w:r w:rsidR="006205C7" w:rsidRPr="008F1612">
        <w:rPr>
          <w:rFonts w:ascii="Arial" w:hAnsi="Arial" w:cs="Arial"/>
          <w:szCs w:val="24"/>
        </w:rPr>
        <w:t xml:space="preserve"> 1.7 percent of </w:t>
      </w:r>
      <w:r w:rsidR="006205C7">
        <w:rPr>
          <w:rFonts w:ascii="Arial" w:hAnsi="Arial" w:cs="Arial"/>
          <w:szCs w:val="24"/>
        </w:rPr>
        <w:t xml:space="preserve">King County </w:t>
      </w:r>
      <w:r w:rsidR="006205C7" w:rsidRPr="008F1612">
        <w:rPr>
          <w:rFonts w:ascii="Arial" w:hAnsi="Arial" w:cs="Arial"/>
          <w:szCs w:val="24"/>
        </w:rPr>
        <w:t xml:space="preserve">PRA requests were not responded to </w:t>
      </w:r>
      <w:r w:rsidR="000C523F">
        <w:rPr>
          <w:rFonts w:ascii="Arial" w:hAnsi="Arial" w:cs="Arial"/>
          <w:szCs w:val="24"/>
        </w:rPr>
        <w:t>with</w:t>
      </w:r>
      <w:r w:rsidR="006205C7" w:rsidRPr="008F1612">
        <w:rPr>
          <w:rFonts w:ascii="Arial" w:hAnsi="Arial" w:cs="Arial"/>
          <w:szCs w:val="24"/>
        </w:rPr>
        <w:t>in the required five-day response window.</w:t>
      </w:r>
      <w:r w:rsidR="006205C7" w:rsidRPr="008F1612">
        <w:rPr>
          <w:rStyle w:val="FootnoteReference"/>
          <w:rFonts w:ascii="Arial" w:hAnsi="Arial" w:cs="Arial"/>
          <w:szCs w:val="24"/>
        </w:rPr>
        <w:footnoteReference w:id="10"/>
      </w:r>
      <w:r w:rsidR="006205C7">
        <w:rPr>
          <w:rFonts w:ascii="Arial" w:hAnsi="Arial" w:cs="Arial"/>
          <w:szCs w:val="24"/>
        </w:rPr>
        <w:t xml:space="preserve"> The reasons for missing </w:t>
      </w:r>
      <w:r w:rsidR="000C523F">
        <w:rPr>
          <w:rFonts w:ascii="Arial" w:hAnsi="Arial" w:cs="Arial"/>
          <w:szCs w:val="24"/>
        </w:rPr>
        <w:t xml:space="preserve">the required response </w:t>
      </w:r>
      <w:r w:rsidR="006205C7">
        <w:rPr>
          <w:rFonts w:ascii="Arial" w:hAnsi="Arial" w:cs="Arial"/>
          <w:szCs w:val="24"/>
        </w:rPr>
        <w:t>window are not formally tracked by Executive staff.</w:t>
      </w:r>
      <w:r w:rsidR="006205C7" w:rsidRPr="008F1612">
        <w:rPr>
          <w:rFonts w:ascii="Arial" w:hAnsi="Arial" w:cs="Arial"/>
          <w:szCs w:val="24"/>
        </w:rPr>
        <w:t xml:space="preserve"> </w:t>
      </w:r>
      <w:r w:rsidR="006205C7">
        <w:rPr>
          <w:rFonts w:ascii="Arial" w:hAnsi="Arial" w:cs="Arial"/>
          <w:szCs w:val="24"/>
        </w:rPr>
        <w:t xml:space="preserve">Also in 2018, </w:t>
      </w:r>
      <w:r w:rsidR="00D26543">
        <w:rPr>
          <w:rFonts w:ascii="Arial" w:hAnsi="Arial" w:cs="Arial"/>
          <w:szCs w:val="24"/>
        </w:rPr>
        <w:t>four</w:t>
      </w:r>
      <w:r w:rsidR="00A11844">
        <w:rPr>
          <w:rFonts w:ascii="Arial" w:hAnsi="Arial" w:cs="Arial"/>
          <w:szCs w:val="24"/>
        </w:rPr>
        <w:t xml:space="preserve"> percent of</w:t>
      </w:r>
      <w:r w:rsidR="006205C7">
        <w:rPr>
          <w:rFonts w:ascii="Arial" w:hAnsi="Arial" w:cs="Arial"/>
          <w:szCs w:val="24"/>
        </w:rPr>
        <w:t xml:space="preserve"> requests were either closed </w:t>
      </w:r>
      <w:r w:rsidR="000C523F">
        <w:rPr>
          <w:rFonts w:ascii="Arial" w:hAnsi="Arial" w:cs="Arial"/>
          <w:szCs w:val="24"/>
        </w:rPr>
        <w:t xml:space="preserve">after six months </w:t>
      </w:r>
      <w:r w:rsidR="006205C7">
        <w:rPr>
          <w:rFonts w:ascii="Arial" w:hAnsi="Arial" w:cs="Arial"/>
          <w:szCs w:val="24"/>
        </w:rPr>
        <w:t>or still open six months or longer.</w:t>
      </w:r>
      <w:r w:rsidR="00A11844">
        <w:rPr>
          <w:rStyle w:val="FootnoteReference"/>
          <w:rFonts w:ascii="Arial" w:hAnsi="Arial" w:cs="Arial"/>
          <w:szCs w:val="24"/>
        </w:rPr>
        <w:footnoteReference w:id="11"/>
      </w:r>
      <w:r w:rsidR="006205C7">
        <w:rPr>
          <w:rFonts w:ascii="Arial" w:hAnsi="Arial" w:cs="Arial"/>
          <w:szCs w:val="24"/>
        </w:rPr>
        <w:t xml:space="preserve"> The reasons for this varied </w:t>
      </w:r>
      <w:r w:rsidR="00131DA7">
        <w:rPr>
          <w:rFonts w:ascii="Arial" w:hAnsi="Arial" w:cs="Arial"/>
          <w:szCs w:val="24"/>
        </w:rPr>
        <w:t xml:space="preserve">among requests </w:t>
      </w:r>
      <w:r w:rsidR="006205C7">
        <w:rPr>
          <w:rFonts w:ascii="Arial" w:hAnsi="Arial" w:cs="Arial"/>
          <w:szCs w:val="24"/>
        </w:rPr>
        <w:t xml:space="preserve">but included </w:t>
      </w:r>
      <w:r w:rsidR="00131DA7">
        <w:rPr>
          <w:rFonts w:ascii="Arial" w:hAnsi="Arial" w:cs="Arial"/>
          <w:szCs w:val="24"/>
        </w:rPr>
        <w:t>requests</w:t>
      </w:r>
      <w:r w:rsidR="006205C7">
        <w:rPr>
          <w:rFonts w:ascii="Arial" w:hAnsi="Arial" w:cs="Arial"/>
          <w:szCs w:val="24"/>
        </w:rPr>
        <w:t xml:space="preserve"> being exceptionally large, complex, part of litigation, or pending collective bargaining. </w:t>
      </w:r>
    </w:p>
    <w:p w14:paraId="7684A12F" w14:textId="77777777" w:rsidR="006205C7" w:rsidRDefault="006205C7" w:rsidP="0064148A">
      <w:pPr>
        <w:shd w:val="clear" w:color="auto" w:fill="FFFFFF"/>
        <w:jc w:val="both"/>
        <w:rPr>
          <w:rFonts w:ascii="Arial" w:hAnsi="Arial" w:cs="Arial"/>
          <w:szCs w:val="24"/>
        </w:rPr>
      </w:pPr>
    </w:p>
    <w:p w14:paraId="59288FFE" w14:textId="63853DDF" w:rsidR="006205C7" w:rsidRPr="008F1612" w:rsidRDefault="00DC48D5" w:rsidP="0064148A">
      <w:pPr>
        <w:shd w:val="clear" w:color="auto" w:fill="FFFFFF"/>
        <w:jc w:val="both"/>
        <w:rPr>
          <w:rFonts w:ascii="Arial" w:hAnsi="Arial" w:cs="Arial"/>
          <w:szCs w:val="24"/>
        </w:rPr>
      </w:pPr>
      <w:r>
        <w:rPr>
          <w:rFonts w:ascii="Arial" w:hAnsi="Arial" w:cs="Arial"/>
          <w:szCs w:val="24"/>
        </w:rPr>
        <w:t xml:space="preserve">The reporting requirement changes as proposed by the </w:t>
      </w:r>
      <w:r w:rsidR="00D26543">
        <w:rPr>
          <w:rFonts w:ascii="Arial" w:hAnsi="Arial" w:cs="Arial"/>
          <w:szCs w:val="24"/>
        </w:rPr>
        <w:t>p</w:t>
      </w:r>
      <w:r>
        <w:rPr>
          <w:rFonts w:ascii="Arial" w:hAnsi="Arial" w:cs="Arial"/>
          <w:szCs w:val="24"/>
        </w:rPr>
        <w:t xml:space="preserve">roposed </w:t>
      </w:r>
      <w:r w:rsidR="00D26543">
        <w:rPr>
          <w:rFonts w:ascii="Arial" w:hAnsi="Arial" w:cs="Arial"/>
          <w:szCs w:val="24"/>
        </w:rPr>
        <w:t>o</w:t>
      </w:r>
      <w:r>
        <w:rPr>
          <w:rFonts w:ascii="Arial" w:hAnsi="Arial" w:cs="Arial"/>
          <w:szCs w:val="24"/>
        </w:rPr>
        <w:t>rdinance is not mandated by the Public Records Act and therefore</w:t>
      </w:r>
      <w:r w:rsidR="006205C7">
        <w:rPr>
          <w:rFonts w:ascii="Arial" w:hAnsi="Arial" w:cs="Arial"/>
          <w:szCs w:val="24"/>
        </w:rPr>
        <w:t xml:space="preserve"> </w:t>
      </w:r>
      <w:r>
        <w:rPr>
          <w:rFonts w:ascii="Arial" w:hAnsi="Arial" w:cs="Arial"/>
          <w:szCs w:val="24"/>
        </w:rPr>
        <w:t xml:space="preserve">it would be </w:t>
      </w:r>
      <w:r w:rsidR="006205C7">
        <w:rPr>
          <w:rFonts w:ascii="Arial" w:hAnsi="Arial" w:cs="Arial"/>
          <w:szCs w:val="24"/>
        </w:rPr>
        <w:t xml:space="preserve">a policy choice </w:t>
      </w:r>
      <w:r>
        <w:rPr>
          <w:rFonts w:ascii="Arial" w:hAnsi="Arial" w:cs="Arial"/>
          <w:szCs w:val="24"/>
        </w:rPr>
        <w:t>for the council.</w:t>
      </w:r>
      <w:r w:rsidR="006205C7">
        <w:rPr>
          <w:rFonts w:ascii="Arial" w:hAnsi="Arial" w:cs="Arial"/>
          <w:szCs w:val="24"/>
        </w:rPr>
        <w:t xml:space="preserve"> While </w:t>
      </w:r>
      <w:r>
        <w:rPr>
          <w:rFonts w:ascii="Arial" w:hAnsi="Arial" w:cs="Arial"/>
          <w:szCs w:val="24"/>
        </w:rPr>
        <w:t xml:space="preserve">the </w:t>
      </w:r>
      <w:r w:rsidR="006205C7">
        <w:rPr>
          <w:rFonts w:ascii="Arial" w:hAnsi="Arial" w:cs="Arial"/>
          <w:szCs w:val="24"/>
        </w:rPr>
        <w:t xml:space="preserve">information </w:t>
      </w:r>
      <w:r>
        <w:rPr>
          <w:rFonts w:ascii="Arial" w:hAnsi="Arial" w:cs="Arial"/>
          <w:szCs w:val="24"/>
        </w:rPr>
        <w:t xml:space="preserve">proposed to be eliminated by the </w:t>
      </w:r>
      <w:r w:rsidR="005E4260">
        <w:rPr>
          <w:rFonts w:ascii="Arial" w:hAnsi="Arial" w:cs="Arial"/>
          <w:szCs w:val="24"/>
        </w:rPr>
        <w:t>p</w:t>
      </w:r>
      <w:r>
        <w:rPr>
          <w:rFonts w:ascii="Arial" w:hAnsi="Arial" w:cs="Arial"/>
          <w:szCs w:val="24"/>
        </w:rPr>
        <w:t xml:space="preserve">roposed </w:t>
      </w:r>
      <w:r w:rsidR="005E4260">
        <w:rPr>
          <w:rFonts w:ascii="Arial" w:hAnsi="Arial" w:cs="Arial"/>
          <w:szCs w:val="24"/>
        </w:rPr>
        <w:t>o</w:t>
      </w:r>
      <w:r>
        <w:rPr>
          <w:rFonts w:ascii="Arial" w:hAnsi="Arial" w:cs="Arial"/>
          <w:szCs w:val="24"/>
        </w:rPr>
        <w:t xml:space="preserve">rdinance </w:t>
      </w:r>
      <w:r w:rsidR="006205C7">
        <w:rPr>
          <w:rFonts w:ascii="Arial" w:hAnsi="Arial" w:cs="Arial"/>
          <w:szCs w:val="24"/>
        </w:rPr>
        <w:t>may continue to be tracked by King County agencies</w:t>
      </w:r>
      <w:r>
        <w:rPr>
          <w:rFonts w:ascii="Arial" w:hAnsi="Arial" w:cs="Arial"/>
          <w:szCs w:val="24"/>
        </w:rPr>
        <w:t>,</w:t>
      </w:r>
      <w:r w:rsidR="006205C7">
        <w:rPr>
          <w:rFonts w:ascii="Arial" w:hAnsi="Arial" w:cs="Arial"/>
          <w:szCs w:val="24"/>
        </w:rPr>
        <w:t xml:space="preserve"> there are no </w:t>
      </w:r>
      <w:r>
        <w:rPr>
          <w:rFonts w:ascii="Arial" w:hAnsi="Arial" w:cs="Arial"/>
          <w:szCs w:val="24"/>
        </w:rPr>
        <w:t xml:space="preserve">additional </w:t>
      </w:r>
      <w:r w:rsidR="006205C7">
        <w:rPr>
          <w:rFonts w:ascii="Arial" w:hAnsi="Arial" w:cs="Arial"/>
          <w:szCs w:val="24"/>
        </w:rPr>
        <w:t>provisions in K</w:t>
      </w:r>
      <w:r w:rsidR="00ED187C">
        <w:rPr>
          <w:rFonts w:ascii="Arial" w:hAnsi="Arial" w:cs="Arial"/>
          <w:szCs w:val="24"/>
        </w:rPr>
        <w:t>ing County Code that require it</w:t>
      </w:r>
      <w:r w:rsidR="006205C7">
        <w:rPr>
          <w:rFonts w:ascii="Arial" w:hAnsi="Arial" w:cs="Arial"/>
          <w:szCs w:val="24"/>
        </w:rPr>
        <w:t xml:space="preserve">s tracking </w:t>
      </w:r>
      <w:r w:rsidR="00ED187C">
        <w:rPr>
          <w:rFonts w:ascii="Arial" w:hAnsi="Arial" w:cs="Arial"/>
          <w:szCs w:val="24"/>
        </w:rPr>
        <w:t>or reporting</w:t>
      </w:r>
      <w:r>
        <w:rPr>
          <w:rFonts w:ascii="Arial" w:hAnsi="Arial" w:cs="Arial"/>
          <w:szCs w:val="24"/>
        </w:rPr>
        <w:t>.</w:t>
      </w:r>
      <w:r w:rsidR="006205C7">
        <w:rPr>
          <w:rFonts w:ascii="Arial" w:hAnsi="Arial" w:cs="Arial"/>
          <w:szCs w:val="24"/>
        </w:rPr>
        <w:t xml:space="preserve"> </w:t>
      </w:r>
    </w:p>
    <w:p w14:paraId="0428F04C" w14:textId="77777777" w:rsidR="006205C7" w:rsidRDefault="006205C7" w:rsidP="005B3834">
      <w:pPr>
        <w:shd w:val="clear" w:color="auto" w:fill="FFFFFF"/>
        <w:rPr>
          <w:rFonts w:ascii="Arial" w:hAnsi="Arial" w:cs="Arial"/>
        </w:rPr>
      </w:pPr>
    </w:p>
    <w:p w14:paraId="3197521A" w14:textId="77777777" w:rsidR="006205C7" w:rsidRDefault="006205C7" w:rsidP="005B3834">
      <w:pPr>
        <w:shd w:val="clear" w:color="auto" w:fill="FFFFFF"/>
        <w:rPr>
          <w:rFonts w:ascii="Arial" w:hAnsi="Arial" w:cs="Arial"/>
        </w:rPr>
      </w:pPr>
      <w:r>
        <w:rPr>
          <w:rFonts w:ascii="Arial" w:hAnsi="Arial" w:cs="Arial"/>
          <w:u w:val="single"/>
        </w:rPr>
        <w:t>Report transmittal date change</w:t>
      </w:r>
    </w:p>
    <w:p w14:paraId="153575A8" w14:textId="77777777" w:rsidR="00410D1B" w:rsidRDefault="00410D1B" w:rsidP="005B3834">
      <w:pPr>
        <w:shd w:val="clear" w:color="auto" w:fill="FFFFFF"/>
        <w:rPr>
          <w:rFonts w:ascii="Arial" w:hAnsi="Arial" w:cs="Arial"/>
        </w:rPr>
      </w:pPr>
    </w:p>
    <w:p w14:paraId="3EEF6913" w14:textId="2F3E07F7" w:rsidR="00FE4D70" w:rsidRDefault="00C6131D" w:rsidP="00B75D49">
      <w:pPr>
        <w:shd w:val="clear" w:color="auto" w:fill="FFFFFF"/>
        <w:jc w:val="both"/>
        <w:rPr>
          <w:rFonts w:ascii="Arial" w:hAnsi="Arial" w:cs="Arial"/>
        </w:rPr>
      </w:pPr>
      <w:r>
        <w:rPr>
          <w:rFonts w:ascii="Arial" w:hAnsi="Arial" w:cs="Arial"/>
        </w:rPr>
        <w:t xml:space="preserve">Currently, the </w:t>
      </w:r>
      <w:r>
        <w:rPr>
          <w:rFonts w:ascii="Arial" w:hAnsi="Arial" w:cs="Arial"/>
          <w:szCs w:val="24"/>
        </w:rPr>
        <w:t xml:space="preserve">individual agency public records officer performance reports </w:t>
      </w:r>
      <w:r w:rsidR="000A4B2B">
        <w:rPr>
          <w:rFonts w:ascii="Arial" w:hAnsi="Arial" w:cs="Arial"/>
        </w:rPr>
        <w:t xml:space="preserve">received </w:t>
      </w:r>
      <w:r w:rsidR="005C2394">
        <w:rPr>
          <w:rFonts w:ascii="Arial" w:hAnsi="Arial" w:cs="Arial"/>
        </w:rPr>
        <w:t xml:space="preserve">annually </w:t>
      </w:r>
      <w:r w:rsidR="000A4B2B">
        <w:rPr>
          <w:rFonts w:ascii="Arial" w:hAnsi="Arial" w:cs="Arial"/>
        </w:rPr>
        <w:t>by March 20</w:t>
      </w:r>
      <w:r w:rsidR="005C2394" w:rsidRPr="00B75D49">
        <w:rPr>
          <w:rFonts w:ascii="Arial" w:hAnsi="Arial" w:cs="Arial"/>
          <w:vertAlign w:val="superscript"/>
        </w:rPr>
        <w:t>th</w:t>
      </w:r>
      <w:r w:rsidR="005C2394">
        <w:rPr>
          <w:rFonts w:ascii="Arial" w:hAnsi="Arial" w:cs="Arial"/>
        </w:rPr>
        <w:t xml:space="preserve"> </w:t>
      </w:r>
      <w:r w:rsidR="000A4B2B">
        <w:rPr>
          <w:rFonts w:ascii="Arial" w:hAnsi="Arial" w:cs="Arial"/>
        </w:rPr>
        <w:t>are included in the PRC's annual report to Council due in April</w:t>
      </w:r>
      <w:r w:rsidR="00945086">
        <w:rPr>
          <w:rFonts w:ascii="Arial" w:hAnsi="Arial" w:cs="Arial"/>
        </w:rPr>
        <w:t xml:space="preserve">. </w:t>
      </w:r>
      <w:r w:rsidR="00945086">
        <w:rPr>
          <w:rFonts w:ascii="Arial" w:hAnsi="Arial" w:cs="Arial"/>
        </w:rPr>
        <w:lastRenderedPageBreak/>
        <w:t xml:space="preserve">Reports received after March </w:t>
      </w:r>
      <w:r w:rsidR="005C2394">
        <w:rPr>
          <w:rFonts w:ascii="Arial" w:hAnsi="Arial" w:cs="Arial"/>
        </w:rPr>
        <w:t>20</w:t>
      </w:r>
      <w:r w:rsidR="005C2394" w:rsidRPr="00B75D49">
        <w:rPr>
          <w:rFonts w:ascii="Arial" w:hAnsi="Arial" w:cs="Arial"/>
          <w:vertAlign w:val="superscript"/>
        </w:rPr>
        <w:t>th</w:t>
      </w:r>
      <w:r w:rsidR="005C2394">
        <w:rPr>
          <w:rFonts w:ascii="Arial" w:hAnsi="Arial" w:cs="Arial"/>
        </w:rPr>
        <w:t xml:space="preserve"> </w:t>
      </w:r>
      <w:r w:rsidR="00945086">
        <w:rPr>
          <w:rFonts w:ascii="Arial" w:hAnsi="Arial" w:cs="Arial"/>
        </w:rPr>
        <w:t>are forwarded to Council later as an addendum</w:t>
      </w:r>
      <w:r w:rsidR="000A4B2B">
        <w:rPr>
          <w:rFonts w:ascii="Arial" w:hAnsi="Arial" w:cs="Arial"/>
        </w:rPr>
        <w:t xml:space="preserve">. The Proposed Ordinance would </w:t>
      </w:r>
      <w:r w:rsidR="00B80676">
        <w:rPr>
          <w:rFonts w:ascii="Arial" w:hAnsi="Arial" w:cs="Arial"/>
        </w:rPr>
        <w:t xml:space="preserve">change the date of the PRC annual report from April to July to allow more time for the </w:t>
      </w:r>
      <w:r w:rsidR="00D70725">
        <w:rPr>
          <w:rFonts w:ascii="Arial" w:hAnsi="Arial" w:cs="Arial"/>
        </w:rPr>
        <w:t xml:space="preserve">individual </w:t>
      </w:r>
      <w:r w:rsidR="00B80676">
        <w:rPr>
          <w:rFonts w:ascii="Arial" w:hAnsi="Arial" w:cs="Arial"/>
        </w:rPr>
        <w:t xml:space="preserve">agency performance reports to be compiled and transmitted with the PRC report instead of later as an addendum. </w:t>
      </w:r>
    </w:p>
    <w:p w14:paraId="019EDCD7" w14:textId="51C4C55E" w:rsidR="0042573A" w:rsidRDefault="0042573A" w:rsidP="00B75D49">
      <w:pPr>
        <w:shd w:val="clear" w:color="auto" w:fill="FFFFFF"/>
        <w:jc w:val="both"/>
        <w:rPr>
          <w:rFonts w:ascii="Arial" w:hAnsi="Arial" w:cs="Arial"/>
        </w:rPr>
      </w:pPr>
    </w:p>
    <w:p w14:paraId="04D4796C" w14:textId="14C5AEF2" w:rsidR="00D70725" w:rsidRDefault="00D70725" w:rsidP="00B75D49">
      <w:pPr>
        <w:shd w:val="clear" w:color="auto" w:fill="FFFFFF"/>
        <w:jc w:val="both"/>
        <w:rPr>
          <w:rFonts w:ascii="Arial" w:hAnsi="Arial" w:cs="Arial"/>
          <w:u w:val="single"/>
        </w:rPr>
      </w:pPr>
      <w:r w:rsidRPr="00B75D49">
        <w:rPr>
          <w:rFonts w:ascii="Arial" w:hAnsi="Arial" w:cs="Arial"/>
          <w:u w:val="single"/>
        </w:rPr>
        <w:t>Legal Review</w:t>
      </w:r>
    </w:p>
    <w:p w14:paraId="7ED52BD0" w14:textId="77777777" w:rsidR="00D70725" w:rsidRPr="00B75D49" w:rsidRDefault="00D70725" w:rsidP="00B75D49">
      <w:pPr>
        <w:shd w:val="clear" w:color="auto" w:fill="FFFFFF"/>
        <w:jc w:val="both"/>
        <w:rPr>
          <w:rFonts w:ascii="Arial" w:hAnsi="Arial" w:cs="Arial"/>
          <w:u w:val="single"/>
        </w:rPr>
      </w:pPr>
    </w:p>
    <w:p w14:paraId="468ADCE7" w14:textId="79C4650B" w:rsidR="008812BF" w:rsidRPr="00B64ADE" w:rsidRDefault="00B64ADE" w:rsidP="00F860B9">
      <w:pPr>
        <w:pStyle w:val="BodyText"/>
        <w:jc w:val="both"/>
        <w:rPr>
          <w:rFonts w:ascii="Arial" w:hAnsi="Arial" w:cs="Arial"/>
          <w:i w:val="0"/>
          <w:szCs w:val="24"/>
        </w:rPr>
      </w:pPr>
      <w:r w:rsidRPr="00B64ADE">
        <w:rPr>
          <w:rFonts w:ascii="Arial" w:hAnsi="Arial" w:cs="Arial"/>
          <w:i w:val="0"/>
          <w:szCs w:val="24"/>
        </w:rPr>
        <w:t xml:space="preserve">Council's legal counsel </w:t>
      </w:r>
      <w:r w:rsidR="00D70725">
        <w:rPr>
          <w:rFonts w:ascii="Arial" w:hAnsi="Arial" w:cs="Arial"/>
          <w:i w:val="0"/>
          <w:szCs w:val="24"/>
        </w:rPr>
        <w:t xml:space="preserve">has completed </w:t>
      </w:r>
      <w:r w:rsidRPr="00B64ADE">
        <w:rPr>
          <w:rFonts w:ascii="Arial" w:hAnsi="Arial" w:cs="Arial"/>
          <w:i w:val="0"/>
          <w:szCs w:val="24"/>
        </w:rPr>
        <w:t xml:space="preserve">review </w:t>
      </w:r>
      <w:r w:rsidR="00D70725">
        <w:rPr>
          <w:rFonts w:ascii="Arial" w:hAnsi="Arial" w:cs="Arial"/>
          <w:i w:val="0"/>
          <w:szCs w:val="24"/>
        </w:rPr>
        <w:t xml:space="preserve">of </w:t>
      </w:r>
      <w:r w:rsidRPr="00B64ADE">
        <w:rPr>
          <w:rFonts w:ascii="Arial" w:hAnsi="Arial" w:cs="Arial"/>
          <w:i w:val="0"/>
          <w:szCs w:val="24"/>
        </w:rPr>
        <w:t xml:space="preserve">the proposed ordinance. </w:t>
      </w:r>
    </w:p>
    <w:p w14:paraId="5849579E" w14:textId="7666CB22" w:rsidR="00575B03" w:rsidRDefault="00575B03" w:rsidP="005B478C">
      <w:pPr>
        <w:pStyle w:val="BodyText"/>
        <w:jc w:val="both"/>
        <w:rPr>
          <w:rFonts w:ascii="Arial" w:hAnsi="Arial" w:cs="Arial"/>
          <w:i w:val="0"/>
          <w:szCs w:val="24"/>
        </w:rPr>
      </w:pPr>
    </w:p>
    <w:p w14:paraId="530908C5" w14:textId="461E671E" w:rsidR="00100EAC" w:rsidRDefault="00100EAC" w:rsidP="00100EAC">
      <w:pPr>
        <w:jc w:val="both"/>
        <w:rPr>
          <w:rFonts w:ascii="Arial" w:hAnsi="Arial" w:cs="Arial"/>
          <w:b/>
          <w:smallCaps/>
          <w:szCs w:val="24"/>
          <w:u w:val="single"/>
        </w:rPr>
      </w:pPr>
      <w:r>
        <w:rPr>
          <w:rFonts w:ascii="Arial" w:hAnsi="Arial" w:cs="Arial"/>
          <w:b/>
          <w:smallCaps/>
          <w:szCs w:val="24"/>
          <w:u w:val="single"/>
        </w:rPr>
        <w:t>AMENDMENT</w:t>
      </w:r>
    </w:p>
    <w:p w14:paraId="1CA251F9" w14:textId="77777777" w:rsidR="00100EAC" w:rsidRDefault="00100EAC" w:rsidP="00100EAC">
      <w:pPr>
        <w:shd w:val="clear" w:color="auto" w:fill="FFFFFF"/>
        <w:rPr>
          <w:rFonts w:ascii="Arial" w:hAnsi="Arial" w:cs="Arial"/>
          <w:szCs w:val="24"/>
        </w:rPr>
      </w:pPr>
    </w:p>
    <w:p w14:paraId="09929AA2" w14:textId="03DE3845" w:rsidR="00FC0DF1" w:rsidRDefault="002F2EA1" w:rsidP="00FC0DF1">
      <w:pPr>
        <w:jc w:val="both"/>
        <w:rPr>
          <w:rFonts w:ascii="Arial" w:hAnsi="Arial" w:cs="Arial"/>
          <w:szCs w:val="24"/>
        </w:rPr>
      </w:pPr>
      <w:r>
        <w:rPr>
          <w:rFonts w:ascii="Arial" w:hAnsi="Arial" w:cs="Arial"/>
          <w:szCs w:val="24"/>
        </w:rPr>
        <w:t>Amendment 1 to the Proposed O</w:t>
      </w:r>
      <w:r w:rsidR="00100EAC">
        <w:rPr>
          <w:rFonts w:ascii="Arial" w:hAnsi="Arial" w:cs="Arial"/>
          <w:szCs w:val="24"/>
        </w:rPr>
        <w:t xml:space="preserve">rdinance would </w:t>
      </w:r>
      <w:r>
        <w:rPr>
          <w:rFonts w:ascii="Arial" w:hAnsi="Arial" w:cs="Arial"/>
          <w:szCs w:val="24"/>
        </w:rPr>
        <w:t xml:space="preserve">modify reporting requirements and make technical adjustments to the legislation. The </w:t>
      </w:r>
      <w:r w:rsidR="00013351">
        <w:rPr>
          <w:rFonts w:ascii="Arial" w:hAnsi="Arial" w:cs="Arial"/>
          <w:szCs w:val="24"/>
        </w:rPr>
        <w:t>A</w:t>
      </w:r>
      <w:r>
        <w:rPr>
          <w:rFonts w:ascii="Arial" w:hAnsi="Arial" w:cs="Arial"/>
          <w:szCs w:val="24"/>
        </w:rPr>
        <w:t xml:space="preserve">mendment would </w:t>
      </w:r>
      <w:r w:rsidR="00100EAC">
        <w:rPr>
          <w:rFonts w:ascii="Arial" w:hAnsi="Arial" w:cs="Arial"/>
          <w:szCs w:val="24"/>
        </w:rPr>
        <w:t xml:space="preserve">change the reporting requirements of </w:t>
      </w:r>
      <w:r w:rsidR="001B55DF">
        <w:rPr>
          <w:rFonts w:ascii="Arial" w:hAnsi="Arial" w:cs="Arial"/>
          <w:szCs w:val="24"/>
        </w:rPr>
        <w:t xml:space="preserve">King County </w:t>
      </w:r>
      <w:r w:rsidR="00100EAC">
        <w:rPr>
          <w:rFonts w:ascii="Arial" w:hAnsi="Arial" w:cs="Arial"/>
          <w:szCs w:val="24"/>
        </w:rPr>
        <w:t xml:space="preserve">departments to the Public Records Committee (PRC) </w:t>
      </w:r>
      <w:r w:rsidR="00E70BBC">
        <w:rPr>
          <w:rFonts w:ascii="Arial" w:hAnsi="Arial" w:cs="Arial"/>
          <w:szCs w:val="24"/>
        </w:rPr>
        <w:t xml:space="preserve">so that the information reported to the PRC aligns with the report requirements specified in RCW 40.14.026(5).  The amendment would also change the date that departments submit information to the PRC to July 1 each year </w:t>
      </w:r>
      <w:r w:rsidR="00F3095E">
        <w:rPr>
          <w:rFonts w:ascii="Arial" w:hAnsi="Arial" w:cs="Arial"/>
          <w:szCs w:val="24"/>
        </w:rPr>
        <w:t>and the date the PRC transmits its report to the council to August 15.</w:t>
      </w:r>
      <w:r w:rsidR="00E70BBC">
        <w:rPr>
          <w:rFonts w:ascii="Arial" w:hAnsi="Arial" w:cs="Arial"/>
          <w:szCs w:val="24"/>
        </w:rPr>
        <w:t xml:space="preserve">  </w:t>
      </w:r>
      <w:r w:rsidR="00FC0DF1">
        <w:rPr>
          <w:rFonts w:ascii="Arial" w:hAnsi="Arial" w:cs="Arial"/>
          <w:szCs w:val="24"/>
        </w:rPr>
        <w:t xml:space="preserve">Amendment 1 to the Proposed Ordinance would also make </w:t>
      </w:r>
      <w:r w:rsidR="00E70BBC">
        <w:rPr>
          <w:rFonts w:ascii="Arial" w:hAnsi="Arial" w:cs="Arial"/>
          <w:szCs w:val="24"/>
        </w:rPr>
        <w:t>technical changes.</w:t>
      </w:r>
      <w:r w:rsidR="00F3095E">
        <w:rPr>
          <w:rFonts w:ascii="Arial" w:hAnsi="Arial" w:cs="Arial"/>
          <w:szCs w:val="24"/>
        </w:rPr>
        <w:t xml:space="preserve">  The amendment was not finalized at the time the packet was produced.</w:t>
      </w:r>
    </w:p>
    <w:p w14:paraId="7F2170ED" w14:textId="77777777" w:rsidR="00F3095E" w:rsidRDefault="00F3095E" w:rsidP="00FC0DF1">
      <w:pPr>
        <w:jc w:val="both"/>
        <w:rPr>
          <w:rFonts w:ascii="Arial" w:hAnsi="Arial" w:cs="Arial"/>
          <w:szCs w:val="24"/>
        </w:rPr>
      </w:pPr>
    </w:p>
    <w:p w14:paraId="6FA296B6" w14:textId="613289C4" w:rsidR="00D70725" w:rsidRDefault="00D70725" w:rsidP="00FC0DF1">
      <w:pPr>
        <w:jc w:val="both"/>
        <w:rPr>
          <w:rFonts w:ascii="Arial" w:hAnsi="Arial" w:cs="Arial"/>
          <w:b/>
          <w:smallCaps/>
          <w:szCs w:val="24"/>
          <w:u w:val="single"/>
        </w:rPr>
      </w:pPr>
      <w:r>
        <w:rPr>
          <w:rFonts w:ascii="Arial" w:hAnsi="Arial" w:cs="Arial"/>
          <w:b/>
          <w:smallCaps/>
          <w:szCs w:val="24"/>
          <w:u w:val="single"/>
        </w:rPr>
        <w:t>TIMING</w:t>
      </w:r>
    </w:p>
    <w:p w14:paraId="4B7CC571" w14:textId="77777777" w:rsidR="00D70725" w:rsidRDefault="00D70725" w:rsidP="00FC0DF1">
      <w:pPr>
        <w:shd w:val="clear" w:color="auto" w:fill="FFFFFF"/>
        <w:rPr>
          <w:rFonts w:ascii="Arial" w:hAnsi="Arial" w:cs="Arial"/>
          <w:szCs w:val="24"/>
        </w:rPr>
      </w:pPr>
    </w:p>
    <w:p w14:paraId="78C6FEDC" w14:textId="77450D4D" w:rsidR="00100EAC" w:rsidRPr="00100EAC" w:rsidRDefault="000A01EF" w:rsidP="00FC0DF1">
      <w:pPr>
        <w:shd w:val="clear" w:color="auto" w:fill="FFFFFF"/>
        <w:jc w:val="both"/>
        <w:rPr>
          <w:rFonts w:ascii="Arial" w:hAnsi="Arial" w:cs="Arial"/>
          <w:szCs w:val="24"/>
        </w:rPr>
      </w:pPr>
      <w:r>
        <w:rPr>
          <w:rFonts w:ascii="Arial" w:hAnsi="Arial" w:cs="Arial"/>
          <w:szCs w:val="24"/>
        </w:rPr>
        <w:t xml:space="preserve">There is </w:t>
      </w:r>
      <w:r w:rsidR="001A41CB">
        <w:rPr>
          <w:rFonts w:ascii="Arial" w:hAnsi="Arial" w:cs="Arial"/>
          <w:szCs w:val="24"/>
        </w:rPr>
        <w:t>a 10-day</w:t>
      </w:r>
      <w:r>
        <w:rPr>
          <w:rFonts w:ascii="Arial" w:hAnsi="Arial" w:cs="Arial"/>
          <w:szCs w:val="24"/>
        </w:rPr>
        <w:t xml:space="preserve"> </w:t>
      </w:r>
      <w:r w:rsidR="001A41CB">
        <w:rPr>
          <w:rFonts w:ascii="Arial" w:hAnsi="Arial" w:cs="Arial"/>
          <w:szCs w:val="24"/>
        </w:rPr>
        <w:t>notice</w:t>
      </w:r>
      <w:r>
        <w:rPr>
          <w:rFonts w:ascii="Arial" w:hAnsi="Arial" w:cs="Arial"/>
          <w:szCs w:val="24"/>
        </w:rPr>
        <w:t xml:space="preserve"> requirement for </w:t>
      </w:r>
      <w:r w:rsidR="001A41CB">
        <w:rPr>
          <w:rFonts w:ascii="Arial" w:hAnsi="Arial" w:cs="Arial"/>
          <w:szCs w:val="24"/>
        </w:rPr>
        <w:t xml:space="preserve">Proposed Ordinance 2019-0137. </w:t>
      </w:r>
      <w:r w:rsidR="006D66EF">
        <w:rPr>
          <w:rFonts w:ascii="Arial" w:hAnsi="Arial" w:cs="Arial"/>
          <w:szCs w:val="24"/>
        </w:rPr>
        <w:t>Should action be taken on June 25, 2019 at the Budget and Financial Management Committee meeting, n</w:t>
      </w:r>
      <w:r w:rsidR="00B83A30">
        <w:rPr>
          <w:rFonts w:ascii="Arial" w:hAnsi="Arial" w:cs="Arial"/>
          <w:szCs w:val="24"/>
        </w:rPr>
        <w:t>otice will be published in the Seattle Times on June 26 with a</w:t>
      </w:r>
      <w:r w:rsidR="001A41CB">
        <w:rPr>
          <w:rFonts w:ascii="Arial" w:hAnsi="Arial" w:cs="Arial"/>
          <w:szCs w:val="24"/>
        </w:rPr>
        <w:t xml:space="preserve"> </w:t>
      </w:r>
      <w:r w:rsidR="006D66EF">
        <w:rPr>
          <w:rFonts w:ascii="Arial" w:hAnsi="Arial" w:cs="Arial"/>
          <w:szCs w:val="24"/>
        </w:rPr>
        <w:t xml:space="preserve">Full Council </w:t>
      </w:r>
      <w:r w:rsidR="001A41CB">
        <w:rPr>
          <w:rFonts w:ascii="Arial" w:hAnsi="Arial" w:cs="Arial"/>
          <w:szCs w:val="24"/>
        </w:rPr>
        <w:t xml:space="preserve">public </w:t>
      </w:r>
      <w:r w:rsidR="00B83A30">
        <w:rPr>
          <w:rFonts w:ascii="Arial" w:hAnsi="Arial" w:cs="Arial"/>
          <w:szCs w:val="24"/>
        </w:rPr>
        <w:t>hearing date of July 10, 2019</w:t>
      </w:r>
      <w:r w:rsidR="006D66EF">
        <w:rPr>
          <w:rFonts w:ascii="Arial" w:hAnsi="Arial" w:cs="Arial"/>
          <w:szCs w:val="24"/>
        </w:rPr>
        <w:t>.</w:t>
      </w:r>
    </w:p>
    <w:p w14:paraId="0E0D46B1" w14:textId="77777777" w:rsidR="00100EAC" w:rsidRDefault="00100EAC" w:rsidP="00FC0DF1">
      <w:pPr>
        <w:jc w:val="both"/>
        <w:rPr>
          <w:rFonts w:ascii="Arial" w:hAnsi="Arial" w:cs="Arial"/>
          <w:b/>
          <w:szCs w:val="24"/>
          <w:u w:val="single"/>
        </w:rPr>
      </w:pPr>
    </w:p>
    <w:p w14:paraId="345007BC" w14:textId="67F17940" w:rsidR="001B55DF" w:rsidRPr="00B64ADE" w:rsidRDefault="001B55DF" w:rsidP="00FC0DF1">
      <w:pPr>
        <w:pStyle w:val="BodyText"/>
        <w:ind w:left="360"/>
        <w:jc w:val="both"/>
        <w:rPr>
          <w:rFonts w:ascii="Arial" w:hAnsi="Arial" w:cs="Arial"/>
          <w:i w:val="0"/>
          <w:szCs w:val="24"/>
        </w:rPr>
      </w:pPr>
      <w:bookmarkStart w:id="0" w:name="_GoBack"/>
      <w:bookmarkEnd w:id="0"/>
    </w:p>
    <w:p w14:paraId="70A2A0CD" w14:textId="77777777" w:rsidR="001C4B19" w:rsidRPr="00B64ADE" w:rsidRDefault="001C4B19" w:rsidP="00FC0DF1">
      <w:pPr>
        <w:jc w:val="both"/>
        <w:rPr>
          <w:rFonts w:ascii="Arial" w:hAnsi="Arial" w:cs="Arial"/>
          <w:szCs w:val="24"/>
        </w:rPr>
      </w:pPr>
    </w:p>
    <w:sectPr w:rsidR="001C4B19" w:rsidRPr="00B64AD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0A3F" w14:textId="77777777" w:rsidR="009E5758" w:rsidRDefault="009E5758">
      <w:r>
        <w:separator/>
      </w:r>
    </w:p>
  </w:endnote>
  <w:endnote w:type="continuationSeparator" w:id="0">
    <w:p w14:paraId="7FD492AC" w14:textId="77777777" w:rsidR="009E5758" w:rsidRDefault="009E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219C"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7DC7"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51DB"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B8A5" w14:textId="77777777" w:rsidR="009E5758" w:rsidRDefault="009E5758">
      <w:r>
        <w:separator/>
      </w:r>
    </w:p>
  </w:footnote>
  <w:footnote w:type="continuationSeparator" w:id="0">
    <w:p w14:paraId="5C13C42C" w14:textId="77777777" w:rsidR="009E5758" w:rsidRDefault="009E5758">
      <w:r>
        <w:continuationSeparator/>
      </w:r>
    </w:p>
  </w:footnote>
  <w:footnote w:id="1">
    <w:p w14:paraId="5597B6DE" w14:textId="5E331579" w:rsidR="0048220A" w:rsidRDefault="0048220A" w:rsidP="0048220A">
      <w:pPr>
        <w:pStyle w:val="FootnoteText"/>
      </w:pPr>
      <w:r>
        <w:rPr>
          <w:rStyle w:val="FootnoteReference"/>
        </w:rPr>
        <w:footnoteRef/>
      </w:r>
      <w:r>
        <w:t xml:space="preserve"> The Public Records Committee </w:t>
      </w:r>
      <w:r w:rsidR="00A51535">
        <w:t xml:space="preserve">(PRC) </w:t>
      </w:r>
      <w:r>
        <w:t xml:space="preserve">was established in King County Code in 2006 by Ordinance 15608 </w:t>
      </w:r>
      <w:r w:rsidR="00A51535">
        <w:t>and appears</w:t>
      </w:r>
      <w:r>
        <w:t xml:space="preserve"> in K.C.C. 2.14.020. The PRC is chaired by the director of the Records and Licensing Services Division and </w:t>
      </w:r>
      <w:r w:rsidR="00A51535">
        <w:t>committee</w:t>
      </w:r>
      <w:r>
        <w:t xml:space="preserve"> membership is comprised of representatives from departments and elected agencies across King County government. The PRC is tasked with advising the King County Council and the County Executive on </w:t>
      </w:r>
      <w:r w:rsidR="00A51535">
        <w:t>public records policies, providing</w:t>
      </w:r>
      <w:r>
        <w:t xml:space="preserve"> guidance </w:t>
      </w:r>
      <w:r w:rsidR="00A51535">
        <w:t>on</w:t>
      </w:r>
      <w:r>
        <w:t xml:space="preserve"> countywide records storage management, and providing advice to County agencies on their use of digital communication.</w:t>
      </w:r>
    </w:p>
  </w:footnote>
  <w:footnote w:id="2">
    <w:p w14:paraId="77014021" w14:textId="77777777" w:rsidR="00746861" w:rsidRPr="005761BB" w:rsidRDefault="00746861" w:rsidP="00746861">
      <w:pPr>
        <w:pStyle w:val="FootnoteText"/>
      </w:pPr>
      <w:r>
        <w:rPr>
          <w:rStyle w:val="FootnoteReference"/>
        </w:rPr>
        <w:footnoteRef/>
      </w:r>
      <w:r>
        <w:t xml:space="preserve"> </w:t>
      </w:r>
      <w:r w:rsidRPr="005761BB">
        <w:t>RCW 42.56.010</w:t>
      </w:r>
      <w:r>
        <w:t xml:space="preserve"> </w:t>
      </w:r>
    </w:p>
  </w:footnote>
  <w:footnote w:id="3">
    <w:p w14:paraId="06062070" w14:textId="77777777" w:rsidR="00746861" w:rsidRPr="00746861" w:rsidRDefault="00746861" w:rsidP="00746861">
      <w:pPr>
        <w:pStyle w:val="FootnoteText"/>
      </w:pPr>
      <w:r>
        <w:rPr>
          <w:rStyle w:val="FootnoteReference"/>
        </w:rPr>
        <w:footnoteRef/>
      </w:r>
      <w:r>
        <w:t xml:space="preserve"> </w:t>
      </w:r>
      <w:r w:rsidRPr="00746861">
        <w:t>RCW 42.56.230 – 480</w:t>
      </w:r>
    </w:p>
  </w:footnote>
  <w:footnote w:id="4">
    <w:p w14:paraId="34171246" w14:textId="77777777" w:rsidR="00746861" w:rsidRDefault="00746861" w:rsidP="00746861">
      <w:pPr>
        <w:pStyle w:val="FootnoteText"/>
      </w:pPr>
      <w:r>
        <w:rPr>
          <w:rStyle w:val="FootnoteReference"/>
        </w:rPr>
        <w:footnoteRef/>
      </w:r>
      <w:r>
        <w:t xml:space="preserve"> </w:t>
      </w:r>
      <w:r w:rsidRPr="00746861">
        <w:t>RCW 42.56.150 and 42.56.152</w:t>
      </w:r>
    </w:p>
  </w:footnote>
  <w:footnote w:id="5">
    <w:p w14:paraId="1B96133E" w14:textId="342B0CEC" w:rsidR="00EA6E0E" w:rsidRPr="00EA6E0E" w:rsidRDefault="00EA6E0E" w:rsidP="00EA6E0E">
      <w:pPr>
        <w:pStyle w:val="FootnoteText"/>
      </w:pPr>
      <w:r>
        <w:rPr>
          <w:rStyle w:val="FootnoteReference"/>
        </w:rPr>
        <w:footnoteRef/>
      </w:r>
      <w:r>
        <w:t xml:space="preserve"> </w:t>
      </w:r>
      <w:r w:rsidRPr="00EA6E0E">
        <w:t>RCW 42.56.520</w:t>
      </w:r>
    </w:p>
  </w:footnote>
  <w:footnote w:id="6">
    <w:p w14:paraId="4D025297" w14:textId="2D84B562" w:rsidR="00B429F8" w:rsidRDefault="00B429F8">
      <w:pPr>
        <w:pStyle w:val="FootnoteText"/>
      </w:pPr>
      <w:r>
        <w:rPr>
          <w:rStyle w:val="FootnoteReference"/>
        </w:rPr>
        <w:footnoteRef/>
      </w:r>
      <w:r>
        <w:t xml:space="preserve"> </w:t>
      </w:r>
      <w:r w:rsidRPr="00B429F8">
        <w:t>RCW 42.56.120(2)(b)</w:t>
      </w:r>
    </w:p>
  </w:footnote>
  <w:footnote w:id="7">
    <w:p w14:paraId="792310AE" w14:textId="77777777" w:rsidR="00B73BC8" w:rsidRDefault="00B73BC8" w:rsidP="00B73BC8">
      <w:pPr>
        <w:pStyle w:val="FootnoteText"/>
      </w:pPr>
      <w:r>
        <w:rPr>
          <w:rStyle w:val="FootnoteReference"/>
        </w:rPr>
        <w:footnoteRef/>
      </w:r>
      <w:r>
        <w:t xml:space="preserve"> RCW 42.56.120.4</w:t>
      </w:r>
    </w:p>
  </w:footnote>
  <w:footnote w:id="8">
    <w:p w14:paraId="0F460295" w14:textId="77777777" w:rsidR="007703DF" w:rsidRDefault="007703DF" w:rsidP="007703DF">
      <w:pPr>
        <w:pStyle w:val="FootnoteText"/>
      </w:pPr>
      <w:r>
        <w:rPr>
          <w:rStyle w:val="FootnoteReference"/>
        </w:rPr>
        <w:footnoteRef/>
      </w:r>
      <w:r>
        <w:t xml:space="preserve"> RCW 42.56.120.2.b.iv</w:t>
      </w:r>
    </w:p>
  </w:footnote>
  <w:footnote w:id="9">
    <w:p w14:paraId="44CC1248" w14:textId="77777777" w:rsidR="001B07A5" w:rsidRDefault="001B07A5">
      <w:pPr>
        <w:pStyle w:val="FootnoteText"/>
      </w:pPr>
      <w:r>
        <w:rPr>
          <w:rStyle w:val="FootnoteReference"/>
        </w:rPr>
        <w:footnoteRef/>
      </w:r>
      <w:r>
        <w:t xml:space="preserve"> </w:t>
      </w:r>
      <w:r w:rsidRPr="001B07A5">
        <w:t>K.C.C. 2.12.300</w:t>
      </w:r>
    </w:p>
  </w:footnote>
  <w:footnote w:id="10">
    <w:p w14:paraId="63E63DBA" w14:textId="20DD4400" w:rsidR="006205C7" w:rsidRDefault="006205C7" w:rsidP="006205C7">
      <w:pPr>
        <w:pStyle w:val="FootnoteText"/>
      </w:pPr>
      <w:r>
        <w:rPr>
          <w:rStyle w:val="FootnoteReference"/>
        </w:rPr>
        <w:footnoteRef/>
      </w:r>
      <w:r>
        <w:t xml:space="preserve"> </w:t>
      </w:r>
      <w:r w:rsidR="000C523F">
        <w:t xml:space="preserve">According to the 2018 PRC annual report, </w:t>
      </w:r>
      <w:r>
        <w:t>there were 3,247 PRA requests</w:t>
      </w:r>
      <w:r w:rsidR="001E7321">
        <w:t xml:space="preserve"> of Executive Branch offices</w:t>
      </w:r>
      <w:r>
        <w:t>, 57 of which were not responded to within the five-day response window.</w:t>
      </w:r>
      <w:r w:rsidR="001E7321">
        <w:t xml:space="preserve"> This is 1.75% </w:t>
      </w:r>
      <w:r w:rsidR="00F3095E">
        <w:t>of requests.</w:t>
      </w:r>
    </w:p>
  </w:footnote>
  <w:footnote w:id="11">
    <w:p w14:paraId="12DB0627" w14:textId="00DB5EC2" w:rsidR="00A11844" w:rsidRDefault="00A11844">
      <w:pPr>
        <w:pStyle w:val="FootnoteText"/>
      </w:pPr>
      <w:r>
        <w:rPr>
          <w:rStyle w:val="FootnoteReference"/>
        </w:rPr>
        <w:footnoteRef/>
      </w:r>
      <w:r>
        <w:t xml:space="preserve"> </w:t>
      </w:r>
      <w:r w:rsidR="000C523F">
        <w:t xml:space="preserve">According to the 2018 PRC annual report, </w:t>
      </w:r>
      <w:r>
        <w:t>there were 3,247 PRA requests</w:t>
      </w:r>
      <w:r w:rsidR="001E7321" w:rsidRPr="001E7321">
        <w:t xml:space="preserve"> </w:t>
      </w:r>
      <w:r w:rsidR="001E7321">
        <w:t>of Executive Branch offices</w:t>
      </w:r>
      <w:r>
        <w:t xml:space="preserve">, </w:t>
      </w:r>
      <w:r w:rsidR="00131DA7">
        <w:t>136 of which were either closed or open six months or longer.</w:t>
      </w:r>
      <w:r w:rsidR="001E7321">
        <w:t xml:space="preserve"> This is 4.18%</w:t>
      </w:r>
      <w:r w:rsidR="00F3095E">
        <w:t xml:space="preserve"> of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81BF"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668F"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10D4" w14:textId="77777777" w:rsidR="00C75025" w:rsidRDefault="00C75025" w:rsidP="00C75025">
    <w:pPr>
      <w:jc w:val="center"/>
    </w:pPr>
    <w:r>
      <w:rPr>
        <w:noProof/>
      </w:rPr>
      <w:drawing>
        <wp:inline distT="0" distB="0" distL="0" distR="0" wp14:anchorId="16324253" wp14:editId="21272D4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DA2615D" w14:textId="77777777" w:rsidR="00C75025" w:rsidRPr="003B03EF" w:rsidRDefault="00C75025" w:rsidP="00C75025">
    <w:pPr>
      <w:jc w:val="center"/>
      <w:rPr>
        <w:rFonts w:ascii="Arial" w:hAnsi="Arial"/>
        <w:szCs w:val="22"/>
      </w:rPr>
    </w:pPr>
  </w:p>
  <w:p w14:paraId="597E308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917D1A7"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C16"/>
    <w:multiLevelType w:val="hybridMultilevel"/>
    <w:tmpl w:val="C3F625B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31A3"/>
    <w:multiLevelType w:val="hybridMultilevel"/>
    <w:tmpl w:val="EDE8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7333E"/>
    <w:multiLevelType w:val="hybridMultilevel"/>
    <w:tmpl w:val="33B8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63D6A"/>
    <w:multiLevelType w:val="hybridMultilevel"/>
    <w:tmpl w:val="97F06A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3351"/>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5948"/>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6A4"/>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7F"/>
    <w:rsid w:val="000940FB"/>
    <w:rsid w:val="000956D8"/>
    <w:rsid w:val="00095A14"/>
    <w:rsid w:val="000967D1"/>
    <w:rsid w:val="00097628"/>
    <w:rsid w:val="000976A4"/>
    <w:rsid w:val="00097FCF"/>
    <w:rsid w:val="000A01EF"/>
    <w:rsid w:val="000A0800"/>
    <w:rsid w:val="000A0835"/>
    <w:rsid w:val="000A0A31"/>
    <w:rsid w:val="000A26BF"/>
    <w:rsid w:val="000A4A4E"/>
    <w:rsid w:val="000A4B2B"/>
    <w:rsid w:val="000A4CB2"/>
    <w:rsid w:val="000A5F9C"/>
    <w:rsid w:val="000A5FD0"/>
    <w:rsid w:val="000A714D"/>
    <w:rsid w:val="000A73BE"/>
    <w:rsid w:val="000A78D8"/>
    <w:rsid w:val="000A7CCC"/>
    <w:rsid w:val="000A7E01"/>
    <w:rsid w:val="000B0291"/>
    <w:rsid w:val="000B3172"/>
    <w:rsid w:val="000B5EC9"/>
    <w:rsid w:val="000B650C"/>
    <w:rsid w:val="000B70C3"/>
    <w:rsid w:val="000C20E2"/>
    <w:rsid w:val="000C299B"/>
    <w:rsid w:val="000C311D"/>
    <w:rsid w:val="000C44B1"/>
    <w:rsid w:val="000C4BA4"/>
    <w:rsid w:val="000C4E99"/>
    <w:rsid w:val="000C4E9C"/>
    <w:rsid w:val="000C523F"/>
    <w:rsid w:val="000C6442"/>
    <w:rsid w:val="000C6F99"/>
    <w:rsid w:val="000D077F"/>
    <w:rsid w:val="000D097E"/>
    <w:rsid w:val="000D0F7A"/>
    <w:rsid w:val="000D4A15"/>
    <w:rsid w:val="000D5202"/>
    <w:rsid w:val="000D6835"/>
    <w:rsid w:val="000D6C72"/>
    <w:rsid w:val="000E0684"/>
    <w:rsid w:val="000E1BAB"/>
    <w:rsid w:val="000E1CD3"/>
    <w:rsid w:val="000E4781"/>
    <w:rsid w:val="000E7718"/>
    <w:rsid w:val="000E7EFC"/>
    <w:rsid w:val="000F29F5"/>
    <w:rsid w:val="000F4DCA"/>
    <w:rsid w:val="000F5E4A"/>
    <w:rsid w:val="00100EAC"/>
    <w:rsid w:val="00103094"/>
    <w:rsid w:val="00105382"/>
    <w:rsid w:val="0010576B"/>
    <w:rsid w:val="00106179"/>
    <w:rsid w:val="001062E7"/>
    <w:rsid w:val="001074C3"/>
    <w:rsid w:val="00110AC4"/>
    <w:rsid w:val="00111799"/>
    <w:rsid w:val="00113B09"/>
    <w:rsid w:val="0011726E"/>
    <w:rsid w:val="00117D3D"/>
    <w:rsid w:val="00121D0A"/>
    <w:rsid w:val="0012573D"/>
    <w:rsid w:val="00126322"/>
    <w:rsid w:val="00131D0E"/>
    <w:rsid w:val="00131DA7"/>
    <w:rsid w:val="001320CB"/>
    <w:rsid w:val="0013286C"/>
    <w:rsid w:val="00132C16"/>
    <w:rsid w:val="00132DFC"/>
    <w:rsid w:val="00132FA5"/>
    <w:rsid w:val="00133981"/>
    <w:rsid w:val="0013486D"/>
    <w:rsid w:val="0013536B"/>
    <w:rsid w:val="0013537B"/>
    <w:rsid w:val="00136122"/>
    <w:rsid w:val="00137469"/>
    <w:rsid w:val="00137B21"/>
    <w:rsid w:val="00137F77"/>
    <w:rsid w:val="001404CF"/>
    <w:rsid w:val="00140D86"/>
    <w:rsid w:val="00141B7A"/>
    <w:rsid w:val="001426ED"/>
    <w:rsid w:val="00142F7E"/>
    <w:rsid w:val="001440C8"/>
    <w:rsid w:val="001440E6"/>
    <w:rsid w:val="001451C9"/>
    <w:rsid w:val="00145D77"/>
    <w:rsid w:val="001463CF"/>
    <w:rsid w:val="001509B2"/>
    <w:rsid w:val="0015229A"/>
    <w:rsid w:val="00152D09"/>
    <w:rsid w:val="0015494A"/>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84B"/>
    <w:rsid w:val="001969F5"/>
    <w:rsid w:val="00196D35"/>
    <w:rsid w:val="00197513"/>
    <w:rsid w:val="001A0924"/>
    <w:rsid w:val="001A1721"/>
    <w:rsid w:val="001A1D18"/>
    <w:rsid w:val="001A1F93"/>
    <w:rsid w:val="001A2421"/>
    <w:rsid w:val="001A3BDD"/>
    <w:rsid w:val="001A41CB"/>
    <w:rsid w:val="001A4D65"/>
    <w:rsid w:val="001A5603"/>
    <w:rsid w:val="001A5669"/>
    <w:rsid w:val="001A69FC"/>
    <w:rsid w:val="001A6DC2"/>
    <w:rsid w:val="001A79D0"/>
    <w:rsid w:val="001B07A5"/>
    <w:rsid w:val="001B4E6F"/>
    <w:rsid w:val="001B55DF"/>
    <w:rsid w:val="001B65A3"/>
    <w:rsid w:val="001B6C67"/>
    <w:rsid w:val="001B7023"/>
    <w:rsid w:val="001C0CD3"/>
    <w:rsid w:val="001C254D"/>
    <w:rsid w:val="001C2FA3"/>
    <w:rsid w:val="001C4B19"/>
    <w:rsid w:val="001C4EAE"/>
    <w:rsid w:val="001D0111"/>
    <w:rsid w:val="001D15FF"/>
    <w:rsid w:val="001D2B3A"/>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321"/>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AB1"/>
    <w:rsid w:val="00261493"/>
    <w:rsid w:val="00261750"/>
    <w:rsid w:val="00261E2C"/>
    <w:rsid w:val="0026334C"/>
    <w:rsid w:val="00264BE1"/>
    <w:rsid w:val="00265D03"/>
    <w:rsid w:val="00265EB7"/>
    <w:rsid w:val="00270412"/>
    <w:rsid w:val="00270739"/>
    <w:rsid w:val="002720F5"/>
    <w:rsid w:val="00272475"/>
    <w:rsid w:val="0027313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3A"/>
    <w:rsid w:val="002D1993"/>
    <w:rsid w:val="002D4DF9"/>
    <w:rsid w:val="002D6D64"/>
    <w:rsid w:val="002D7F1C"/>
    <w:rsid w:val="002E0EBA"/>
    <w:rsid w:val="002E4150"/>
    <w:rsid w:val="002E5E9A"/>
    <w:rsid w:val="002E6164"/>
    <w:rsid w:val="002E61CB"/>
    <w:rsid w:val="002E6554"/>
    <w:rsid w:val="002E6838"/>
    <w:rsid w:val="002E71BD"/>
    <w:rsid w:val="002F2EA1"/>
    <w:rsid w:val="002F3DFD"/>
    <w:rsid w:val="002F6129"/>
    <w:rsid w:val="003002EE"/>
    <w:rsid w:val="00301EF5"/>
    <w:rsid w:val="00302F3E"/>
    <w:rsid w:val="0030380F"/>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5BAF"/>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3E7"/>
    <w:rsid w:val="00361436"/>
    <w:rsid w:val="003616DB"/>
    <w:rsid w:val="00362BC8"/>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DE"/>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2C7D"/>
    <w:rsid w:val="003F3805"/>
    <w:rsid w:val="003F635B"/>
    <w:rsid w:val="003F7F18"/>
    <w:rsid w:val="004004FE"/>
    <w:rsid w:val="00400A17"/>
    <w:rsid w:val="00400C1C"/>
    <w:rsid w:val="00401E29"/>
    <w:rsid w:val="00402D08"/>
    <w:rsid w:val="00403695"/>
    <w:rsid w:val="00404F31"/>
    <w:rsid w:val="00405402"/>
    <w:rsid w:val="004079CC"/>
    <w:rsid w:val="0041006C"/>
    <w:rsid w:val="00410D1B"/>
    <w:rsid w:val="00413BB8"/>
    <w:rsid w:val="0041435C"/>
    <w:rsid w:val="00415029"/>
    <w:rsid w:val="00415C99"/>
    <w:rsid w:val="004164CB"/>
    <w:rsid w:val="00416EC1"/>
    <w:rsid w:val="00421A90"/>
    <w:rsid w:val="00421B59"/>
    <w:rsid w:val="00421D84"/>
    <w:rsid w:val="00422570"/>
    <w:rsid w:val="00422ED9"/>
    <w:rsid w:val="00423F29"/>
    <w:rsid w:val="00424662"/>
    <w:rsid w:val="0042573A"/>
    <w:rsid w:val="00426722"/>
    <w:rsid w:val="00430DF8"/>
    <w:rsid w:val="00431EEF"/>
    <w:rsid w:val="00433E5C"/>
    <w:rsid w:val="004349B7"/>
    <w:rsid w:val="00436DD2"/>
    <w:rsid w:val="0043717B"/>
    <w:rsid w:val="00437287"/>
    <w:rsid w:val="004412EB"/>
    <w:rsid w:val="00447B01"/>
    <w:rsid w:val="00450155"/>
    <w:rsid w:val="0045274D"/>
    <w:rsid w:val="00452DA1"/>
    <w:rsid w:val="00454999"/>
    <w:rsid w:val="00455FE6"/>
    <w:rsid w:val="00456257"/>
    <w:rsid w:val="00457A7E"/>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220A"/>
    <w:rsid w:val="00483F1A"/>
    <w:rsid w:val="0048608E"/>
    <w:rsid w:val="0048657D"/>
    <w:rsid w:val="00486B52"/>
    <w:rsid w:val="0048715C"/>
    <w:rsid w:val="00487295"/>
    <w:rsid w:val="00490068"/>
    <w:rsid w:val="004900A4"/>
    <w:rsid w:val="00490B18"/>
    <w:rsid w:val="004919C6"/>
    <w:rsid w:val="004927DD"/>
    <w:rsid w:val="00493737"/>
    <w:rsid w:val="00494B53"/>
    <w:rsid w:val="00495152"/>
    <w:rsid w:val="00495F54"/>
    <w:rsid w:val="00496D6B"/>
    <w:rsid w:val="004973DF"/>
    <w:rsid w:val="004A106A"/>
    <w:rsid w:val="004A139B"/>
    <w:rsid w:val="004A1529"/>
    <w:rsid w:val="004A16D6"/>
    <w:rsid w:val="004A3EEF"/>
    <w:rsid w:val="004A4A91"/>
    <w:rsid w:val="004A56A4"/>
    <w:rsid w:val="004A59B3"/>
    <w:rsid w:val="004A764A"/>
    <w:rsid w:val="004B0159"/>
    <w:rsid w:val="004B0325"/>
    <w:rsid w:val="004B0743"/>
    <w:rsid w:val="004B0F80"/>
    <w:rsid w:val="004B21CD"/>
    <w:rsid w:val="004B33BC"/>
    <w:rsid w:val="004B5D19"/>
    <w:rsid w:val="004B74B3"/>
    <w:rsid w:val="004C083D"/>
    <w:rsid w:val="004C1D63"/>
    <w:rsid w:val="004C20B1"/>
    <w:rsid w:val="004C241A"/>
    <w:rsid w:val="004C2642"/>
    <w:rsid w:val="004C2A6B"/>
    <w:rsid w:val="004C3D3A"/>
    <w:rsid w:val="004C4AA8"/>
    <w:rsid w:val="004C4F9F"/>
    <w:rsid w:val="004C570A"/>
    <w:rsid w:val="004C76FB"/>
    <w:rsid w:val="004D160D"/>
    <w:rsid w:val="004D24D7"/>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2709"/>
    <w:rsid w:val="00554CE6"/>
    <w:rsid w:val="00554DD2"/>
    <w:rsid w:val="00554E38"/>
    <w:rsid w:val="005572A4"/>
    <w:rsid w:val="00557EA9"/>
    <w:rsid w:val="0056091F"/>
    <w:rsid w:val="00560D50"/>
    <w:rsid w:val="00561804"/>
    <w:rsid w:val="00561E7C"/>
    <w:rsid w:val="005621CF"/>
    <w:rsid w:val="0056311F"/>
    <w:rsid w:val="005646BE"/>
    <w:rsid w:val="00564B10"/>
    <w:rsid w:val="00564DEE"/>
    <w:rsid w:val="00565716"/>
    <w:rsid w:val="005670E3"/>
    <w:rsid w:val="005676A9"/>
    <w:rsid w:val="00567752"/>
    <w:rsid w:val="0057198B"/>
    <w:rsid w:val="00571FF0"/>
    <w:rsid w:val="00575B03"/>
    <w:rsid w:val="005761BB"/>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6B29"/>
    <w:rsid w:val="005A7B2A"/>
    <w:rsid w:val="005A7E12"/>
    <w:rsid w:val="005B0541"/>
    <w:rsid w:val="005B0FD8"/>
    <w:rsid w:val="005B3834"/>
    <w:rsid w:val="005B478C"/>
    <w:rsid w:val="005B7D1A"/>
    <w:rsid w:val="005C2394"/>
    <w:rsid w:val="005C2A74"/>
    <w:rsid w:val="005C44C6"/>
    <w:rsid w:val="005C4BCC"/>
    <w:rsid w:val="005C624B"/>
    <w:rsid w:val="005D056C"/>
    <w:rsid w:val="005E4260"/>
    <w:rsid w:val="005E440F"/>
    <w:rsid w:val="005E59DE"/>
    <w:rsid w:val="005E611A"/>
    <w:rsid w:val="005E7CF0"/>
    <w:rsid w:val="005F27C6"/>
    <w:rsid w:val="005F2888"/>
    <w:rsid w:val="005F3150"/>
    <w:rsid w:val="005F3567"/>
    <w:rsid w:val="005F4BDA"/>
    <w:rsid w:val="005F4C27"/>
    <w:rsid w:val="005F4EAE"/>
    <w:rsid w:val="005F5668"/>
    <w:rsid w:val="005F5CE9"/>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709"/>
    <w:rsid w:val="006131AB"/>
    <w:rsid w:val="00615547"/>
    <w:rsid w:val="00616C01"/>
    <w:rsid w:val="006201B7"/>
    <w:rsid w:val="0062055D"/>
    <w:rsid w:val="006205C7"/>
    <w:rsid w:val="00623245"/>
    <w:rsid w:val="006233C8"/>
    <w:rsid w:val="00623E0D"/>
    <w:rsid w:val="00626066"/>
    <w:rsid w:val="006270DE"/>
    <w:rsid w:val="006315D7"/>
    <w:rsid w:val="006317CD"/>
    <w:rsid w:val="0063186B"/>
    <w:rsid w:val="00632319"/>
    <w:rsid w:val="00632ED8"/>
    <w:rsid w:val="00641390"/>
    <w:rsid w:val="0064148A"/>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EB2"/>
    <w:rsid w:val="006664C0"/>
    <w:rsid w:val="0066783A"/>
    <w:rsid w:val="006715A0"/>
    <w:rsid w:val="00671BEF"/>
    <w:rsid w:val="00672FE2"/>
    <w:rsid w:val="00675900"/>
    <w:rsid w:val="006759DE"/>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4EC1"/>
    <w:rsid w:val="006B577E"/>
    <w:rsid w:val="006B6B31"/>
    <w:rsid w:val="006B7D68"/>
    <w:rsid w:val="006B7DA0"/>
    <w:rsid w:val="006C0C61"/>
    <w:rsid w:val="006C1861"/>
    <w:rsid w:val="006C7139"/>
    <w:rsid w:val="006C71C9"/>
    <w:rsid w:val="006D1FAB"/>
    <w:rsid w:val="006D3174"/>
    <w:rsid w:val="006D4A90"/>
    <w:rsid w:val="006D4F7F"/>
    <w:rsid w:val="006D5B17"/>
    <w:rsid w:val="006D66EF"/>
    <w:rsid w:val="006D6BEA"/>
    <w:rsid w:val="006D6C04"/>
    <w:rsid w:val="006D7272"/>
    <w:rsid w:val="006E1DED"/>
    <w:rsid w:val="006E3EC7"/>
    <w:rsid w:val="006E7771"/>
    <w:rsid w:val="006F129F"/>
    <w:rsid w:val="006F4AD3"/>
    <w:rsid w:val="006F5E92"/>
    <w:rsid w:val="006F62F4"/>
    <w:rsid w:val="006F7148"/>
    <w:rsid w:val="006F715B"/>
    <w:rsid w:val="006F74E7"/>
    <w:rsid w:val="0070094F"/>
    <w:rsid w:val="007014C3"/>
    <w:rsid w:val="0070235C"/>
    <w:rsid w:val="00703B2A"/>
    <w:rsid w:val="0070539F"/>
    <w:rsid w:val="00705D32"/>
    <w:rsid w:val="00706E67"/>
    <w:rsid w:val="007100C0"/>
    <w:rsid w:val="00711A85"/>
    <w:rsid w:val="00711DBF"/>
    <w:rsid w:val="00716FDD"/>
    <w:rsid w:val="00717E7F"/>
    <w:rsid w:val="007216BF"/>
    <w:rsid w:val="007219D8"/>
    <w:rsid w:val="007221E1"/>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DDB"/>
    <w:rsid w:val="00746861"/>
    <w:rsid w:val="007470ED"/>
    <w:rsid w:val="00750388"/>
    <w:rsid w:val="0075061B"/>
    <w:rsid w:val="007506B8"/>
    <w:rsid w:val="007532A9"/>
    <w:rsid w:val="00753E84"/>
    <w:rsid w:val="00755A77"/>
    <w:rsid w:val="00755B13"/>
    <w:rsid w:val="00755C37"/>
    <w:rsid w:val="00756DB3"/>
    <w:rsid w:val="007574DF"/>
    <w:rsid w:val="007607D5"/>
    <w:rsid w:val="007635B2"/>
    <w:rsid w:val="0076386D"/>
    <w:rsid w:val="007649DA"/>
    <w:rsid w:val="00765EB5"/>
    <w:rsid w:val="00767B3E"/>
    <w:rsid w:val="007703DF"/>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A796F"/>
    <w:rsid w:val="007B015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0ABD"/>
    <w:rsid w:val="007E3231"/>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FDE"/>
    <w:rsid w:val="00837104"/>
    <w:rsid w:val="008376FD"/>
    <w:rsid w:val="008444FD"/>
    <w:rsid w:val="008455FA"/>
    <w:rsid w:val="0084565D"/>
    <w:rsid w:val="008462F0"/>
    <w:rsid w:val="00846649"/>
    <w:rsid w:val="00855067"/>
    <w:rsid w:val="00855EED"/>
    <w:rsid w:val="00860271"/>
    <w:rsid w:val="00864C8A"/>
    <w:rsid w:val="00867662"/>
    <w:rsid w:val="00867DEB"/>
    <w:rsid w:val="00870122"/>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9D6"/>
    <w:rsid w:val="00885C43"/>
    <w:rsid w:val="00886402"/>
    <w:rsid w:val="00887986"/>
    <w:rsid w:val="00892075"/>
    <w:rsid w:val="00892A2F"/>
    <w:rsid w:val="0089377A"/>
    <w:rsid w:val="00894CDD"/>
    <w:rsid w:val="00897140"/>
    <w:rsid w:val="008A142F"/>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EED"/>
    <w:rsid w:val="008D07F4"/>
    <w:rsid w:val="008D125C"/>
    <w:rsid w:val="008D2884"/>
    <w:rsid w:val="008D2E17"/>
    <w:rsid w:val="008D460A"/>
    <w:rsid w:val="008D79B2"/>
    <w:rsid w:val="008D7ED0"/>
    <w:rsid w:val="008E2972"/>
    <w:rsid w:val="008E30E9"/>
    <w:rsid w:val="008E5F44"/>
    <w:rsid w:val="008F1612"/>
    <w:rsid w:val="008F18D1"/>
    <w:rsid w:val="008F3077"/>
    <w:rsid w:val="008F4FEE"/>
    <w:rsid w:val="008F5106"/>
    <w:rsid w:val="008F5B95"/>
    <w:rsid w:val="00902256"/>
    <w:rsid w:val="0090274A"/>
    <w:rsid w:val="00903C11"/>
    <w:rsid w:val="00904115"/>
    <w:rsid w:val="00905154"/>
    <w:rsid w:val="00905286"/>
    <w:rsid w:val="009114C1"/>
    <w:rsid w:val="00913CC9"/>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086"/>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5B"/>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837"/>
    <w:rsid w:val="009B29D4"/>
    <w:rsid w:val="009B2F8B"/>
    <w:rsid w:val="009B3570"/>
    <w:rsid w:val="009B3672"/>
    <w:rsid w:val="009B4DBC"/>
    <w:rsid w:val="009B50B9"/>
    <w:rsid w:val="009B56EA"/>
    <w:rsid w:val="009B6861"/>
    <w:rsid w:val="009B738F"/>
    <w:rsid w:val="009C0CBB"/>
    <w:rsid w:val="009C10DE"/>
    <w:rsid w:val="009C245A"/>
    <w:rsid w:val="009C3B05"/>
    <w:rsid w:val="009C516E"/>
    <w:rsid w:val="009C597F"/>
    <w:rsid w:val="009C69CB"/>
    <w:rsid w:val="009C7DC6"/>
    <w:rsid w:val="009D2122"/>
    <w:rsid w:val="009D2DE6"/>
    <w:rsid w:val="009D48A1"/>
    <w:rsid w:val="009D48CE"/>
    <w:rsid w:val="009D4FCF"/>
    <w:rsid w:val="009D55BB"/>
    <w:rsid w:val="009E2C15"/>
    <w:rsid w:val="009E3F80"/>
    <w:rsid w:val="009E3FF6"/>
    <w:rsid w:val="009E5758"/>
    <w:rsid w:val="009E652E"/>
    <w:rsid w:val="009F356D"/>
    <w:rsid w:val="009F5577"/>
    <w:rsid w:val="009F5EAF"/>
    <w:rsid w:val="00A02216"/>
    <w:rsid w:val="00A0380E"/>
    <w:rsid w:val="00A06458"/>
    <w:rsid w:val="00A06776"/>
    <w:rsid w:val="00A07959"/>
    <w:rsid w:val="00A11844"/>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027"/>
    <w:rsid w:val="00A34277"/>
    <w:rsid w:val="00A347A7"/>
    <w:rsid w:val="00A35E0F"/>
    <w:rsid w:val="00A3643F"/>
    <w:rsid w:val="00A40E9F"/>
    <w:rsid w:val="00A415A9"/>
    <w:rsid w:val="00A42F0C"/>
    <w:rsid w:val="00A4406D"/>
    <w:rsid w:val="00A446FC"/>
    <w:rsid w:val="00A46752"/>
    <w:rsid w:val="00A51535"/>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831"/>
    <w:rsid w:val="00A77CB9"/>
    <w:rsid w:val="00A810B0"/>
    <w:rsid w:val="00A81830"/>
    <w:rsid w:val="00A8219B"/>
    <w:rsid w:val="00A8300F"/>
    <w:rsid w:val="00A8690E"/>
    <w:rsid w:val="00A871D1"/>
    <w:rsid w:val="00A90FF6"/>
    <w:rsid w:val="00A914CD"/>
    <w:rsid w:val="00A93095"/>
    <w:rsid w:val="00A94108"/>
    <w:rsid w:val="00A95CCF"/>
    <w:rsid w:val="00A964C7"/>
    <w:rsid w:val="00AA01C6"/>
    <w:rsid w:val="00AA21D6"/>
    <w:rsid w:val="00AA29A0"/>
    <w:rsid w:val="00AA3737"/>
    <w:rsid w:val="00AA38AF"/>
    <w:rsid w:val="00AA74D0"/>
    <w:rsid w:val="00AA78B7"/>
    <w:rsid w:val="00AA78FE"/>
    <w:rsid w:val="00AA7ACA"/>
    <w:rsid w:val="00AB0779"/>
    <w:rsid w:val="00AB0E45"/>
    <w:rsid w:val="00AB2549"/>
    <w:rsid w:val="00AB546C"/>
    <w:rsid w:val="00AB5D11"/>
    <w:rsid w:val="00AB62CD"/>
    <w:rsid w:val="00AB6323"/>
    <w:rsid w:val="00AB745F"/>
    <w:rsid w:val="00AB7EDB"/>
    <w:rsid w:val="00AC1CD2"/>
    <w:rsid w:val="00AC4C21"/>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989"/>
    <w:rsid w:val="00B23B35"/>
    <w:rsid w:val="00B23E7A"/>
    <w:rsid w:val="00B2456C"/>
    <w:rsid w:val="00B24961"/>
    <w:rsid w:val="00B276F7"/>
    <w:rsid w:val="00B32CF9"/>
    <w:rsid w:val="00B33ED2"/>
    <w:rsid w:val="00B34180"/>
    <w:rsid w:val="00B37B8A"/>
    <w:rsid w:val="00B40D25"/>
    <w:rsid w:val="00B410AF"/>
    <w:rsid w:val="00B418C2"/>
    <w:rsid w:val="00B424FA"/>
    <w:rsid w:val="00B429F8"/>
    <w:rsid w:val="00B445B5"/>
    <w:rsid w:val="00B46027"/>
    <w:rsid w:val="00B47954"/>
    <w:rsid w:val="00B5059B"/>
    <w:rsid w:val="00B51CA8"/>
    <w:rsid w:val="00B51EFC"/>
    <w:rsid w:val="00B5298C"/>
    <w:rsid w:val="00B6024C"/>
    <w:rsid w:val="00B614E7"/>
    <w:rsid w:val="00B64ADE"/>
    <w:rsid w:val="00B65EB6"/>
    <w:rsid w:val="00B66304"/>
    <w:rsid w:val="00B701FA"/>
    <w:rsid w:val="00B709CE"/>
    <w:rsid w:val="00B71C54"/>
    <w:rsid w:val="00B71C6D"/>
    <w:rsid w:val="00B72103"/>
    <w:rsid w:val="00B7271E"/>
    <w:rsid w:val="00B72A04"/>
    <w:rsid w:val="00B73BC8"/>
    <w:rsid w:val="00B7435C"/>
    <w:rsid w:val="00B743A1"/>
    <w:rsid w:val="00B75D49"/>
    <w:rsid w:val="00B76422"/>
    <w:rsid w:val="00B766D7"/>
    <w:rsid w:val="00B77981"/>
    <w:rsid w:val="00B80676"/>
    <w:rsid w:val="00B80EAC"/>
    <w:rsid w:val="00B8185B"/>
    <w:rsid w:val="00B823E4"/>
    <w:rsid w:val="00B82F0D"/>
    <w:rsid w:val="00B83A30"/>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0AC7"/>
    <w:rsid w:val="00BD1F11"/>
    <w:rsid w:val="00BD1FE3"/>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2ECE"/>
    <w:rsid w:val="00C133A1"/>
    <w:rsid w:val="00C1438C"/>
    <w:rsid w:val="00C147F0"/>
    <w:rsid w:val="00C14F77"/>
    <w:rsid w:val="00C160A3"/>
    <w:rsid w:val="00C1790C"/>
    <w:rsid w:val="00C17CB7"/>
    <w:rsid w:val="00C2027E"/>
    <w:rsid w:val="00C21D20"/>
    <w:rsid w:val="00C24296"/>
    <w:rsid w:val="00C2460A"/>
    <w:rsid w:val="00C2551D"/>
    <w:rsid w:val="00C26326"/>
    <w:rsid w:val="00C26D26"/>
    <w:rsid w:val="00C27F02"/>
    <w:rsid w:val="00C30C8A"/>
    <w:rsid w:val="00C315A7"/>
    <w:rsid w:val="00C3183B"/>
    <w:rsid w:val="00C3244B"/>
    <w:rsid w:val="00C33421"/>
    <w:rsid w:val="00C342C0"/>
    <w:rsid w:val="00C35A36"/>
    <w:rsid w:val="00C36D52"/>
    <w:rsid w:val="00C37A37"/>
    <w:rsid w:val="00C40BAD"/>
    <w:rsid w:val="00C42A4E"/>
    <w:rsid w:val="00C43325"/>
    <w:rsid w:val="00C44166"/>
    <w:rsid w:val="00C44FB5"/>
    <w:rsid w:val="00C45222"/>
    <w:rsid w:val="00C4548C"/>
    <w:rsid w:val="00C45801"/>
    <w:rsid w:val="00C46A40"/>
    <w:rsid w:val="00C46FBA"/>
    <w:rsid w:val="00C475FD"/>
    <w:rsid w:val="00C479C7"/>
    <w:rsid w:val="00C47D08"/>
    <w:rsid w:val="00C50DBA"/>
    <w:rsid w:val="00C512E2"/>
    <w:rsid w:val="00C5212E"/>
    <w:rsid w:val="00C521D8"/>
    <w:rsid w:val="00C538F7"/>
    <w:rsid w:val="00C54D05"/>
    <w:rsid w:val="00C56497"/>
    <w:rsid w:val="00C57065"/>
    <w:rsid w:val="00C574BA"/>
    <w:rsid w:val="00C57C4A"/>
    <w:rsid w:val="00C6131D"/>
    <w:rsid w:val="00C62C87"/>
    <w:rsid w:val="00C635C0"/>
    <w:rsid w:val="00C64A17"/>
    <w:rsid w:val="00C70D06"/>
    <w:rsid w:val="00C71C5B"/>
    <w:rsid w:val="00C71D66"/>
    <w:rsid w:val="00C727F9"/>
    <w:rsid w:val="00C72AEF"/>
    <w:rsid w:val="00C731F0"/>
    <w:rsid w:val="00C74043"/>
    <w:rsid w:val="00C74F26"/>
    <w:rsid w:val="00C75025"/>
    <w:rsid w:val="00C7503E"/>
    <w:rsid w:val="00C75E36"/>
    <w:rsid w:val="00C771DE"/>
    <w:rsid w:val="00C814A3"/>
    <w:rsid w:val="00C81634"/>
    <w:rsid w:val="00C81879"/>
    <w:rsid w:val="00C822A0"/>
    <w:rsid w:val="00C82DDC"/>
    <w:rsid w:val="00C8489E"/>
    <w:rsid w:val="00C84D9E"/>
    <w:rsid w:val="00C85437"/>
    <w:rsid w:val="00C856CB"/>
    <w:rsid w:val="00C8595A"/>
    <w:rsid w:val="00C86972"/>
    <w:rsid w:val="00C9201A"/>
    <w:rsid w:val="00C953AF"/>
    <w:rsid w:val="00C96E22"/>
    <w:rsid w:val="00C97211"/>
    <w:rsid w:val="00C9726A"/>
    <w:rsid w:val="00C975AC"/>
    <w:rsid w:val="00C976B6"/>
    <w:rsid w:val="00C977E5"/>
    <w:rsid w:val="00CA0067"/>
    <w:rsid w:val="00CA0929"/>
    <w:rsid w:val="00CA0C81"/>
    <w:rsid w:val="00CA1DB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8DC"/>
    <w:rsid w:val="00CE1F3A"/>
    <w:rsid w:val="00CE3A29"/>
    <w:rsid w:val="00CE74FD"/>
    <w:rsid w:val="00CE792B"/>
    <w:rsid w:val="00CE7E1D"/>
    <w:rsid w:val="00CF079B"/>
    <w:rsid w:val="00CF1D35"/>
    <w:rsid w:val="00CF3EB9"/>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6543"/>
    <w:rsid w:val="00D278B5"/>
    <w:rsid w:val="00D31BCF"/>
    <w:rsid w:val="00D3323E"/>
    <w:rsid w:val="00D341C4"/>
    <w:rsid w:val="00D361E1"/>
    <w:rsid w:val="00D37B5C"/>
    <w:rsid w:val="00D37BBD"/>
    <w:rsid w:val="00D40474"/>
    <w:rsid w:val="00D41340"/>
    <w:rsid w:val="00D413F7"/>
    <w:rsid w:val="00D4155B"/>
    <w:rsid w:val="00D45063"/>
    <w:rsid w:val="00D475C8"/>
    <w:rsid w:val="00D60064"/>
    <w:rsid w:val="00D6024D"/>
    <w:rsid w:val="00D61327"/>
    <w:rsid w:val="00D6181B"/>
    <w:rsid w:val="00D63329"/>
    <w:rsid w:val="00D63A1D"/>
    <w:rsid w:val="00D64838"/>
    <w:rsid w:val="00D652F6"/>
    <w:rsid w:val="00D65414"/>
    <w:rsid w:val="00D706C7"/>
    <w:rsid w:val="00D70725"/>
    <w:rsid w:val="00D70AEC"/>
    <w:rsid w:val="00D72AE4"/>
    <w:rsid w:val="00D742A4"/>
    <w:rsid w:val="00D744E8"/>
    <w:rsid w:val="00D75405"/>
    <w:rsid w:val="00D755CA"/>
    <w:rsid w:val="00D76D98"/>
    <w:rsid w:val="00D80A14"/>
    <w:rsid w:val="00D80AAF"/>
    <w:rsid w:val="00D80CF2"/>
    <w:rsid w:val="00D81229"/>
    <w:rsid w:val="00D83FC8"/>
    <w:rsid w:val="00D84386"/>
    <w:rsid w:val="00D848AB"/>
    <w:rsid w:val="00D910BA"/>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3F5"/>
    <w:rsid w:val="00DB3B68"/>
    <w:rsid w:val="00DB4590"/>
    <w:rsid w:val="00DB4DFD"/>
    <w:rsid w:val="00DB50C7"/>
    <w:rsid w:val="00DB6A20"/>
    <w:rsid w:val="00DC0EB7"/>
    <w:rsid w:val="00DC15FF"/>
    <w:rsid w:val="00DC1F18"/>
    <w:rsid w:val="00DC1F8D"/>
    <w:rsid w:val="00DC4642"/>
    <w:rsid w:val="00DC48D5"/>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04A"/>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72C"/>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2C0A"/>
    <w:rsid w:val="00E6300F"/>
    <w:rsid w:val="00E63B4A"/>
    <w:rsid w:val="00E70A10"/>
    <w:rsid w:val="00E70BBC"/>
    <w:rsid w:val="00E7163A"/>
    <w:rsid w:val="00E723C8"/>
    <w:rsid w:val="00E748D9"/>
    <w:rsid w:val="00E75041"/>
    <w:rsid w:val="00E75710"/>
    <w:rsid w:val="00E75A6E"/>
    <w:rsid w:val="00E773DF"/>
    <w:rsid w:val="00E77788"/>
    <w:rsid w:val="00E77973"/>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A6E0E"/>
    <w:rsid w:val="00EB1647"/>
    <w:rsid w:val="00EB1EDE"/>
    <w:rsid w:val="00EB2C3E"/>
    <w:rsid w:val="00EB474B"/>
    <w:rsid w:val="00EB5A13"/>
    <w:rsid w:val="00EC11DC"/>
    <w:rsid w:val="00EC1332"/>
    <w:rsid w:val="00EC2659"/>
    <w:rsid w:val="00EC29CC"/>
    <w:rsid w:val="00ED0178"/>
    <w:rsid w:val="00ED187C"/>
    <w:rsid w:val="00ED1C6C"/>
    <w:rsid w:val="00ED4C66"/>
    <w:rsid w:val="00ED520F"/>
    <w:rsid w:val="00ED7379"/>
    <w:rsid w:val="00EE00F3"/>
    <w:rsid w:val="00EE1077"/>
    <w:rsid w:val="00EE164A"/>
    <w:rsid w:val="00EE4EFC"/>
    <w:rsid w:val="00EE5EB5"/>
    <w:rsid w:val="00EE5F51"/>
    <w:rsid w:val="00EF0F70"/>
    <w:rsid w:val="00EF1939"/>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6F63"/>
    <w:rsid w:val="00F275EE"/>
    <w:rsid w:val="00F27CFB"/>
    <w:rsid w:val="00F27EFA"/>
    <w:rsid w:val="00F301F8"/>
    <w:rsid w:val="00F3095E"/>
    <w:rsid w:val="00F31CDD"/>
    <w:rsid w:val="00F32E77"/>
    <w:rsid w:val="00F3709D"/>
    <w:rsid w:val="00F3763B"/>
    <w:rsid w:val="00F420E4"/>
    <w:rsid w:val="00F44ED5"/>
    <w:rsid w:val="00F45EB3"/>
    <w:rsid w:val="00F466F4"/>
    <w:rsid w:val="00F478AA"/>
    <w:rsid w:val="00F50181"/>
    <w:rsid w:val="00F51C8A"/>
    <w:rsid w:val="00F5297B"/>
    <w:rsid w:val="00F53584"/>
    <w:rsid w:val="00F540CB"/>
    <w:rsid w:val="00F54215"/>
    <w:rsid w:val="00F54770"/>
    <w:rsid w:val="00F55BD7"/>
    <w:rsid w:val="00F56EBC"/>
    <w:rsid w:val="00F57996"/>
    <w:rsid w:val="00F57E55"/>
    <w:rsid w:val="00F60C80"/>
    <w:rsid w:val="00F61282"/>
    <w:rsid w:val="00F628E5"/>
    <w:rsid w:val="00F62D63"/>
    <w:rsid w:val="00F65642"/>
    <w:rsid w:val="00F6619B"/>
    <w:rsid w:val="00F66401"/>
    <w:rsid w:val="00F768EB"/>
    <w:rsid w:val="00F77845"/>
    <w:rsid w:val="00F8004A"/>
    <w:rsid w:val="00F80769"/>
    <w:rsid w:val="00F80B33"/>
    <w:rsid w:val="00F831B7"/>
    <w:rsid w:val="00F8340D"/>
    <w:rsid w:val="00F835BA"/>
    <w:rsid w:val="00F836D9"/>
    <w:rsid w:val="00F85B55"/>
    <w:rsid w:val="00F860B9"/>
    <w:rsid w:val="00F864A5"/>
    <w:rsid w:val="00F8749A"/>
    <w:rsid w:val="00F90F69"/>
    <w:rsid w:val="00F92AB0"/>
    <w:rsid w:val="00F92FA0"/>
    <w:rsid w:val="00F94922"/>
    <w:rsid w:val="00F964B6"/>
    <w:rsid w:val="00F968C9"/>
    <w:rsid w:val="00F97CCD"/>
    <w:rsid w:val="00FA09E1"/>
    <w:rsid w:val="00FA1604"/>
    <w:rsid w:val="00FA23D2"/>
    <w:rsid w:val="00FA4041"/>
    <w:rsid w:val="00FA594E"/>
    <w:rsid w:val="00FA7679"/>
    <w:rsid w:val="00FB0A5F"/>
    <w:rsid w:val="00FB2A39"/>
    <w:rsid w:val="00FB4D01"/>
    <w:rsid w:val="00FB500C"/>
    <w:rsid w:val="00FB574A"/>
    <w:rsid w:val="00FB66FD"/>
    <w:rsid w:val="00FB684A"/>
    <w:rsid w:val="00FC09F4"/>
    <w:rsid w:val="00FC0DF1"/>
    <w:rsid w:val="00FC3DA6"/>
    <w:rsid w:val="00FC69EC"/>
    <w:rsid w:val="00FC71FB"/>
    <w:rsid w:val="00FC7EFC"/>
    <w:rsid w:val="00FD11CE"/>
    <w:rsid w:val="00FD18E1"/>
    <w:rsid w:val="00FD2280"/>
    <w:rsid w:val="00FD22E8"/>
    <w:rsid w:val="00FD24F5"/>
    <w:rsid w:val="00FD6012"/>
    <w:rsid w:val="00FD69DC"/>
    <w:rsid w:val="00FD7938"/>
    <w:rsid w:val="00FE0025"/>
    <w:rsid w:val="00FE1CCE"/>
    <w:rsid w:val="00FE3738"/>
    <w:rsid w:val="00FE4D70"/>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22085"/>
  <w15:docId w15:val="{ACA247D4-21E4-41AE-8447-D1A9E32F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unhideWhenUsed/>
    <w:qFormat/>
    <w:rsid w:val="00D6006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Heading3Char">
    <w:name w:val="Heading 3 Char"/>
    <w:basedOn w:val="DefaultParagraphFont"/>
    <w:link w:val="Heading3"/>
    <w:uiPriority w:val="9"/>
    <w:rsid w:val="00D600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0466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267718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192">
      <w:bodyDiv w:val="1"/>
      <w:marLeft w:val="0"/>
      <w:marRight w:val="0"/>
      <w:marTop w:val="0"/>
      <w:marBottom w:val="0"/>
      <w:divBdr>
        <w:top w:val="none" w:sz="0" w:space="0" w:color="auto"/>
        <w:left w:val="none" w:sz="0" w:space="0" w:color="auto"/>
        <w:bottom w:val="none" w:sz="0" w:space="0" w:color="auto"/>
        <w:right w:val="none" w:sz="0" w:space="0" w:color="auto"/>
      </w:divBdr>
    </w:div>
    <w:div w:id="1464231790">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2586496">
      <w:bodyDiv w:val="1"/>
      <w:marLeft w:val="0"/>
      <w:marRight w:val="0"/>
      <w:marTop w:val="0"/>
      <w:marBottom w:val="0"/>
      <w:divBdr>
        <w:top w:val="none" w:sz="0" w:space="0" w:color="auto"/>
        <w:left w:val="none" w:sz="0" w:space="0" w:color="auto"/>
        <w:bottom w:val="none" w:sz="0" w:space="0" w:color="auto"/>
        <w:right w:val="none" w:sz="0" w:space="0" w:color="auto"/>
      </w:divBdr>
      <w:divsChild>
        <w:div w:id="770708562">
          <w:marLeft w:val="0"/>
          <w:marRight w:val="0"/>
          <w:marTop w:val="0"/>
          <w:marBottom w:val="0"/>
          <w:divBdr>
            <w:top w:val="none" w:sz="0" w:space="0" w:color="auto"/>
            <w:left w:val="none" w:sz="0" w:space="0" w:color="auto"/>
            <w:bottom w:val="none" w:sz="0" w:space="0" w:color="auto"/>
            <w:right w:val="none" w:sz="0" w:space="0" w:color="auto"/>
          </w:divBdr>
        </w:div>
        <w:div w:id="559093725">
          <w:marLeft w:val="0"/>
          <w:marRight w:val="0"/>
          <w:marTop w:val="0"/>
          <w:marBottom w:val="0"/>
          <w:divBdr>
            <w:top w:val="none" w:sz="0" w:space="0" w:color="auto"/>
            <w:left w:val="none" w:sz="0" w:space="0" w:color="auto"/>
            <w:bottom w:val="none" w:sz="0" w:space="0" w:color="auto"/>
            <w:right w:val="none" w:sz="0" w:space="0" w:color="auto"/>
          </w:divBdr>
        </w:div>
        <w:div w:id="404451143">
          <w:marLeft w:val="0"/>
          <w:marRight w:val="0"/>
          <w:marTop w:val="0"/>
          <w:marBottom w:val="0"/>
          <w:divBdr>
            <w:top w:val="none" w:sz="0" w:space="0" w:color="auto"/>
            <w:left w:val="none" w:sz="0" w:space="0" w:color="auto"/>
            <w:bottom w:val="none" w:sz="0" w:space="0" w:color="auto"/>
            <w:right w:val="none" w:sz="0" w:space="0" w:color="auto"/>
          </w:divBdr>
        </w:div>
        <w:div w:id="565607551">
          <w:marLeft w:val="0"/>
          <w:marRight w:val="0"/>
          <w:marTop w:val="0"/>
          <w:marBottom w:val="0"/>
          <w:divBdr>
            <w:top w:val="none" w:sz="0" w:space="0" w:color="auto"/>
            <w:left w:val="none" w:sz="0" w:space="0" w:color="auto"/>
            <w:bottom w:val="none" w:sz="0" w:space="0" w:color="auto"/>
            <w:right w:val="none" w:sz="0" w:space="0" w:color="auto"/>
          </w:divBdr>
        </w:div>
        <w:div w:id="875580839">
          <w:marLeft w:val="0"/>
          <w:marRight w:val="0"/>
          <w:marTop w:val="0"/>
          <w:marBottom w:val="0"/>
          <w:divBdr>
            <w:top w:val="none" w:sz="0" w:space="0" w:color="auto"/>
            <w:left w:val="none" w:sz="0" w:space="0" w:color="auto"/>
            <w:bottom w:val="none" w:sz="0" w:space="0" w:color="auto"/>
            <w:right w:val="none" w:sz="0" w:space="0" w:color="auto"/>
          </w:divBdr>
        </w:div>
        <w:div w:id="224531512">
          <w:marLeft w:val="0"/>
          <w:marRight w:val="0"/>
          <w:marTop w:val="0"/>
          <w:marBottom w:val="0"/>
          <w:divBdr>
            <w:top w:val="none" w:sz="0" w:space="0" w:color="auto"/>
            <w:left w:val="none" w:sz="0" w:space="0" w:color="auto"/>
            <w:bottom w:val="none" w:sz="0" w:space="0" w:color="auto"/>
            <w:right w:val="none" w:sz="0" w:space="0" w:color="auto"/>
          </w:divBdr>
        </w:div>
        <w:div w:id="834996439">
          <w:marLeft w:val="0"/>
          <w:marRight w:val="0"/>
          <w:marTop w:val="0"/>
          <w:marBottom w:val="0"/>
          <w:divBdr>
            <w:top w:val="none" w:sz="0" w:space="0" w:color="auto"/>
            <w:left w:val="none" w:sz="0" w:space="0" w:color="auto"/>
            <w:bottom w:val="none" w:sz="0" w:space="0" w:color="auto"/>
            <w:right w:val="none" w:sz="0" w:space="0" w:color="auto"/>
          </w:divBdr>
        </w:div>
        <w:div w:id="962811197">
          <w:marLeft w:val="0"/>
          <w:marRight w:val="0"/>
          <w:marTop w:val="0"/>
          <w:marBottom w:val="0"/>
          <w:divBdr>
            <w:top w:val="none" w:sz="0" w:space="0" w:color="auto"/>
            <w:left w:val="none" w:sz="0" w:space="0" w:color="auto"/>
            <w:bottom w:val="none" w:sz="0" w:space="0" w:color="auto"/>
            <w:right w:val="none" w:sz="0" w:space="0" w:color="auto"/>
          </w:divBdr>
        </w:div>
        <w:div w:id="533424490">
          <w:marLeft w:val="0"/>
          <w:marRight w:val="0"/>
          <w:marTop w:val="0"/>
          <w:marBottom w:val="0"/>
          <w:divBdr>
            <w:top w:val="none" w:sz="0" w:space="0" w:color="auto"/>
            <w:left w:val="none" w:sz="0" w:space="0" w:color="auto"/>
            <w:bottom w:val="none" w:sz="0" w:space="0" w:color="auto"/>
            <w:right w:val="none" w:sz="0" w:space="0" w:color="auto"/>
          </w:divBdr>
        </w:div>
        <w:div w:id="738670089">
          <w:marLeft w:val="0"/>
          <w:marRight w:val="0"/>
          <w:marTop w:val="0"/>
          <w:marBottom w:val="0"/>
          <w:divBdr>
            <w:top w:val="none" w:sz="0" w:space="0" w:color="auto"/>
            <w:left w:val="none" w:sz="0" w:space="0" w:color="auto"/>
            <w:bottom w:val="none" w:sz="0" w:space="0" w:color="auto"/>
            <w:right w:val="none" w:sz="0" w:space="0" w:color="auto"/>
          </w:divBdr>
        </w:div>
        <w:div w:id="368839197">
          <w:marLeft w:val="0"/>
          <w:marRight w:val="0"/>
          <w:marTop w:val="0"/>
          <w:marBottom w:val="0"/>
          <w:divBdr>
            <w:top w:val="none" w:sz="0" w:space="0" w:color="auto"/>
            <w:left w:val="none" w:sz="0" w:space="0" w:color="auto"/>
            <w:bottom w:val="none" w:sz="0" w:space="0" w:color="auto"/>
            <w:right w:val="none" w:sz="0" w:space="0" w:color="auto"/>
          </w:divBdr>
        </w:div>
        <w:div w:id="382212250">
          <w:marLeft w:val="0"/>
          <w:marRight w:val="0"/>
          <w:marTop w:val="0"/>
          <w:marBottom w:val="0"/>
          <w:divBdr>
            <w:top w:val="none" w:sz="0" w:space="0" w:color="auto"/>
            <w:left w:val="none" w:sz="0" w:space="0" w:color="auto"/>
            <w:bottom w:val="none" w:sz="0" w:space="0" w:color="auto"/>
            <w:right w:val="none" w:sz="0" w:space="0" w:color="auto"/>
          </w:divBdr>
        </w:div>
        <w:div w:id="1581911192">
          <w:marLeft w:val="0"/>
          <w:marRight w:val="0"/>
          <w:marTop w:val="0"/>
          <w:marBottom w:val="0"/>
          <w:divBdr>
            <w:top w:val="none" w:sz="0" w:space="0" w:color="auto"/>
            <w:left w:val="none" w:sz="0" w:space="0" w:color="auto"/>
            <w:bottom w:val="none" w:sz="0" w:space="0" w:color="auto"/>
            <w:right w:val="none" w:sz="0" w:space="0" w:color="auto"/>
          </w:divBdr>
        </w:div>
        <w:div w:id="955989650">
          <w:marLeft w:val="0"/>
          <w:marRight w:val="0"/>
          <w:marTop w:val="0"/>
          <w:marBottom w:val="0"/>
          <w:divBdr>
            <w:top w:val="none" w:sz="0" w:space="0" w:color="auto"/>
            <w:left w:val="none" w:sz="0" w:space="0" w:color="auto"/>
            <w:bottom w:val="none" w:sz="0" w:space="0" w:color="auto"/>
            <w:right w:val="none" w:sz="0" w:space="0" w:color="auto"/>
          </w:divBdr>
        </w:div>
        <w:div w:id="1957758698">
          <w:marLeft w:val="0"/>
          <w:marRight w:val="0"/>
          <w:marTop w:val="0"/>
          <w:marBottom w:val="0"/>
          <w:divBdr>
            <w:top w:val="none" w:sz="0" w:space="0" w:color="auto"/>
            <w:left w:val="none" w:sz="0" w:space="0" w:color="auto"/>
            <w:bottom w:val="none" w:sz="0" w:space="0" w:color="auto"/>
            <w:right w:val="none" w:sz="0" w:space="0" w:color="auto"/>
          </w:divBdr>
        </w:div>
        <w:div w:id="1319188670">
          <w:marLeft w:val="0"/>
          <w:marRight w:val="0"/>
          <w:marTop w:val="0"/>
          <w:marBottom w:val="0"/>
          <w:divBdr>
            <w:top w:val="none" w:sz="0" w:space="0" w:color="auto"/>
            <w:left w:val="none" w:sz="0" w:space="0" w:color="auto"/>
            <w:bottom w:val="none" w:sz="0" w:space="0" w:color="auto"/>
            <w:right w:val="none" w:sz="0" w:space="0" w:color="auto"/>
          </w:divBdr>
        </w:div>
        <w:div w:id="1563058669">
          <w:marLeft w:val="0"/>
          <w:marRight w:val="0"/>
          <w:marTop w:val="0"/>
          <w:marBottom w:val="0"/>
          <w:divBdr>
            <w:top w:val="none" w:sz="0" w:space="0" w:color="auto"/>
            <w:left w:val="none" w:sz="0" w:space="0" w:color="auto"/>
            <w:bottom w:val="none" w:sz="0" w:space="0" w:color="auto"/>
            <w:right w:val="none" w:sz="0" w:space="0" w:color="auto"/>
          </w:divBdr>
        </w:div>
      </w:divsChild>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E437-D9C5-4EBD-B196-FF784AB5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Porter, Samantha</cp:lastModifiedBy>
  <cp:revision>19</cp:revision>
  <cp:lastPrinted>2019-06-05T19:48:00Z</cp:lastPrinted>
  <dcterms:created xsi:type="dcterms:W3CDTF">2019-05-08T16:21:00Z</dcterms:created>
  <dcterms:modified xsi:type="dcterms:W3CDTF">2019-06-25T19:40:00Z</dcterms:modified>
</cp:coreProperties>
</file>