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45B9B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3019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Muhm</w:t>
            </w:r>
          </w:p>
        </w:tc>
      </w:tr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3019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2019-0245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3019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17, 2019</w:t>
            </w:r>
          </w:p>
        </w:tc>
      </w:tr>
    </w:tbl>
    <w:p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Pr="00C75025" w:rsidRDefault="00A30199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 motion identifying future allocations from </w:t>
      </w:r>
      <w:r w:rsidR="00A0464B">
        <w:rPr>
          <w:rFonts w:ascii="Arial" w:hAnsi="Arial" w:cs="Arial"/>
        </w:rPr>
        <w:t>proceeds from the</w:t>
      </w:r>
      <w:r>
        <w:rPr>
          <w:rFonts w:ascii="Arial" w:hAnsi="Arial" w:cs="Arial"/>
        </w:rPr>
        <w:t xml:space="preserve"> Puget Sound Taxpayers Accountability Account to priority educational areas and requesting the executive to develop a plan to allocate proceeds within the priority educational areas.</w:t>
      </w:r>
    </w:p>
    <w:p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946942" w:rsidRDefault="00A30199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Motion 2019-0245</w:t>
      </w:r>
      <w:r w:rsidR="00F73527">
        <w:rPr>
          <w:rFonts w:ascii="Arial" w:hAnsi="Arial" w:cs="Arial"/>
        </w:rPr>
        <w:t xml:space="preserve"> (Motion)</w:t>
      </w:r>
      <w:r>
        <w:rPr>
          <w:rFonts w:ascii="Arial" w:hAnsi="Arial" w:cs="Arial"/>
        </w:rPr>
        <w:t xml:space="preserve"> </w:t>
      </w:r>
      <w:r w:rsidR="003D006B">
        <w:rPr>
          <w:rFonts w:ascii="Arial" w:hAnsi="Arial" w:cs="Arial"/>
        </w:rPr>
        <w:t>identifies three priority educational areas, early learning; K-12 education for vulnerable and underserved youth; and college, career and technical education</w:t>
      </w:r>
      <w:r w:rsidR="00EB4C20">
        <w:rPr>
          <w:rFonts w:ascii="Arial" w:hAnsi="Arial" w:cs="Arial"/>
        </w:rPr>
        <w:t xml:space="preserve"> for the future allocation of proceeds from the Puget Sound Taxpayers Accountability Account (PSTAA). The </w:t>
      </w:r>
      <w:r w:rsidR="00A0464B">
        <w:rPr>
          <w:rFonts w:ascii="Arial" w:hAnsi="Arial" w:cs="Arial"/>
        </w:rPr>
        <w:t>M</w:t>
      </w:r>
      <w:r w:rsidR="00EB4C20">
        <w:rPr>
          <w:rFonts w:ascii="Arial" w:hAnsi="Arial" w:cs="Arial"/>
        </w:rPr>
        <w:t xml:space="preserve">otion contemplates assigning percentages of future PSTAA proceeds to the priority educational areas; however, the </w:t>
      </w:r>
      <w:r w:rsidR="00A0464B">
        <w:rPr>
          <w:rFonts w:ascii="Arial" w:hAnsi="Arial" w:cs="Arial"/>
        </w:rPr>
        <w:t>M</w:t>
      </w:r>
      <w:r w:rsidR="00EB4C20">
        <w:rPr>
          <w:rFonts w:ascii="Arial" w:hAnsi="Arial" w:cs="Arial"/>
        </w:rPr>
        <w:t>otion, as introduced, leaves these percentages blank.</w:t>
      </w:r>
      <w:r w:rsidR="00225BB4">
        <w:rPr>
          <w:rFonts w:ascii="Arial" w:hAnsi="Arial" w:cs="Arial"/>
        </w:rPr>
        <w:t xml:space="preserve"> The </w:t>
      </w:r>
      <w:r w:rsidR="00A0464B">
        <w:rPr>
          <w:rFonts w:ascii="Arial" w:hAnsi="Arial" w:cs="Arial"/>
        </w:rPr>
        <w:t>M</w:t>
      </w:r>
      <w:r w:rsidR="00225BB4">
        <w:rPr>
          <w:rFonts w:ascii="Arial" w:hAnsi="Arial" w:cs="Arial"/>
        </w:rPr>
        <w:t>otion also identifies underserved populations to priorities within the priority educational areas when distributing future PSTAA proceeds.</w:t>
      </w:r>
    </w:p>
    <w:p w:rsidR="00EB4C20" w:rsidRDefault="00EB4C20" w:rsidP="005B478C">
      <w:pPr>
        <w:jc w:val="both"/>
        <w:rPr>
          <w:rFonts w:ascii="Arial" w:hAnsi="Arial" w:cs="Arial"/>
        </w:rPr>
      </w:pPr>
    </w:p>
    <w:p w:rsidR="00074A56" w:rsidRDefault="00225BB4" w:rsidP="00225BB4">
      <w:pPr>
        <w:jc w:val="both"/>
        <w:rPr>
          <w:rFonts w:ascii="Arial" w:hAnsi="Arial" w:cs="Arial"/>
          <w:szCs w:val="24"/>
        </w:rPr>
      </w:pPr>
      <w:r w:rsidRPr="00225BB4">
        <w:rPr>
          <w:rFonts w:ascii="Arial" w:hAnsi="Arial" w:cs="Arial"/>
        </w:rPr>
        <w:t xml:space="preserve">Further, </w:t>
      </w:r>
      <w:r w:rsidR="00F73527">
        <w:rPr>
          <w:rFonts w:ascii="Arial" w:hAnsi="Arial" w:cs="Arial"/>
        </w:rPr>
        <w:t>the Motion</w:t>
      </w:r>
      <w:r w:rsidRPr="00225BB4">
        <w:rPr>
          <w:rFonts w:ascii="Arial" w:hAnsi="Arial" w:cs="Arial"/>
        </w:rPr>
        <w:t xml:space="preserve"> requests that the executive work with </w:t>
      </w:r>
      <w:r w:rsidR="00A0464B">
        <w:rPr>
          <w:rFonts w:ascii="Arial" w:hAnsi="Arial" w:cs="Arial"/>
        </w:rPr>
        <w:t>C</w:t>
      </w:r>
      <w:r w:rsidRPr="00225BB4">
        <w:rPr>
          <w:rFonts w:ascii="Arial" w:hAnsi="Arial" w:cs="Arial"/>
        </w:rPr>
        <w:t>ouncil staff, stakeholders and the community to develop a plan to distribute PSTAA proceeds</w:t>
      </w:r>
      <w:r w:rsidR="00F73527">
        <w:rPr>
          <w:rFonts w:ascii="Arial" w:hAnsi="Arial" w:cs="Arial"/>
        </w:rPr>
        <w:t xml:space="preserve">. This plan is requested to be transmitted by the executive to the </w:t>
      </w:r>
      <w:r w:rsidR="00A0464B">
        <w:rPr>
          <w:rFonts w:ascii="Arial" w:hAnsi="Arial" w:cs="Arial"/>
        </w:rPr>
        <w:t>C</w:t>
      </w:r>
      <w:r w:rsidR="00F73527">
        <w:rPr>
          <w:rFonts w:ascii="Arial" w:hAnsi="Arial" w:cs="Arial"/>
        </w:rPr>
        <w:t>ouncil within six months of the effective date of the motion.</w:t>
      </w:r>
    </w:p>
    <w:p w:rsidR="00C75025" w:rsidRDefault="00C75025" w:rsidP="005B478C">
      <w:pPr>
        <w:jc w:val="both"/>
        <w:rPr>
          <w:rFonts w:ascii="Arial" w:hAnsi="Arial" w:cs="Arial"/>
          <w:szCs w:val="24"/>
        </w:rPr>
      </w:pPr>
    </w:p>
    <w:p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F73527" w:rsidRDefault="00F73527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Puget Sound Tax Payer Accountability Account. </w:t>
      </w:r>
      <w:r>
        <w:rPr>
          <w:rFonts w:ascii="Arial" w:hAnsi="Arial" w:cs="Arial"/>
        </w:rPr>
        <w:t>The Washington state legislature created an account in the state treasury called the Puget Sound Taxpayer Accountability Account as a part of the 2015 transportation funding legislation (SB 5987). The account will be funded by a sales and use tax offset fee of 3.25% of total payments made by Sound Transit on the cost of construction projects approved by voters in 2016 known as Sound Transit 3. State law exempts projects constructed with Sound Transit 3 funds from the state sales and use tax of 6.5%. State law also requires Sound Transit to pay the offset until $518 million of payments are made to the account.</w:t>
      </w:r>
    </w:p>
    <w:p w:rsidR="00F73527" w:rsidRDefault="00F73527" w:rsidP="00F73527">
      <w:pPr>
        <w:jc w:val="both"/>
        <w:rPr>
          <w:rFonts w:ascii="Arial" w:hAnsi="Arial" w:cs="Arial"/>
        </w:rPr>
      </w:pPr>
    </w:p>
    <w:p w:rsidR="006C3747" w:rsidRDefault="00D32378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PSTAA proceeds</w:t>
      </w:r>
      <w:r w:rsidR="00F73527">
        <w:rPr>
          <w:rFonts w:ascii="Arial" w:hAnsi="Arial" w:cs="Arial"/>
        </w:rPr>
        <w:t xml:space="preserve"> are to be distributed to King, Pierce and Snohomish counties proportionally based on each county’s population that lives within Sound Transit’s </w:t>
      </w:r>
      <w:r w:rsidR="00F73527">
        <w:rPr>
          <w:rFonts w:ascii="Arial" w:hAnsi="Arial" w:cs="Arial"/>
        </w:rPr>
        <w:lastRenderedPageBreak/>
        <w:t>jurisdictional boundaries. King County is estimated to receive $31</w:t>
      </w:r>
      <w:r w:rsidR="007D2501">
        <w:rPr>
          <w:rFonts w:ascii="Arial" w:hAnsi="Arial" w:cs="Arial"/>
        </w:rPr>
        <w:t>8</w:t>
      </w:r>
      <w:r w:rsidR="00F73527">
        <w:rPr>
          <w:rFonts w:ascii="Arial" w:hAnsi="Arial" w:cs="Arial"/>
        </w:rPr>
        <w:t xml:space="preserve"> million in total funding between now and 203</w:t>
      </w:r>
      <w:r w:rsidR="007D2501">
        <w:rPr>
          <w:rFonts w:ascii="Arial" w:hAnsi="Arial" w:cs="Arial"/>
        </w:rPr>
        <w:t>3</w:t>
      </w:r>
      <w:r w:rsidR="006C3747">
        <w:rPr>
          <w:rFonts w:ascii="Arial" w:hAnsi="Arial" w:cs="Arial"/>
        </w:rPr>
        <w:t>.</w:t>
      </w:r>
      <w:r w:rsidR="00F73527">
        <w:rPr>
          <w:rFonts w:ascii="Arial" w:hAnsi="Arial" w:cs="Arial"/>
        </w:rPr>
        <w:t xml:space="preserve"> </w:t>
      </w:r>
    </w:p>
    <w:tbl>
      <w:tblPr>
        <w:tblW w:w="6867" w:type="dxa"/>
        <w:tblInd w:w="1521" w:type="dxa"/>
        <w:tblLook w:val="04A0" w:firstRow="1" w:lastRow="0" w:firstColumn="1" w:lastColumn="0" w:noHBand="0" w:noVBand="1"/>
      </w:tblPr>
      <w:tblGrid>
        <w:gridCol w:w="758"/>
        <w:gridCol w:w="1323"/>
        <w:gridCol w:w="1323"/>
        <w:gridCol w:w="1593"/>
        <w:gridCol w:w="1870"/>
      </w:tblGrid>
      <w:tr w:rsidR="007D2501" w:rsidRPr="007D2501" w:rsidTr="006C3747">
        <w:trPr>
          <w:trHeight w:val="315"/>
        </w:trPr>
        <w:tc>
          <w:tcPr>
            <w:tcW w:w="686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Cs w:val="24"/>
              </w:rPr>
              <w:t>Estimated Distributions Puget Sound Taxpayer Accountability Account ($in 000, source Sound Transit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, March 2019)</w:t>
            </w:r>
          </w:p>
        </w:tc>
      </w:tr>
      <w:tr w:rsidR="007D2501" w:rsidRPr="007D2501" w:rsidTr="006C3747">
        <w:trPr>
          <w:trHeight w:val="630"/>
        </w:trPr>
        <w:tc>
          <w:tcPr>
            <w:tcW w:w="686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2501" w:rsidRPr="007D2501" w:rsidRDefault="007D2501" w:rsidP="007D2501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King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Pierce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Snohomish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$798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$1,300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$9,840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$3,758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$2,427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$16,026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$14,426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$3,558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$23,494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$17,358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$4,281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$28,269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$14,254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$3,516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$23,213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$16,064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$6,135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$3,962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$26,161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$15,894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$6,070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$3,920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$25,884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$23,547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$8,993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$5,808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$38,349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$32,188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$12,293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$7,939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$52,420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$42,115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$16,085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$10,387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$68,587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$37,819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$9,328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$61,591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$28,773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$10,989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$7,097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$46,859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$23,304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$8,900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$5,748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$37,953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$27,633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$10,553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$6,815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$45,002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$14,057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$5,369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$3,467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$22,893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$318,071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$121,478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$78,450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$518,000</w:t>
            </w:r>
          </w:p>
        </w:tc>
      </w:tr>
    </w:tbl>
    <w:p w:rsidR="00F10A1E" w:rsidRDefault="00F10A1E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the funding amounts are based on the construction timeline for Sound Transit 3 projects and results in uneven distribution of funds over the period.</w:t>
      </w:r>
    </w:p>
    <w:p w:rsidR="006C3747" w:rsidRDefault="006C3747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A98FB7" wp14:editId="1DEB67B8">
            <wp:extent cx="5549265" cy="2755229"/>
            <wp:effectExtent l="0" t="0" r="13335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23CA454-307B-4FBA-B513-E6B19ADF40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527" w:rsidRDefault="00F73527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Allowable Uses.   </w:t>
      </w:r>
      <w:r w:rsidR="00D32378">
        <w:rPr>
          <w:rFonts w:ascii="Arial" w:hAnsi="Arial" w:cs="Arial"/>
        </w:rPr>
        <w:t>The state law relating to the use of PSTAA proceeds was updated during the 2019 legislative session (</w:t>
      </w:r>
      <w:r w:rsidR="000344D1">
        <w:rPr>
          <w:rFonts w:ascii="Arial" w:hAnsi="Arial" w:cs="Arial"/>
        </w:rPr>
        <w:t>SSB 5851</w:t>
      </w:r>
      <w:r w:rsidR="00D323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32378">
        <w:rPr>
          <w:rFonts w:ascii="Arial" w:hAnsi="Arial" w:cs="Arial"/>
        </w:rPr>
        <w:t>to make it clear that PSTAA proceeds could be used for both educational programs and facilities</w:t>
      </w:r>
      <w:r w:rsidR="00D112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F73527" w:rsidRDefault="00F73527" w:rsidP="00F73527">
      <w:pPr>
        <w:jc w:val="both"/>
        <w:rPr>
          <w:rFonts w:ascii="Arial" w:hAnsi="Arial" w:cs="Arial"/>
        </w:rPr>
      </w:pPr>
    </w:p>
    <w:p w:rsidR="00F73527" w:rsidRDefault="00F73527" w:rsidP="00F735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32040">
        <w:rPr>
          <w:rFonts w:ascii="Arial" w:hAnsi="Arial" w:cs="Arial"/>
        </w:rPr>
        <w:t>Counties may use distributions from the account only to improve educational outcomes in early learning, K-12, and higher education including, but not limited to, for facilities and programs for children and youth that are low-income, homeless, or in foster care, or other vulnerable populations</w:t>
      </w:r>
      <w:r w:rsidR="000344D1">
        <w:rPr>
          <w:rFonts w:ascii="Arial" w:hAnsi="Arial" w:cs="Arial"/>
        </w:rPr>
        <w:t>.</w:t>
      </w:r>
      <w:r w:rsidR="00A0464B">
        <w:rPr>
          <w:rFonts w:ascii="Arial" w:hAnsi="Arial" w:cs="Arial"/>
        </w:rPr>
        <w:t>”</w:t>
      </w:r>
      <w:r w:rsidR="000344D1">
        <w:rPr>
          <w:rFonts w:ascii="Arial" w:hAnsi="Arial" w:cs="Arial"/>
        </w:rPr>
        <w:t xml:space="preserve"> </w:t>
      </w:r>
      <w:r w:rsidR="00632040">
        <w:rPr>
          <w:rFonts w:ascii="Arial" w:hAnsi="Arial" w:cs="Arial"/>
        </w:rPr>
        <w:t>(SSB 5851)</w:t>
      </w:r>
    </w:p>
    <w:p w:rsidR="00F73527" w:rsidRDefault="00F73527" w:rsidP="00F73527">
      <w:pPr>
        <w:jc w:val="both"/>
        <w:rPr>
          <w:rFonts w:ascii="Arial" w:hAnsi="Arial" w:cs="Arial"/>
        </w:rPr>
      </w:pPr>
    </w:p>
    <w:p w:rsidR="00D112A6" w:rsidRDefault="00D112A6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SSB 5851 also included a provision to allow PSTAA proceeds to start endowments to improve educational outcomes in early learning, K-12 and higher education.</w:t>
      </w:r>
    </w:p>
    <w:p w:rsidR="00D112A6" w:rsidRDefault="00D112A6" w:rsidP="00F73527">
      <w:pPr>
        <w:jc w:val="both"/>
        <w:rPr>
          <w:rFonts w:ascii="Arial" w:hAnsi="Arial" w:cs="Arial"/>
        </w:rPr>
      </w:pPr>
    </w:p>
    <w:p w:rsidR="007D2501" w:rsidRDefault="00D112A6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PSTAA funds cannot be bonded to build facilities</w:t>
      </w:r>
      <w:r w:rsidR="00A046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an</w:t>
      </w:r>
      <w:r w:rsidR="00A0464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other reason, under state law.</w:t>
      </w:r>
    </w:p>
    <w:p w:rsidR="007D2501" w:rsidRDefault="007D2501" w:rsidP="00F73527">
      <w:pPr>
        <w:jc w:val="both"/>
        <w:rPr>
          <w:rFonts w:ascii="Arial" w:hAnsi="Arial" w:cs="Arial"/>
        </w:rPr>
      </w:pPr>
    </w:p>
    <w:p w:rsidR="00F73527" w:rsidRDefault="007D2501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Council work to date.</w:t>
      </w:r>
      <w:r>
        <w:rPr>
          <w:rFonts w:ascii="Arial" w:hAnsi="Arial" w:cs="Arial"/>
        </w:rPr>
        <w:t xml:space="preserve">  The </w:t>
      </w:r>
      <w:r w:rsidR="00A0464B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uncil adopted Motion 15029 on December 11, 2017 which identified </w:t>
      </w:r>
      <w:r w:rsidR="002B55F1">
        <w:rPr>
          <w:rFonts w:ascii="Arial" w:hAnsi="Arial" w:cs="Arial"/>
        </w:rPr>
        <w:t xml:space="preserve">principles and goals for investing PSTAA proceeds. Motion 15029 also directed </w:t>
      </w:r>
      <w:r w:rsidR="00A0464B">
        <w:rPr>
          <w:rFonts w:ascii="Arial" w:hAnsi="Arial" w:cs="Arial"/>
        </w:rPr>
        <w:t>C</w:t>
      </w:r>
      <w:r w:rsidR="002B55F1">
        <w:rPr>
          <w:rFonts w:ascii="Arial" w:hAnsi="Arial" w:cs="Arial"/>
        </w:rPr>
        <w:t xml:space="preserve">ouncil staff to work with a consultant to better understand identified strategies for meeting those goals. The consultant transmitted to the </w:t>
      </w:r>
      <w:r w:rsidR="00A0464B">
        <w:rPr>
          <w:rFonts w:ascii="Arial" w:hAnsi="Arial" w:cs="Arial"/>
        </w:rPr>
        <w:t>C</w:t>
      </w:r>
      <w:r w:rsidR="002B55F1">
        <w:rPr>
          <w:rFonts w:ascii="Arial" w:hAnsi="Arial" w:cs="Arial"/>
        </w:rPr>
        <w:t>ouncil an educational needs assessment which outlined educational achievement gaps for King County students in early learning, K-12 and postsecondary programs, and a strategy assessment report which used national studies to assess educational related outcomes for the strategies identified in Motion 15029.</w:t>
      </w:r>
      <w:r w:rsidR="00F96E83">
        <w:rPr>
          <w:rFonts w:ascii="Arial" w:hAnsi="Arial" w:cs="Arial"/>
        </w:rPr>
        <w:t xml:space="preserve"> On May 20, 2019 the consultant transmitted a financial analysis of strategies identified in Motion 15029 to provide a high-level per-student estimate for each strategy. </w:t>
      </w:r>
    </w:p>
    <w:p w:rsidR="00F96E83" w:rsidRDefault="00F96E83" w:rsidP="00F73527">
      <w:pPr>
        <w:jc w:val="both"/>
        <w:rPr>
          <w:rFonts w:ascii="Arial" w:hAnsi="Arial" w:cs="Arial"/>
        </w:rPr>
      </w:pPr>
    </w:p>
    <w:p w:rsidR="00F96E83" w:rsidRPr="00F96E83" w:rsidRDefault="00F96E83" w:rsidP="00F73527">
      <w:pPr>
        <w:jc w:val="both"/>
        <w:rPr>
          <w:rFonts w:ascii="Arial" w:hAnsi="Arial" w:cs="Arial"/>
        </w:rPr>
      </w:pPr>
      <w:r w:rsidRPr="00F96E83">
        <w:rPr>
          <w:rFonts w:ascii="Arial" w:hAnsi="Arial" w:cs="Arial"/>
        </w:rPr>
        <w:t xml:space="preserve">The </w:t>
      </w:r>
      <w:r w:rsidR="00A0464B">
        <w:rPr>
          <w:rFonts w:ascii="Arial" w:hAnsi="Arial" w:cs="Arial"/>
        </w:rPr>
        <w:t>C</w:t>
      </w:r>
      <w:r w:rsidRPr="00F96E83">
        <w:rPr>
          <w:rFonts w:ascii="Arial" w:hAnsi="Arial" w:cs="Arial"/>
        </w:rPr>
        <w:t xml:space="preserve">ouncil also worked </w:t>
      </w:r>
      <w:r>
        <w:rPr>
          <w:rFonts w:ascii="Arial" w:hAnsi="Arial" w:cs="Arial"/>
        </w:rPr>
        <w:t xml:space="preserve">in </w:t>
      </w:r>
      <w:r w:rsidRPr="00F96E83">
        <w:rPr>
          <w:rFonts w:ascii="Arial" w:hAnsi="Arial" w:cs="Arial"/>
        </w:rPr>
        <w:t xml:space="preserve">partnership with the </w:t>
      </w:r>
      <w:r w:rsidR="00A0464B">
        <w:rPr>
          <w:rFonts w:ascii="Arial" w:hAnsi="Arial" w:cs="Arial"/>
        </w:rPr>
        <w:t>E</w:t>
      </w:r>
      <w:r w:rsidRPr="00F96E83">
        <w:rPr>
          <w:rFonts w:ascii="Arial" w:hAnsi="Arial" w:cs="Arial"/>
        </w:rPr>
        <w:t xml:space="preserve">xecutive’s </w:t>
      </w:r>
      <w:r w:rsidR="00A0464B">
        <w:rPr>
          <w:rFonts w:ascii="Arial" w:hAnsi="Arial" w:cs="Arial"/>
        </w:rPr>
        <w:t>O</w:t>
      </w:r>
      <w:r w:rsidRPr="00F96E83">
        <w:rPr>
          <w:rFonts w:ascii="Arial" w:hAnsi="Arial" w:cs="Arial"/>
        </w:rPr>
        <w:t xml:space="preserve">ffice of </w:t>
      </w:r>
      <w:r w:rsidR="00A0464B">
        <w:rPr>
          <w:rFonts w:ascii="Arial" w:hAnsi="Arial" w:cs="Arial"/>
        </w:rPr>
        <w:t>E</w:t>
      </w:r>
      <w:r w:rsidRPr="00F96E83">
        <w:rPr>
          <w:rFonts w:ascii="Arial" w:hAnsi="Arial" w:cs="Arial"/>
        </w:rPr>
        <w:t xml:space="preserve">quity and </w:t>
      </w:r>
      <w:r w:rsidR="00A0464B">
        <w:rPr>
          <w:rFonts w:ascii="Arial" w:hAnsi="Arial" w:cs="Arial"/>
        </w:rPr>
        <w:t>S</w:t>
      </w:r>
      <w:r w:rsidRPr="00F96E83">
        <w:rPr>
          <w:rFonts w:ascii="Arial" w:hAnsi="Arial" w:cs="Arial"/>
        </w:rPr>
        <w:t xml:space="preserve">ocial </w:t>
      </w:r>
      <w:r w:rsidR="00A0464B">
        <w:rPr>
          <w:rFonts w:ascii="Arial" w:hAnsi="Arial" w:cs="Arial"/>
        </w:rPr>
        <w:t>J</w:t>
      </w:r>
      <w:r w:rsidRPr="00F96E83">
        <w:rPr>
          <w:rFonts w:ascii="Arial" w:hAnsi="Arial" w:cs="Arial"/>
        </w:rPr>
        <w:t xml:space="preserve">ustice, </w:t>
      </w:r>
      <w:r>
        <w:rPr>
          <w:rFonts w:ascii="Arial" w:hAnsi="Arial" w:cs="Arial"/>
        </w:rPr>
        <w:t>to hire a consultant</w:t>
      </w:r>
      <w:r w:rsidRPr="00F96E83">
        <w:rPr>
          <w:rFonts w:ascii="Arial" w:hAnsi="Arial" w:cs="Arial"/>
        </w:rPr>
        <w:t xml:space="preserve"> to conduct community </w:t>
      </w:r>
      <w:r w:rsidR="00A0464B">
        <w:rPr>
          <w:rFonts w:ascii="Arial" w:hAnsi="Arial" w:cs="Arial"/>
        </w:rPr>
        <w:t>outreach</w:t>
      </w:r>
      <w:r w:rsidRPr="00F96E83">
        <w:rPr>
          <w:rFonts w:ascii="Arial" w:hAnsi="Arial" w:cs="Arial"/>
        </w:rPr>
        <w:t xml:space="preserve"> throughout the county. The </w:t>
      </w:r>
      <w:r w:rsidR="00A0464B">
        <w:rPr>
          <w:rFonts w:ascii="Arial" w:hAnsi="Arial" w:cs="Arial"/>
        </w:rPr>
        <w:t xml:space="preserve">community outreach consisted </w:t>
      </w:r>
      <w:r w:rsidRPr="00F96E83">
        <w:rPr>
          <w:rFonts w:ascii="Arial" w:hAnsi="Arial" w:cs="Arial"/>
        </w:rPr>
        <w:t xml:space="preserve">community listening sessions designed to gather input from communities who had not had a chance to engage in subsequent PSTAA funding discussions and that represented targeted populations identified in Motion 15029. </w:t>
      </w:r>
      <w:r>
        <w:rPr>
          <w:rFonts w:ascii="Arial" w:hAnsi="Arial" w:cs="Arial"/>
        </w:rPr>
        <w:t>The team</w:t>
      </w:r>
      <w:r w:rsidRPr="00F96E83">
        <w:rPr>
          <w:rFonts w:ascii="Arial" w:hAnsi="Arial" w:cs="Arial"/>
        </w:rPr>
        <w:t xml:space="preserve"> conduct</w:t>
      </w:r>
      <w:r>
        <w:rPr>
          <w:rFonts w:ascii="Arial" w:hAnsi="Arial" w:cs="Arial"/>
        </w:rPr>
        <w:t>ed</w:t>
      </w:r>
      <w:r w:rsidRPr="00F96E83">
        <w:rPr>
          <w:rFonts w:ascii="Arial" w:hAnsi="Arial" w:cs="Arial"/>
        </w:rPr>
        <w:t xml:space="preserve"> 21 listening sessions</w:t>
      </w:r>
      <w:r w:rsidR="00A0464B">
        <w:rPr>
          <w:rFonts w:ascii="Arial" w:hAnsi="Arial" w:cs="Arial"/>
        </w:rPr>
        <w:t>,</w:t>
      </w:r>
      <w:r w:rsidRPr="00F96E83">
        <w:rPr>
          <w:rFonts w:ascii="Arial" w:hAnsi="Arial" w:cs="Arial"/>
        </w:rPr>
        <w:t xml:space="preserve"> </w:t>
      </w:r>
      <w:r w:rsidR="006C3747">
        <w:rPr>
          <w:rFonts w:ascii="Arial" w:hAnsi="Arial" w:cs="Arial"/>
        </w:rPr>
        <w:t>and</w:t>
      </w:r>
      <w:r w:rsidRPr="00F96E83">
        <w:rPr>
          <w:rFonts w:ascii="Arial" w:hAnsi="Arial" w:cs="Arial"/>
        </w:rPr>
        <w:t xml:space="preserve"> a</w:t>
      </w:r>
      <w:r w:rsidR="006C3747">
        <w:rPr>
          <w:rFonts w:ascii="Arial" w:hAnsi="Arial" w:cs="Arial"/>
        </w:rPr>
        <w:t>lso</w:t>
      </w:r>
      <w:r w:rsidRPr="00F96E83">
        <w:rPr>
          <w:rFonts w:ascii="Arial" w:hAnsi="Arial" w:cs="Arial"/>
        </w:rPr>
        <w:t xml:space="preserve"> conducted interviews with 14 individuals with subject matter expertise in the issues of equity that face students of all ages in King County.</w:t>
      </w:r>
      <w:r w:rsidR="00A0464B">
        <w:rPr>
          <w:rFonts w:ascii="Arial" w:hAnsi="Arial" w:cs="Arial"/>
        </w:rPr>
        <w:t xml:space="preserve"> The team’s findings were presented to the Council’s Committee of the Whole on June 3, 2019.</w:t>
      </w:r>
    </w:p>
    <w:p w:rsidR="006C3747" w:rsidRDefault="006C3747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074A56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:rsidR="00A0464B" w:rsidRPr="00A0464B" w:rsidRDefault="00A0464B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987F65" w:rsidRDefault="009F5665" w:rsidP="009F5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Motion 2019-0245 (Motion) identifies </w:t>
      </w:r>
      <w:r w:rsidR="00431A67">
        <w:rPr>
          <w:rFonts w:ascii="Arial" w:hAnsi="Arial" w:cs="Arial"/>
        </w:rPr>
        <w:t xml:space="preserve">the same </w:t>
      </w:r>
      <w:r>
        <w:rPr>
          <w:rFonts w:ascii="Arial" w:hAnsi="Arial" w:cs="Arial"/>
        </w:rPr>
        <w:t>three priority educational areas</w:t>
      </w:r>
      <w:r w:rsidR="00987F65">
        <w:rPr>
          <w:rFonts w:ascii="Arial" w:hAnsi="Arial" w:cs="Arial"/>
        </w:rPr>
        <w:t xml:space="preserve"> </w:t>
      </w:r>
      <w:r w:rsidR="00431A67">
        <w:rPr>
          <w:rFonts w:ascii="Arial" w:hAnsi="Arial" w:cs="Arial"/>
        </w:rPr>
        <w:t xml:space="preserve">previously identified by the </w:t>
      </w:r>
      <w:r w:rsidR="00A0464B">
        <w:rPr>
          <w:rFonts w:ascii="Arial" w:hAnsi="Arial" w:cs="Arial"/>
        </w:rPr>
        <w:t>C</w:t>
      </w:r>
      <w:r w:rsidR="00431A67">
        <w:rPr>
          <w:rFonts w:ascii="Arial" w:hAnsi="Arial" w:cs="Arial"/>
        </w:rPr>
        <w:t>ouncil in Motion 15029</w:t>
      </w:r>
      <w:r w:rsidR="00987F65" w:rsidRPr="00987F65">
        <w:rPr>
          <w:rFonts w:ascii="Arial" w:hAnsi="Arial" w:cs="Arial"/>
        </w:rPr>
        <w:t>for the future allocation of proceeds from the Puget Sound Taxpayers Accountability Account (PSTAA)</w:t>
      </w:r>
      <w:r w:rsidR="00987F65">
        <w:rPr>
          <w:rFonts w:ascii="Arial" w:hAnsi="Arial" w:cs="Arial"/>
        </w:rPr>
        <w:t xml:space="preserve"> including:</w:t>
      </w:r>
    </w:p>
    <w:p w:rsidR="00341729" w:rsidRDefault="00341729" w:rsidP="009F5665">
      <w:pPr>
        <w:jc w:val="both"/>
        <w:rPr>
          <w:rFonts w:ascii="Arial" w:hAnsi="Arial" w:cs="Arial"/>
        </w:rPr>
      </w:pPr>
    </w:p>
    <w:p w:rsidR="00987F65" w:rsidRPr="00987F65" w:rsidRDefault="009F5665" w:rsidP="00987F65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 xml:space="preserve">early learning; </w:t>
      </w:r>
    </w:p>
    <w:p w:rsidR="00987F65" w:rsidRPr="00987F65" w:rsidRDefault="009F5665" w:rsidP="00987F65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>K-12 education for vulnerable and underserved youth;</w:t>
      </w:r>
      <w:r w:rsidR="00987F65">
        <w:rPr>
          <w:rFonts w:ascii="Arial" w:hAnsi="Arial" w:cs="Arial"/>
        </w:rPr>
        <w:t xml:space="preserve"> and</w:t>
      </w:r>
    </w:p>
    <w:p w:rsidR="00987F65" w:rsidRDefault="009F5665" w:rsidP="00987F65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>and college, career and technical education</w:t>
      </w:r>
      <w:r w:rsidR="00987F65">
        <w:rPr>
          <w:rFonts w:ascii="Arial" w:hAnsi="Arial" w:cs="Arial"/>
        </w:rPr>
        <w:t>.</w:t>
      </w:r>
    </w:p>
    <w:p w:rsidR="00987F65" w:rsidRDefault="00987F65" w:rsidP="00987F65">
      <w:pPr>
        <w:jc w:val="both"/>
        <w:rPr>
          <w:rFonts w:ascii="Arial" w:hAnsi="Arial" w:cs="Arial"/>
        </w:rPr>
      </w:pPr>
    </w:p>
    <w:p w:rsidR="00987F65" w:rsidRDefault="009F5665" w:rsidP="00987F65">
      <w:p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 xml:space="preserve">The </w:t>
      </w:r>
      <w:r w:rsidR="000344D1">
        <w:rPr>
          <w:rFonts w:ascii="Arial" w:hAnsi="Arial" w:cs="Arial"/>
        </w:rPr>
        <w:t>M</w:t>
      </w:r>
      <w:r w:rsidRPr="00987F65">
        <w:rPr>
          <w:rFonts w:ascii="Arial" w:hAnsi="Arial" w:cs="Arial"/>
        </w:rPr>
        <w:t xml:space="preserve">otion contemplates assigning percentages of future PSTAA proceeds to the priority educational areas; however, the motion, as introduced, leaves these percentages blank. </w:t>
      </w:r>
      <w:r w:rsidR="000344D1">
        <w:rPr>
          <w:rFonts w:ascii="Arial" w:hAnsi="Arial" w:cs="Arial"/>
        </w:rPr>
        <w:t>It is anticipated that the council will amend these provisions at a future date.</w:t>
      </w:r>
    </w:p>
    <w:p w:rsidR="00987F65" w:rsidRDefault="00987F65" w:rsidP="00987F65">
      <w:pPr>
        <w:jc w:val="both"/>
        <w:rPr>
          <w:rFonts w:ascii="Arial" w:hAnsi="Arial" w:cs="Arial"/>
        </w:rPr>
      </w:pPr>
    </w:p>
    <w:p w:rsidR="009F5665" w:rsidRDefault="009F5665" w:rsidP="00987F65">
      <w:pPr>
        <w:jc w:val="both"/>
        <w:rPr>
          <w:rFonts w:ascii="Arial" w:hAnsi="Arial" w:cs="Arial"/>
        </w:rPr>
      </w:pPr>
      <w:r w:rsidRPr="00431A67">
        <w:rPr>
          <w:rFonts w:ascii="Arial" w:hAnsi="Arial" w:cs="Arial"/>
        </w:rPr>
        <w:t xml:space="preserve">The </w:t>
      </w:r>
      <w:r w:rsidR="00431A67">
        <w:rPr>
          <w:rFonts w:ascii="Arial" w:hAnsi="Arial" w:cs="Arial"/>
        </w:rPr>
        <w:t>M</w:t>
      </w:r>
      <w:r w:rsidRPr="00431A67">
        <w:rPr>
          <w:rFonts w:ascii="Arial" w:hAnsi="Arial" w:cs="Arial"/>
        </w:rPr>
        <w:t xml:space="preserve">otion also identifies </w:t>
      </w:r>
      <w:r w:rsidR="00431A67">
        <w:rPr>
          <w:rFonts w:ascii="Arial" w:hAnsi="Arial" w:cs="Arial"/>
        </w:rPr>
        <w:t xml:space="preserve">the same </w:t>
      </w:r>
      <w:r w:rsidRPr="00431A67">
        <w:rPr>
          <w:rFonts w:ascii="Arial" w:hAnsi="Arial" w:cs="Arial"/>
        </w:rPr>
        <w:t>underserved populations</w:t>
      </w:r>
      <w:r w:rsidR="00431A67">
        <w:rPr>
          <w:rFonts w:ascii="Arial" w:hAnsi="Arial" w:cs="Arial"/>
        </w:rPr>
        <w:t xml:space="preserve"> that were previously identified by the </w:t>
      </w:r>
      <w:r w:rsidR="00A0464B">
        <w:rPr>
          <w:rFonts w:ascii="Arial" w:hAnsi="Arial" w:cs="Arial"/>
        </w:rPr>
        <w:t>C</w:t>
      </w:r>
      <w:r w:rsidR="00431A67">
        <w:rPr>
          <w:rFonts w:ascii="Arial" w:hAnsi="Arial" w:cs="Arial"/>
        </w:rPr>
        <w:t>ouncil in Motion 15029</w:t>
      </w:r>
      <w:r w:rsidRPr="00431A67">
        <w:rPr>
          <w:rFonts w:ascii="Arial" w:hAnsi="Arial" w:cs="Arial"/>
        </w:rPr>
        <w:t xml:space="preserve"> to priori</w:t>
      </w:r>
      <w:r w:rsidR="00431A67">
        <w:rPr>
          <w:rFonts w:ascii="Arial" w:hAnsi="Arial" w:cs="Arial"/>
        </w:rPr>
        <w:t>ze</w:t>
      </w:r>
      <w:r w:rsidRPr="00431A67">
        <w:rPr>
          <w:rFonts w:ascii="Arial" w:hAnsi="Arial" w:cs="Arial"/>
        </w:rPr>
        <w:t xml:space="preserve"> within the priority educational areas when distributing future PSTAA proceeds</w:t>
      </w:r>
      <w:r w:rsidR="00987F65" w:rsidRPr="00431A67">
        <w:rPr>
          <w:rFonts w:ascii="Arial" w:hAnsi="Arial" w:cs="Arial"/>
        </w:rPr>
        <w:t xml:space="preserve"> which include:</w:t>
      </w:r>
    </w:p>
    <w:p w:rsidR="00431A67" w:rsidRPr="00431A67" w:rsidRDefault="00431A67" w:rsidP="00987F65">
      <w:pPr>
        <w:jc w:val="both"/>
        <w:rPr>
          <w:rFonts w:ascii="Arial" w:hAnsi="Arial" w:cs="Arial"/>
        </w:rPr>
      </w:pPr>
    </w:p>
    <w:p w:rsidR="00431A67" w:rsidRPr="00431A67" w:rsidRDefault="00987F65" w:rsidP="00431A67">
      <w:pPr>
        <w:pStyle w:val="ListParagraph0"/>
        <w:numPr>
          <w:ilvl w:val="0"/>
          <w:numId w:val="45"/>
        </w:numPr>
        <w:jc w:val="both"/>
        <w:rPr>
          <w:rFonts w:ascii="Arial" w:hAnsi="Arial" w:cs="Arial"/>
        </w:rPr>
      </w:pPr>
      <w:r w:rsidRPr="00431A67">
        <w:rPr>
          <w:rFonts w:ascii="Arial" w:hAnsi="Arial" w:cs="Arial"/>
          <w:color w:val="000000"/>
          <w:shd w:val="clear" w:color="auto" w:fill="FFFFFF"/>
        </w:rPr>
        <w:t xml:space="preserve">children and youth or color; </w:t>
      </w:r>
    </w:p>
    <w:p w:rsidR="00431A67" w:rsidRPr="00431A67" w:rsidRDefault="00987F65" w:rsidP="00431A67">
      <w:pPr>
        <w:pStyle w:val="ListParagraph0"/>
        <w:numPr>
          <w:ilvl w:val="0"/>
          <w:numId w:val="45"/>
        </w:numPr>
        <w:jc w:val="both"/>
        <w:rPr>
          <w:rFonts w:ascii="Arial" w:hAnsi="Arial" w:cs="Arial"/>
        </w:rPr>
      </w:pPr>
      <w:r w:rsidRPr="00431A67">
        <w:rPr>
          <w:rFonts w:ascii="Arial" w:hAnsi="Arial" w:cs="Arial"/>
          <w:color w:val="000000"/>
          <w:shd w:val="clear" w:color="auto" w:fill="FFFFFF"/>
        </w:rPr>
        <w:t xml:space="preserve">children and youth in families with low-income; children or youth who are homeless, in the foster care system or in the child welfare system; </w:t>
      </w:r>
    </w:p>
    <w:p w:rsidR="00987F65" w:rsidRPr="00431A67" w:rsidRDefault="00987F65" w:rsidP="00431A67">
      <w:pPr>
        <w:pStyle w:val="ListParagraph0"/>
        <w:numPr>
          <w:ilvl w:val="0"/>
          <w:numId w:val="45"/>
        </w:numPr>
        <w:jc w:val="both"/>
        <w:rPr>
          <w:rFonts w:ascii="Arial" w:hAnsi="Arial" w:cs="Arial"/>
        </w:rPr>
      </w:pPr>
      <w:r w:rsidRPr="00431A67">
        <w:rPr>
          <w:rFonts w:ascii="Arial" w:hAnsi="Arial" w:cs="Arial"/>
          <w:color w:val="000000"/>
          <w:shd w:val="clear" w:color="auto" w:fill="FFFFFF"/>
        </w:rPr>
        <w:t>children or youth who are involved in the juvenile justice system; or otherwise vulnerable children or youth.</w:t>
      </w:r>
    </w:p>
    <w:p w:rsidR="009F5665" w:rsidRDefault="009F5665" w:rsidP="009F5665">
      <w:pPr>
        <w:jc w:val="both"/>
        <w:rPr>
          <w:rFonts w:ascii="Arial" w:hAnsi="Arial" w:cs="Arial"/>
        </w:rPr>
      </w:pPr>
    </w:p>
    <w:p w:rsidR="009F5665" w:rsidRDefault="009F5665" w:rsidP="005B478C">
      <w:pPr>
        <w:jc w:val="both"/>
        <w:rPr>
          <w:rFonts w:ascii="Arial" w:hAnsi="Arial" w:cs="Arial"/>
        </w:rPr>
      </w:pPr>
      <w:r w:rsidRPr="00225BB4">
        <w:rPr>
          <w:rFonts w:ascii="Arial" w:hAnsi="Arial" w:cs="Arial"/>
        </w:rPr>
        <w:t xml:space="preserve">Further, </w:t>
      </w:r>
      <w:r>
        <w:rPr>
          <w:rFonts w:ascii="Arial" w:hAnsi="Arial" w:cs="Arial"/>
        </w:rPr>
        <w:t>the Motion</w:t>
      </w:r>
      <w:r w:rsidRPr="00225BB4">
        <w:rPr>
          <w:rFonts w:ascii="Arial" w:hAnsi="Arial" w:cs="Arial"/>
        </w:rPr>
        <w:t xml:space="preserve"> requests that the executive work with </w:t>
      </w:r>
      <w:r w:rsidR="00A0464B">
        <w:rPr>
          <w:rFonts w:ascii="Arial" w:hAnsi="Arial" w:cs="Arial"/>
        </w:rPr>
        <w:t>C</w:t>
      </w:r>
      <w:r w:rsidRPr="00225BB4">
        <w:rPr>
          <w:rFonts w:ascii="Arial" w:hAnsi="Arial" w:cs="Arial"/>
        </w:rPr>
        <w:t>ouncil staff, stakeholders and the community to develop a plan to distribute PSTAA proceeds</w:t>
      </w:r>
      <w:r>
        <w:rPr>
          <w:rFonts w:ascii="Arial" w:hAnsi="Arial" w:cs="Arial"/>
        </w:rPr>
        <w:t xml:space="preserve">. This plan is requested to be transmitted by the executive to the </w:t>
      </w:r>
      <w:r w:rsidR="00A0464B">
        <w:rPr>
          <w:rFonts w:ascii="Arial" w:hAnsi="Arial" w:cs="Arial"/>
        </w:rPr>
        <w:t>C</w:t>
      </w:r>
      <w:r>
        <w:rPr>
          <w:rFonts w:ascii="Arial" w:hAnsi="Arial" w:cs="Arial"/>
        </w:rPr>
        <w:t>ouncil within six months of the effective date of the motion.</w:t>
      </w:r>
      <w:r w:rsidR="00987F65">
        <w:rPr>
          <w:rFonts w:ascii="Arial" w:hAnsi="Arial" w:cs="Arial"/>
        </w:rPr>
        <w:t xml:space="preserve"> The Motion specifically requests the plan to include:</w:t>
      </w:r>
    </w:p>
    <w:p w:rsidR="00225BB4" w:rsidRPr="00225BB4" w:rsidRDefault="00225BB4" w:rsidP="00225BB4">
      <w:pPr>
        <w:jc w:val="both"/>
        <w:rPr>
          <w:rFonts w:ascii="Arial" w:hAnsi="Arial" w:cs="Arial"/>
        </w:rPr>
      </w:pPr>
    </w:p>
    <w:p w:rsidR="00225BB4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 xml:space="preserve">a governance structure to include, but not limited to, periodic evaluation of outcomes, equity and efficacy of Puget Sound Taxpayer Accountability Account proceed investments, and potential advisory groups to inform the </w:t>
      </w:r>
      <w:r w:rsidR="00A0464B">
        <w:rPr>
          <w:rFonts w:ascii="Arial" w:hAnsi="Arial" w:cs="Arial"/>
        </w:rPr>
        <w:t>C</w:t>
      </w:r>
      <w:r w:rsidRPr="00225BB4">
        <w:rPr>
          <w:rFonts w:ascii="Arial" w:hAnsi="Arial" w:cs="Arial"/>
        </w:rPr>
        <w:t>ouncil on on-going and changing educational needs in King County throughout the life of the Puget Sound Taxpayer Accountability Account;</w:t>
      </w:r>
    </w:p>
    <w:p w:rsidR="00987F65" w:rsidRPr="00225BB4" w:rsidRDefault="00987F65" w:rsidP="00987F65">
      <w:pPr>
        <w:pStyle w:val="ListParagraph0"/>
        <w:autoSpaceDE w:val="0"/>
        <w:autoSpaceDN w:val="0"/>
        <w:adjustRightInd w:val="0"/>
        <w:rPr>
          <w:rFonts w:ascii="Arial" w:hAnsi="Arial" w:cs="Arial"/>
        </w:rPr>
      </w:pPr>
    </w:p>
    <w:p w:rsidR="00225BB4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>criteria for allocating proceeds and for what duration;</w:t>
      </w:r>
    </w:p>
    <w:p w:rsidR="00987F65" w:rsidRPr="00987F65" w:rsidRDefault="00987F65" w:rsidP="00987F65">
      <w:pPr>
        <w:autoSpaceDE w:val="0"/>
        <w:autoSpaceDN w:val="0"/>
        <w:adjustRightInd w:val="0"/>
        <w:rPr>
          <w:rFonts w:ascii="Arial" w:hAnsi="Arial" w:cs="Arial"/>
        </w:rPr>
      </w:pPr>
    </w:p>
    <w:p w:rsidR="00225BB4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 xml:space="preserve"> a financial plan based on the most recent revenue estimates from Sound Transit for the life of the</w:t>
      </w:r>
      <w:r>
        <w:rPr>
          <w:rFonts w:ascii="Arial" w:hAnsi="Arial" w:cs="Arial"/>
        </w:rPr>
        <w:t xml:space="preserve"> </w:t>
      </w:r>
      <w:r w:rsidRPr="00225BB4">
        <w:rPr>
          <w:rFonts w:ascii="Arial" w:hAnsi="Arial" w:cs="Arial"/>
        </w:rPr>
        <w:t>account; and</w:t>
      </w:r>
    </w:p>
    <w:p w:rsidR="00987F65" w:rsidRPr="00987F65" w:rsidRDefault="00987F65" w:rsidP="00987F65">
      <w:pPr>
        <w:autoSpaceDE w:val="0"/>
        <w:autoSpaceDN w:val="0"/>
        <w:adjustRightInd w:val="0"/>
        <w:rPr>
          <w:rFonts w:ascii="Arial" w:hAnsi="Arial" w:cs="Arial"/>
        </w:rPr>
      </w:pPr>
    </w:p>
    <w:p w:rsidR="00225BB4" w:rsidRPr="00987F65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>policies for potential investment of Puget Sound Taxpayer Accountability Account proceeds in</w:t>
      </w:r>
      <w:r w:rsidR="00987F65">
        <w:rPr>
          <w:rFonts w:ascii="Arial" w:hAnsi="Arial" w:cs="Arial"/>
        </w:rPr>
        <w:t xml:space="preserve"> </w:t>
      </w:r>
      <w:r w:rsidRPr="00987F65">
        <w:rPr>
          <w:rFonts w:ascii="Arial" w:hAnsi="Arial" w:cs="Arial"/>
        </w:rPr>
        <w:t>facilities.</w:t>
      </w:r>
    </w:p>
    <w:p w:rsidR="00973398" w:rsidRPr="001C4B19" w:rsidRDefault="00973398" w:rsidP="00973398">
      <w:pPr>
        <w:jc w:val="both"/>
        <w:rPr>
          <w:rFonts w:ascii="Arial" w:hAnsi="Arial" w:cs="Arial"/>
          <w:szCs w:val="24"/>
        </w:rPr>
      </w:pPr>
    </w:p>
    <w:p w:rsidR="00973398" w:rsidRDefault="0097339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:rsidR="00973398" w:rsidRDefault="0097339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Propo</w:t>
      </w:r>
      <w:r w:rsidR="004513C8">
        <w:rPr>
          <w:rFonts w:ascii="Arial" w:hAnsi="Arial" w:cs="Arial"/>
          <w:i w:val="0"/>
          <w:szCs w:val="24"/>
        </w:rPr>
        <w:t xml:space="preserve">sed </w:t>
      </w:r>
      <w:r w:rsidR="00664648">
        <w:rPr>
          <w:rFonts w:ascii="Arial" w:hAnsi="Arial" w:cs="Arial"/>
          <w:i w:val="0"/>
          <w:szCs w:val="24"/>
        </w:rPr>
        <w:t>Motion</w:t>
      </w:r>
      <w:r w:rsidRPr="001C4B19">
        <w:rPr>
          <w:rFonts w:ascii="Arial" w:hAnsi="Arial" w:cs="Arial"/>
          <w:i w:val="0"/>
          <w:szCs w:val="24"/>
        </w:rPr>
        <w:t xml:space="preserve"> </w:t>
      </w:r>
      <w:r w:rsidR="004513C8">
        <w:rPr>
          <w:rFonts w:ascii="Arial" w:hAnsi="Arial" w:cs="Arial"/>
          <w:i w:val="0"/>
          <w:szCs w:val="24"/>
        </w:rPr>
        <w:t>2019-0245</w:t>
      </w:r>
    </w:p>
    <w:p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bookmarkStart w:id="0" w:name="_GoBack"/>
      <w:bookmarkEnd w:id="0"/>
    </w:p>
    <w:sectPr w:rsidR="00C521D8" w:rsidRPr="001C4B19" w:rsidSect="00C75025">
      <w:headerReference w:type="first" r:id="rId9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1C" w:rsidRDefault="005E7C1C">
      <w:r>
        <w:separator/>
      </w:r>
    </w:p>
  </w:endnote>
  <w:endnote w:type="continuationSeparator" w:id="0">
    <w:p w:rsidR="005E7C1C" w:rsidRDefault="005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1C" w:rsidRDefault="005E7C1C">
      <w:r>
        <w:separator/>
      </w:r>
    </w:p>
  </w:footnote>
  <w:footnote w:type="continuationSeparator" w:id="0">
    <w:p w:rsidR="005E7C1C" w:rsidRDefault="005E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151E3B58" wp14:editId="43D7499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FF2080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15F41"/>
    <w:multiLevelType w:val="hybridMultilevel"/>
    <w:tmpl w:val="1D1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4259B"/>
    <w:multiLevelType w:val="hybridMultilevel"/>
    <w:tmpl w:val="D11E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14FFC"/>
    <w:multiLevelType w:val="hybridMultilevel"/>
    <w:tmpl w:val="74CE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F16E69"/>
    <w:multiLevelType w:val="hybridMultilevel"/>
    <w:tmpl w:val="E91C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C3068"/>
    <w:multiLevelType w:val="hybridMultilevel"/>
    <w:tmpl w:val="6ACA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2"/>
  </w:num>
  <w:num w:numId="4">
    <w:abstractNumId w:val="45"/>
  </w:num>
  <w:num w:numId="5">
    <w:abstractNumId w:val="42"/>
  </w:num>
  <w:num w:numId="6">
    <w:abstractNumId w:val="14"/>
  </w:num>
  <w:num w:numId="7">
    <w:abstractNumId w:val="43"/>
  </w:num>
  <w:num w:numId="8">
    <w:abstractNumId w:val="16"/>
  </w:num>
  <w:num w:numId="9">
    <w:abstractNumId w:val="3"/>
  </w:num>
  <w:num w:numId="10">
    <w:abstractNumId w:val="44"/>
  </w:num>
  <w:num w:numId="11">
    <w:abstractNumId w:val="2"/>
  </w:num>
  <w:num w:numId="12">
    <w:abstractNumId w:val="20"/>
  </w:num>
  <w:num w:numId="13">
    <w:abstractNumId w:val="23"/>
  </w:num>
  <w:num w:numId="14">
    <w:abstractNumId w:val="19"/>
  </w:num>
  <w:num w:numId="15">
    <w:abstractNumId w:val="26"/>
  </w:num>
  <w:num w:numId="16">
    <w:abstractNumId w:val="17"/>
  </w:num>
  <w:num w:numId="17">
    <w:abstractNumId w:val="37"/>
  </w:num>
  <w:num w:numId="18">
    <w:abstractNumId w:val="24"/>
  </w:num>
  <w:num w:numId="19">
    <w:abstractNumId w:val="33"/>
  </w:num>
  <w:num w:numId="20">
    <w:abstractNumId w:val="27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  <w:num w:numId="28">
    <w:abstractNumId w:val="10"/>
  </w:num>
  <w:num w:numId="29">
    <w:abstractNumId w:val="29"/>
  </w:num>
  <w:num w:numId="30">
    <w:abstractNumId w:val="1"/>
  </w:num>
  <w:num w:numId="31">
    <w:abstractNumId w:val="35"/>
  </w:num>
  <w:num w:numId="32">
    <w:abstractNumId w:val="38"/>
  </w:num>
  <w:num w:numId="33">
    <w:abstractNumId w:val="15"/>
  </w:num>
  <w:num w:numId="34">
    <w:abstractNumId w:val="11"/>
  </w:num>
  <w:num w:numId="35">
    <w:abstractNumId w:val="7"/>
  </w:num>
  <w:num w:numId="36">
    <w:abstractNumId w:val="28"/>
  </w:num>
  <w:num w:numId="37">
    <w:abstractNumId w:val="39"/>
  </w:num>
  <w:num w:numId="38">
    <w:abstractNumId w:val="21"/>
  </w:num>
  <w:num w:numId="39">
    <w:abstractNumId w:val="34"/>
  </w:num>
  <w:num w:numId="40">
    <w:abstractNumId w:val="30"/>
  </w:num>
  <w:num w:numId="41">
    <w:abstractNumId w:val="40"/>
  </w:num>
  <w:num w:numId="42">
    <w:abstractNumId w:val="36"/>
  </w:num>
  <w:num w:numId="43">
    <w:abstractNumId w:val="31"/>
  </w:num>
  <w:num w:numId="44">
    <w:abstractNumId w:val="18"/>
  </w:num>
  <w:num w:numId="45">
    <w:abstractNumId w:val="13"/>
  </w:num>
  <w:num w:numId="4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1A3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44D1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5BB4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10A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55F1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1729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3B9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06B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A67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13C8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1C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040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57C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3747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501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3E6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398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87F65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9F5665"/>
    <w:rsid w:val="00A02216"/>
    <w:rsid w:val="00A0380E"/>
    <w:rsid w:val="00A0464B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1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56398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12A6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2378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5B9B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4C20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0A1E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3527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6E83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08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34D3"/>
  <w15:docId w15:val="{2E44356D-81C7-4B64-9C9C-AEDBF36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kc1-my.sharepoint.com/personal/jeff_muhm_kingcounty_gov/Documents/Documents/PSTAA/Copy%20of%20Education%20Offset%20Cash%20Flow%20by%20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King County</a:t>
            </a:r>
            <a:r>
              <a:rPr lang="en-US" b="1" baseline="0"/>
              <a:t> </a:t>
            </a:r>
            <a:r>
              <a:rPr lang="en-US" b="1"/>
              <a:t>PSTAA Funds Estimate 2019 ($ 000)</a:t>
            </a:r>
          </a:p>
        </c:rich>
      </c:tx>
      <c:layout>
        <c:manualLayout>
          <c:xMode val="edge"/>
          <c:yMode val="edge"/>
          <c:x val="0.22335221295958957"/>
          <c:y val="2.4398594651111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'2019 Estimates'!$F$1:$U$1</c:f>
              <c:numCache>
                <c:formatCode>General</c:formatCode>
                <c:ptCount val="1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  <c:pt idx="11">
                  <c:v>2030</c:v>
                </c:pt>
                <c:pt idx="12">
                  <c:v>2031</c:v>
                </c:pt>
                <c:pt idx="13">
                  <c:v>2032</c:v>
                </c:pt>
                <c:pt idx="14">
                  <c:v>2033</c:v>
                </c:pt>
                <c:pt idx="15">
                  <c:v>2034</c:v>
                </c:pt>
              </c:numCache>
            </c:numRef>
          </c:cat>
          <c:val>
            <c:numRef>
              <c:f>'2019 Estimates'!$F$6:$U$6</c:f>
              <c:numCache>
                <c:formatCode>_("$"* #,##0_);_("$"* \(#,##0\);_("$"* "-"??_);_(@_)</c:formatCode>
                <c:ptCount val="16"/>
                <c:pt idx="0">
                  <c:v>798.24855119124277</c:v>
                </c:pt>
                <c:pt idx="1">
                  <c:v>9840.4796198943968</c:v>
                </c:pt>
                <c:pt idx="2">
                  <c:v>14426.079005305788</c:v>
                </c:pt>
                <c:pt idx="3">
                  <c:v>17358.406101881093</c:v>
                </c:pt>
                <c:pt idx="4">
                  <c:v>14253.892960575331</c:v>
                </c:pt>
                <c:pt idx="5">
                  <c:v>16063.960163418977</c:v>
                </c:pt>
                <c:pt idx="6">
                  <c:v>15893.925949008199</c:v>
                </c:pt>
                <c:pt idx="7">
                  <c:v>23547.461814471731</c:v>
                </c:pt>
                <c:pt idx="8">
                  <c:v>32188.039054245288</c:v>
                </c:pt>
                <c:pt idx="9">
                  <c:v>42114.799017513986</c:v>
                </c:pt>
                <c:pt idx="10">
                  <c:v>37819.113674799504</c:v>
                </c:pt>
                <c:pt idx="11">
                  <c:v>28773.115172932226</c:v>
                </c:pt>
                <c:pt idx="12">
                  <c:v>23304.333078085736</c:v>
                </c:pt>
                <c:pt idx="13">
                  <c:v>27632.637344851373</c:v>
                </c:pt>
                <c:pt idx="14">
                  <c:v>14056.854274181855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5-4A4E-99A8-A700F4FBE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736736"/>
        <c:axId val="24973634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'2019 Estimates'!$F$1:$U$1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  <c:pt idx="3">
                        <c:v>2022</c:v>
                      </c:pt>
                      <c:pt idx="4">
                        <c:v>2023</c:v>
                      </c:pt>
                      <c:pt idx="5">
                        <c:v>2024</c:v>
                      </c:pt>
                      <c:pt idx="6">
                        <c:v>2025</c:v>
                      </c:pt>
                      <c:pt idx="7">
                        <c:v>2026</c:v>
                      </c:pt>
                      <c:pt idx="8">
                        <c:v>2027</c:v>
                      </c:pt>
                      <c:pt idx="9">
                        <c:v>2028</c:v>
                      </c:pt>
                      <c:pt idx="10">
                        <c:v>2029</c:v>
                      </c:pt>
                      <c:pt idx="11">
                        <c:v>2030</c:v>
                      </c:pt>
                      <c:pt idx="12">
                        <c:v>2031</c:v>
                      </c:pt>
                      <c:pt idx="13">
                        <c:v>2032</c:v>
                      </c:pt>
                      <c:pt idx="14">
                        <c:v>2033</c:v>
                      </c:pt>
                      <c:pt idx="15">
                        <c:v>2034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'2019 Estimates'!$F$7:$U$7</c15:sqref>
                        </c15:formulaRef>
                      </c:ext>
                    </c:extLst>
                    <c:numCache>
                      <c:formatCode>_("$"* #,##0_);_("$"* \(#,##0\);_("$"* "-"??_);_(@_)</c:formatCode>
                      <c:ptCount val="16"/>
                      <c:pt idx="0">
                        <c:v>304.86799742433999</c:v>
                      </c:pt>
                      <c:pt idx="1">
                        <c:v>3758.2872038229229</c:v>
                      </c:pt>
                      <c:pt idx="2">
                        <c:v>5509.6245529911575</c:v>
                      </c:pt>
                      <c:pt idx="3">
                        <c:v>6629.5422633232947</c:v>
                      </c:pt>
                      <c:pt idx="4">
                        <c:v>5443.8630623338249</c:v>
                      </c:pt>
                      <c:pt idx="5">
                        <c:v>6135.1659936212154</c:v>
                      </c:pt>
                      <c:pt idx="6">
                        <c:v>6070.226332454683</c:v>
                      </c:pt>
                      <c:pt idx="7">
                        <c:v>8993.2734824146446</c:v>
                      </c:pt>
                      <c:pt idx="8">
                        <c:v>12293.292600205676</c:v>
                      </c:pt>
                      <c:pt idx="9">
                        <c:v>16084.532091210773</c:v>
                      </c:pt>
                      <c:pt idx="10">
                        <c:v>14443.919044003751</c:v>
                      </c:pt>
                      <c:pt idx="11">
                        <c:v>10989.060975232715</c:v>
                      </c:pt>
                      <c:pt idx="12">
                        <c:v>8900.4174780189005</c:v>
                      </c:pt>
                      <c:pt idx="13">
                        <c:v>10553.48838191576</c:v>
                      </c:pt>
                      <c:pt idx="14">
                        <c:v>5368.6098224171883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C75-4A4E-99A8-A700F4FBE57D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'2019 Estimates'!$F$1:$U$1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  <c:pt idx="3">
                        <c:v>2022</c:v>
                      </c:pt>
                      <c:pt idx="4">
                        <c:v>2023</c:v>
                      </c:pt>
                      <c:pt idx="5">
                        <c:v>2024</c:v>
                      </c:pt>
                      <c:pt idx="6">
                        <c:v>2025</c:v>
                      </c:pt>
                      <c:pt idx="7">
                        <c:v>2026</c:v>
                      </c:pt>
                      <c:pt idx="8">
                        <c:v>2027</c:v>
                      </c:pt>
                      <c:pt idx="9">
                        <c:v>2028</c:v>
                      </c:pt>
                      <c:pt idx="10">
                        <c:v>2029</c:v>
                      </c:pt>
                      <c:pt idx="11">
                        <c:v>2030</c:v>
                      </c:pt>
                      <c:pt idx="12">
                        <c:v>2031</c:v>
                      </c:pt>
                      <c:pt idx="13">
                        <c:v>2032</c:v>
                      </c:pt>
                      <c:pt idx="14">
                        <c:v>2033</c:v>
                      </c:pt>
                      <c:pt idx="15">
                        <c:v>2034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'2019 Estimates'!$F$8:$U$8</c15:sqref>
                        </c15:formulaRef>
                      </c:ext>
                    </c:extLst>
                    <c:numCache>
                      <c:formatCode>_("$"* #,##0_);_("$"* \(#,##0\);_("$"* "-"??_);_(@_)</c:formatCode>
                      <c:ptCount val="16"/>
                      <c:pt idx="0">
                        <c:v>196.88345138441724</c:v>
                      </c:pt>
                      <c:pt idx="1">
                        <c:v>2427.0981612826781</c:v>
                      </c:pt>
                      <c:pt idx="2">
                        <c:v>3558.1100902348167</c:v>
                      </c:pt>
                      <c:pt idx="3">
                        <c:v>4281.3518405646319</c:v>
                      </c:pt>
                      <c:pt idx="4">
                        <c:v>3515.6413845714319</c:v>
                      </c:pt>
                      <c:pt idx="5">
                        <c:v>3962.0841342660897</c:v>
                      </c:pt>
                      <c:pt idx="6">
                        <c:v>3920.146165275512</c:v>
                      </c:pt>
                      <c:pt idx="7">
                        <c:v>5807.8471253814505</c:v>
                      </c:pt>
                      <c:pt idx="8">
                        <c:v>7938.9962096880145</c:v>
                      </c:pt>
                      <c:pt idx="9">
                        <c:v>10387.374925460663</c:v>
                      </c:pt>
                      <c:pt idx="10">
                        <c:v>9327.8686412676616</c:v>
                      </c:pt>
                      <c:pt idx="11">
                        <c:v>7096.7247154715387</c:v>
                      </c:pt>
                      <c:pt idx="12">
                        <c:v>5747.8808095278573</c:v>
                      </c:pt>
                      <c:pt idx="13">
                        <c:v>6815.4323652569656</c:v>
                      </c:pt>
                      <c:pt idx="14">
                        <c:v>3467.0429166186786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C75-4A4E-99A8-A700F4FBE57D}"/>
                  </c:ext>
                </c:extLst>
              </c15:ser>
            </c15:filteredBarSeries>
          </c:ext>
        </c:extLst>
      </c:barChart>
      <c:dateAx>
        <c:axId val="2497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736344"/>
        <c:crosses val="autoZero"/>
        <c:auto val="0"/>
        <c:lblOffset val="100"/>
        <c:baseTimeUnit val="days"/>
      </c:dateAx>
      <c:valAx>
        <c:axId val="24973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73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DF5D-1DE4-4FF9-B348-A1257C0F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3</cp:revision>
  <cp:lastPrinted>2015-03-13T15:09:00Z</cp:lastPrinted>
  <dcterms:created xsi:type="dcterms:W3CDTF">2019-06-12T15:43:00Z</dcterms:created>
  <dcterms:modified xsi:type="dcterms:W3CDTF">2019-06-12T22:10:00Z</dcterms:modified>
</cp:coreProperties>
</file>