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CA55" w14:textId="75F4483D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3474EDEE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04D88F24" w14:textId="77777777" w:rsidR="00EB5A13" w:rsidRPr="00F3508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74B2D854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D17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BA00" w14:textId="5F47CC03" w:rsidR="00EB5A13" w:rsidRPr="009349D6" w:rsidRDefault="001021BC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3FC8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CBD0" w14:textId="16617B71" w:rsidR="00AA36AD" w:rsidRPr="009349D6" w:rsidRDefault="009263D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EB5A13" w:rsidRPr="009349D6" w14:paraId="0E5AF17A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12B1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3AA" w14:textId="7BBB4348" w:rsidR="00EB5A13" w:rsidRPr="009349D6" w:rsidRDefault="00F86625" w:rsidP="001021B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263D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-B</w:t>
            </w:r>
            <w:r w:rsidR="001021BC">
              <w:rPr>
                <w:rFonts w:ascii="Arial" w:hAnsi="Arial" w:cs="Arial"/>
              </w:rPr>
              <w:t>0004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DF8C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DFF1" w14:textId="411E632F" w:rsidR="00EB5A13" w:rsidRPr="009349D6" w:rsidRDefault="001021BC" w:rsidP="000D74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9, 2019</w:t>
            </w:r>
            <w:bookmarkStart w:id="0" w:name="_GoBack"/>
            <w:bookmarkEnd w:id="0"/>
          </w:p>
        </w:tc>
      </w:tr>
    </w:tbl>
    <w:p w14:paraId="51EE8F64" w14:textId="4385319E" w:rsidR="004349B7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67CD43AD" w14:textId="77777777" w:rsidR="009263DE" w:rsidRDefault="009263DE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7FFC066" w14:textId="77777777" w:rsidR="00C75025" w:rsidRPr="009349D6" w:rsidRDefault="00C75025" w:rsidP="005B478C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3984F76D" w14:textId="131CD405" w:rsidR="00266C01" w:rsidRDefault="00266C01" w:rsidP="00F5533F">
      <w:pPr>
        <w:tabs>
          <w:tab w:val="left" w:pos="2554"/>
        </w:tabs>
        <w:jc w:val="both"/>
        <w:rPr>
          <w:rFonts w:ascii="Arial" w:hAnsi="Arial" w:cs="Arial"/>
        </w:rPr>
      </w:pPr>
    </w:p>
    <w:p w14:paraId="3D14D96E" w14:textId="43C9C393" w:rsidR="00E541E9" w:rsidRDefault="00EB7E8B" w:rsidP="005B478C">
      <w:pPr>
        <w:jc w:val="both"/>
        <w:rPr>
          <w:rFonts w:ascii="Arial" w:hAnsi="Arial" w:cs="Arial"/>
        </w:rPr>
      </w:pPr>
      <w:r w:rsidRPr="00A80DF2">
        <w:rPr>
          <w:rFonts w:ascii="Arial" w:hAnsi="Arial" w:cs="Arial"/>
        </w:rPr>
        <w:t xml:space="preserve">Today’s briefing </w:t>
      </w:r>
      <w:r w:rsidR="004A51C7">
        <w:rPr>
          <w:rFonts w:ascii="Arial" w:hAnsi="Arial" w:cs="Arial"/>
        </w:rPr>
        <w:t xml:space="preserve">will </w:t>
      </w:r>
      <w:r w:rsidR="00237468">
        <w:rPr>
          <w:rFonts w:ascii="Arial" w:hAnsi="Arial" w:cs="Arial"/>
        </w:rPr>
        <w:t xml:space="preserve">provide an overview of </w:t>
      </w:r>
      <w:r w:rsidR="000D745A">
        <w:rPr>
          <w:rFonts w:ascii="Arial" w:hAnsi="Arial" w:cs="Arial"/>
        </w:rPr>
        <w:t xml:space="preserve">bond </w:t>
      </w:r>
      <w:r w:rsidR="00BC3B8C">
        <w:rPr>
          <w:rFonts w:ascii="Arial" w:hAnsi="Arial" w:cs="Arial"/>
        </w:rPr>
        <w:t>allocation</w:t>
      </w:r>
      <w:r w:rsidR="000D745A">
        <w:rPr>
          <w:rFonts w:ascii="Arial" w:hAnsi="Arial" w:cs="Arial"/>
        </w:rPr>
        <w:t xml:space="preserve"> for transit-oriented development (TOD) affordable housing</w:t>
      </w:r>
      <w:r w:rsidR="005410A0">
        <w:rPr>
          <w:rFonts w:ascii="Arial" w:hAnsi="Arial" w:cs="Arial"/>
        </w:rPr>
        <w:t>. It will cover</w:t>
      </w:r>
      <w:r w:rsidR="000D745A">
        <w:rPr>
          <w:rFonts w:ascii="Arial" w:hAnsi="Arial" w:cs="Arial"/>
        </w:rPr>
        <w:t xml:space="preserve"> both the $87 million approved in 2016 and the </w:t>
      </w:r>
      <w:r w:rsidR="00F31015">
        <w:rPr>
          <w:rFonts w:ascii="Arial" w:hAnsi="Arial" w:cs="Arial"/>
        </w:rPr>
        <w:t xml:space="preserve">additional </w:t>
      </w:r>
      <w:r w:rsidR="000D745A">
        <w:rPr>
          <w:rFonts w:ascii="Arial" w:hAnsi="Arial" w:cs="Arial"/>
        </w:rPr>
        <w:t>$100 million approved as part of the 2019-2020 budget.</w:t>
      </w:r>
      <w:r w:rsidR="00F86625">
        <w:rPr>
          <w:rFonts w:ascii="Arial" w:hAnsi="Arial" w:cs="Arial"/>
        </w:rPr>
        <w:t xml:space="preserve"> </w:t>
      </w:r>
    </w:p>
    <w:p w14:paraId="63E619B7" w14:textId="77777777" w:rsidR="00E603AB" w:rsidRDefault="00E603AB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0D7569A2" w14:textId="77777777" w:rsidR="00C37A37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6C6231C2" w14:textId="77777777" w:rsidR="00074A56" w:rsidRDefault="00074A56" w:rsidP="005B478C">
      <w:pPr>
        <w:jc w:val="both"/>
        <w:rPr>
          <w:rFonts w:ascii="Arial" w:hAnsi="Arial" w:cs="Arial"/>
        </w:rPr>
      </w:pPr>
    </w:p>
    <w:p w14:paraId="445771F7" w14:textId="0E4D77F3" w:rsidR="00223FD5" w:rsidRPr="005410A0" w:rsidRDefault="000D745A" w:rsidP="005410A0">
      <w:pPr>
        <w:jc w:val="both"/>
        <w:rPr>
          <w:rFonts w:ascii="Arial" w:hAnsi="Arial" w:cs="Arial"/>
          <w:szCs w:val="24"/>
        </w:rPr>
      </w:pPr>
      <w:r w:rsidRPr="009B0450">
        <w:rPr>
          <w:rFonts w:ascii="Arial" w:hAnsi="Arial" w:cs="Arial"/>
        </w:rPr>
        <w:t>In 201</w:t>
      </w:r>
      <w:r w:rsidRPr="005410A0">
        <w:rPr>
          <w:rFonts w:ascii="Arial" w:hAnsi="Arial" w:cs="Arial"/>
          <w:szCs w:val="24"/>
        </w:rPr>
        <w:t>5, the State Legislature passed the Workforce Housing Bill,</w:t>
      </w:r>
      <w:r w:rsidRPr="005410A0">
        <w:rPr>
          <w:rStyle w:val="FootnoteReference"/>
          <w:rFonts w:ascii="Arial" w:hAnsi="Arial" w:cs="Arial"/>
          <w:szCs w:val="24"/>
        </w:rPr>
        <w:footnoteReference w:id="1"/>
      </w:r>
      <w:r w:rsidRPr="005410A0">
        <w:rPr>
          <w:rFonts w:ascii="Arial" w:hAnsi="Arial" w:cs="Arial"/>
          <w:szCs w:val="24"/>
        </w:rPr>
        <w:t xml:space="preserve"> which gave </w:t>
      </w:r>
      <w:r w:rsidR="00743F33" w:rsidRPr="005410A0">
        <w:rPr>
          <w:rFonts w:ascii="Arial" w:hAnsi="Arial" w:cs="Arial"/>
          <w:szCs w:val="24"/>
        </w:rPr>
        <w:t>King</w:t>
      </w:r>
      <w:r w:rsidRPr="005410A0">
        <w:rPr>
          <w:rFonts w:ascii="Arial" w:hAnsi="Arial" w:cs="Arial"/>
          <w:szCs w:val="24"/>
        </w:rPr>
        <w:t xml:space="preserve"> County the ability to bond against future (post-2021) lodging tax revenues for </w:t>
      </w:r>
      <w:r w:rsidR="00223FD5" w:rsidRPr="005410A0">
        <w:rPr>
          <w:rFonts w:ascii="Arial" w:hAnsi="Arial" w:cs="Arial"/>
          <w:szCs w:val="24"/>
        </w:rPr>
        <w:t xml:space="preserve">transit-oriented development (TOD) </w:t>
      </w:r>
      <w:r w:rsidRPr="005410A0">
        <w:rPr>
          <w:rFonts w:ascii="Arial" w:hAnsi="Arial" w:cs="Arial"/>
          <w:szCs w:val="24"/>
        </w:rPr>
        <w:t>housing</w:t>
      </w:r>
      <w:r w:rsidR="00223FD5" w:rsidRPr="005410A0">
        <w:rPr>
          <w:rFonts w:ascii="Arial" w:hAnsi="Arial" w:cs="Arial"/>
          <w:szCs w:val="24"/>
        </w:rPr>
        <w:t xml:space="preserve"> affordable to households earning between 30 and 80 percent of area median income</w:t>
      </w:r>
      <w:r w:rsidRPr="005410A0">
        <w:rPr>
          <w:rFonts w:ascii="Arial" w:hAnsi="Arial" w:cs="Arial"/>
          <w:szCs w:val="24"/>
        </w:rPr>
        <w:t xml:space="preserve">. </w:t>
      </w:r>
    </w:p>
    <w:p w14:paraId="3FFE358F" w14:textId="77777777" w:rsidR="00223FD5" w:rsidRPr="005410A0" w:rsidRDefault="00223FD5" w:rsidP="005410A0">
      <w:pPr>
        <w:jc w:val="both"/>
        <w:rPr>
          <w:rFonts w:ascii="Arial" w:hAnsi="Arial" w:cs="Arial"/>
          <w:szCs w:val="24"/>
        </w:rPr>
      </w:pPr>
    </w:p>
    <w:p w14:paraId="4E985D14" w14:textId="73BB4C07" w:rsidR="000D745A" w:rsidRPr="005410A0" w:rsidRDefault="000D745A" w:rsidP="005410A0">
      <w:pPr>
        <w:jc w:val="both"/>
        <w:rPr>
          <w:rFonts w:ascii="Arial" w:hAnsi="Arial" w:cs="Arial"/>
          <w:color w:val="000000" w:themeColor="text1"/>
          <w:szCs w:val="24"/>
        </w:rPr>
      </w:pPr>
      <w:r w:rsidRPr="005410A0">
        <w:rPr>
          <w:rFonts w:ascii="Arial" w:hAnsi="Arial" w:cs="Arial"/>
          <w:szCs w:val="24"/>
        </w:rPr>
        <w:t xml:space="preserve">In </w:t>
      </w:r>
      <w:r w:rsidR="00223FD5" w:rsidRPr="005410A0">
        <w:rPr>
          <w:rFonts w:ascii="Arial" w:hAnsi="Arial" w:cs="Arial"/>
          <w:szCs w:val="24"/>
        </w:rPr>
        <w:t>response, in 2016</w:t>
      </w:r>
      <w:r w:rsidRPr="005410A0">
        <w:rPr>
          <w:rFonts w:ascii="Arial" w:hAnsi="Arial" w:cs="Arial"/>
          <w:szCs w:val="24"/>
        </w:rPr>
        <w:t xml:space="preserve">, the </w:t>
      </w:r>
      <w:r w:rsidR="00743F33" w:rsidRPr="005410A0">
        <w:rPr>
          <w:rFonts w:ascii="Arial" w:hAnsi="Arial" w:cs="Arial"/>
          <w:szCs w:val="24"/>
        </w:rPr>
        <w:t xml:space="preserve">Executive and </w:t>
      </w:r>
      <w:r w:rsidRPr="005410A0">
        <w:rPr>
          <w:rFonts w:ascii="Arial" w:hAnsi="Arial" w:cs="Arial"/>
          <w:szCs w:val="24"/>
        </w:rPr>
        <w:t xml:space="preserve">Council </w:t>
      </w:r>
      <w:r w:rsidR="00743F33" w:rsidRPr="005410A0">
        <w:rPr>
          <w:rFonts w:ascii="Arial" w:hAnsi="Arial" w:cs="Arial"/>
          <w:szCs w:val="24"/>
        </w:rPr>
        <w:t>developed</w:t>
      </w:r>
      <w:r w:rsidRPr="005410A0">
        <w:rPr>
          <w:rFonts w:ascii="Arial" w:hAnsi="Arial" w:cs="Arial"/>
          <w:szCs w:val="24"/>
        </w:rPr>
        <w:t xml:space="preserve"> an $87 million </w:t>
      </w:r>
      <w:r w:rsidR="005410A0">
        <w:rPr>
          <w:rFonts w:ascii="Arial" w:hAnsi="Arial" w:cs="Arial"/>
          <w:szCs w:val="24"/>
        </w:rPr>
        <w:t xml:space="preserve">TOD </w:t>
      </w:r>
      <w:r w:rsidRPr="005410A0">
        <w:rPr>
          <w:rFonts w:ascii="Arial" w:hAnsi="Arial" w:cs="Arial"/>
          <w:szCs w:val="24"/>
        </w:rPr>
        <w:t xml:space="preserve">bond allocation plan </w:t>
      </w:r>
      <w:r w:rsidR="005410A0">
        <w:rPr>
          <w:rFonts w:ascii="Arial" w:hAnsi="Arial" w:cs="Arial"/>
          <w:szCs w:val="24"/>
        </w:rPr>
        <w:t>that included</w:t>
      </w:r>
      <w:r w:rsidRPr="005410A0">
        <w:rPr>
          <w:rFonts w:ascii="Arial" w:hAnsi="Arial" w:cs="Arial"/>
          <w:szCs w:val="24"/>
        </w:rPr>
        <w:t xml:space="preserve"> geographic requirements for where the bond funds </w:t>
      </w:r>
      <w:proofErr w:type="gramStart"/>
      <w:r w:rsidRPr="005410A0">
        <w:rPr>
          <w:rFonts w:ascii="Arial" w:hAnsi="Arial" w:cs="Arial"/>
          <w:szCs w:val="24"/>
        </w:rPr>
        <w:t>would be spent</w:t>
      </w:r>
      <w:proofErr w:type="gramEnd"/>
      <w:r w:rsidRPr="005410A0">
        <w:rPr>
          <w:rFonts w:ascii="Arial" w:hAnsi="Arial" w:cs="Arial"/>
          <w:szCs w:val="24"/>
        </w:rPr>
        <w:t>.</w:t>
      </w:r>
      <w:r w:rsidRPr="005410A0">
        <w:rPr>
          <w:rStyle w:val="FootnoteReference"/>
          <w:rFonts w:ascii="Arial" w:hAnsi="Arial" w:cs="Arial"/>
          <w:szCs w:val="24"/>
        </w:rPr>
        <w:footnoteReference w:id="2"/>
      </w:r>
      <w:r w:rsidRPr="005410A0">
        <w:rPr>
          <w:rFonts w:ascii="Arial" w:hAnsi="Arial" w:cs="Arial"/>
          <w:szCs w:val="24"/>
        </w:rPr>
        <w:t xml:space="preserve"> To date, $50 million </w:t>
      </w:r>
      <w:r w:rsidR="005410A0">
        <w:rPr>
          <w:rFonts w:ascii="Arial" w:hAnsi="Arial" w:cs="Arial"/>
          <w:szCs w:val="24"/>
        </w:rPr>
        <w:t xml:space="preserve">from this 2016 TOD plan </w:t>
      </w:r>
      <w:proofErr w:type="gramStart"/>
      <w:r w:rsidRPr="005410A0">
        <w:rPr>
          <w:rFonts w:ascii="Arial" w:hAnsi="Arial" w:cs="Arial"/>
          <w:szCs w:val="24"/>
        </w:rPr>
        <w:t xml:space="preserve">has been </w:t>
      </w:r>
      <w:r w:rsidR="005D0202" w:rsidRPr="005410A0">
        <w:rPr>
          <w:rFonts w:ascii="Arial" w:hAnsi="Arial" w:cs="Arial"/>
          <w:szCs w:val="24"/>
        </w:rPr>
        <w:t>awarded</w:t>
      </w:r>
      <w:proofErr w:type="gramEnd"/>
      <w:r w:rsidR="005D0202" w:rsidRPr="005410A0">
        <w:rPr>
          <w:rFonts w:ascii="Arial" w:hAnsi="Arial" w:cs="Arial"/>
          <w:szCs w:val="24"/>
        </w:rPr>
        <w:t xml:space="preserve"> to specific </w:t>
      </w:r>
      <w:r w:rsidR="005410A0">
        <w:rPr>
          <w:rFonts w:ascii="Arial" w:hAnsi="Arial" w:cs="Arial"/>
          <w:szCs w:val="24"/>
        </w:rPr>
        <w:t xml:space="preserve">affordable housing </w:t>
      </w:r>
      <w:r w:rsidR="005D0202" w:rsidRPr="005410A0">
        <w:rPr>
          <w:rFonts w:ascii="Arial" w:hAnsi="Arial" w:cs="Arial"/>
          <w:szCs w:val="24"/>
        </w:rPr>
        <w:t>projects</w:t>
      </w:r>
      <w:r w:rsidR="005410A0">
        <w:rPr>
          <w:rFonts w:ascii="Arial" w:hAnsi="Arial" w:cs="Arial"/>
          <w:szCs w:val="24"/>
        </w:rPr>
        <w:t>,</w:t>
      </w:r>
      <w:r w:rsidRPr="005410A0">
        <w:rPr>
          <w:rFonts w:ascii="Arial" w:hAnsi="Arial" w:cs="Arial"/>
          <w:szCs w:val="24"/>
        </w:rPr>
        <w:t xml:space="preserve"> and </w:t>
      </w:r>
      <w:r w:rsidR="005D0202" w:rsidRPr="005410A0">
        <w:rPr>
          <w:rFonts w:ascii="Arial" w:hAnsi="Arial" w:cs="Arial"/>
          <w:szCs w:val="24"/>
        </w:rPr>
        <w:t xml:space="preserve">the remaining </w:t>
      </w:r>
      <w:r w:rsidRPr="005410A0">
        <w:rPr>
          <w:rFonts w:ascii="Arial" w:hAnsi="Arial" w:cs="Arial"/>
          <w:szCs w:val="24"/>
        </w:rPr>
        <w:t>$37 million is in the pro</w:t>
      </w:r>
      <w:r w:rsidR="005410A0">
        <w:rPr>
          <w:rFonts w:ascii="Arial" w:hAnsi="Arial" w:cs="Arial"/>
          <w:szCs w:val="24"/>
        </w:rPr>
        <w:t>c</w:t>
      </w:r>
      <w:r w:rsidRPr="005410A0">
        <w:rPr>
          <w:rFonts w:ascii="Arial" w:hAnsi="Arial" w:cs="Arial"/>
          <w:szCs w:val="24"/>
        </w:rPr>
        <w:t>ess of being a</w:t>
      </w:r>
      <w:r w:rsidR="005D0202" w:rsidRPr="005410A0">
        <w:rPr>
          <w:rFonts w:ascii="Arial" w:hAnsi="Arial" w:cs="Arial"/>
          <w:szCs w:val="24"/>
        </w:rPr>
        <w:t>warded</w:t>
      </w:r>
      <w:r w:rsidRPr="005410A0">
        <w:rPr>
          <w:rFonts w:ascii="Arial" w:hAnsi="Arial" w:cs="Arial"/>
          <w:szCs w:val="24"/>
        </w:rPr>
        <w:t xml:space="preserve"> through competitive procurement processes</w:t>
      </w:r>
      <w:r w:rsidR="005D0202" w:rsidRPr="005410A0">
        <w:rPr>
          <w:rFonts w:ascii="Arial" w:hAnsi="Arial" w:cs="Arial"/>
          <w:szCs w:val="24"/>
        </w:rPr>
        <w:t xml:space="preserve">. </w:t>
      </w:r>
    </w:p>
    <w:p w14:paraId="4637A4BA" w14:textId="77777777" w:rsidR="000D745A" w:rsidRPr="005410A0" w:rsidRDefault="000D745A" w:rsidP="005410A0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24392D98" w14:textId="77777777" w:rsidR="004E392E" w:rsidRDefault="000D745A" w:rsidP="005410A0">
      <w:pPr>
        <w:jc w:val="both"/>
        <w:rPr>
          <w:rFonts w:ascii="Arial" w:hAnsi="Arial" w:cs="Arial"/>
          <w:szCs w:val="24"/>
        </w:rPr>
      </w:pPr>
      <w:r w:rsidRPr="005410A0">
        <w:rPr>
          <w:rFonts w:ascii="Arial" w:hAnsi="Arial" w:cs="Arial"/>
          <w:szCs w:val="24"/>
        </w:rPr>
        <w:t xml:space="preserve">Earlier this year, the Executive announced the intention to issue an additional $100 million in lodging tax-backed bonds to support </w:t>
      </w:r>
      <w:r w:rsidR="005410A0">
        <w:rPr>
          <w:rFonts w:ascii="Arial" w:hAnsi="Arial" w:cs="Arial"/>
          <w:szCs w:val="24"/>
        </w:rPr>
        <w:t xml:space="preserve">TOD </w:t>
      </w:r>
      <w:r w:rsidRPr="005410A0">
        <w:rPr>
          <w:rFonts w:ascii="Arial" w:hAnsi="Arial" w:cs="Arial"/>
          <w:szCs w:val="24"/>
        </w:rPr>
        <w:t xml:space="preserve">affordable housing. The Council </w:t>
      </w:r>
      <w:r w:rsidR="005D0202" w:rsidRPr="005410A0">
        <w:rPr>
          <w:rFonts w:ascii="Arial" w:hAnsi="Arial" w:cs="Arial"/>
          <w:szCs w:val="24"/>
        </w:rPr>
        <w:t xml:space="preserve">originally </w:t>
      </w:r>
      <w:r w:rsidRPr="005410A0">
        <w:rPr>
          <w:rFonts w:ascii="Arial" w:hAnsi="Arial" w:cs="Arial"/>
          <w:szCs w:val="24"/>
        </w:rPr>
        <w:t>asked the Executive to transmit a plan for these new bonds by February 28, 2019,</w:t>
      </w:r>
      <w:r w:rsidR="005D0202" w:rsidRPr="005410A0">
        <w:rPr>
          <w:rStyle w:val="FootnoteReference"/>
          <w:rFonts w:ascii="Arial" w:hAnsi="Arial" w:cs="Arial"/>
          <w:szCs w:val="24"/>
        </w:rPr>
        <w:footnoteReference w:id="3"/>
      </w:r>
      <w:r w:rsidRPr="005410A0">
        <w:rPr>
          <w:rFonts w:ascii="Arial" w:hAnsi="Arial" w:cs="Arial"/>
          <w:szCs w:val="24"/>
        </w:rPr>
        <w:t xml:space="preserve"> </w:t>
      </w:r>
      <w:r w:rsidR="005410A0">
        <w:rPr>
          <w:rFonts w:ascii="Arial" w:hAnsi="Arial" w:cs="Arial"/>
          <w:szCs w:val="24"/>
        </w:rPr>
        <w:t xml:space="preserve">but then, in the process of developing the 2019-2020 biennial budget, worked with the Executive to allocate these new, planned bond funds as follows: </w:t>
      </w:r>
    </w:p>
    <w:p w14:paraId="77384ED5" w14:textId="77777777" w:rsidR="004E392E" w:rsidRDefault="004E392E" w:rsidP="004E392E">
      <w:pPr>
        <w:jc w:val="both"/>
        <w:rPr>
          <w:rFonts w:ascii="Arial" w:hAnsi="Arial" w:cs="Arial"/>
          <w:szCs w:val="24"/>
        </w:rPr>
      </w:pPr>
    </w:p>
    <w:p w14:paraId="7BDE84E1" w14:textId="77777777" w:rsidR="004E392E" w:rsidRDefault="005410A0" w:rsidP="004E392E">
      <w:pPr>
        <w:pStyle w:val="ListParagraph0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4E392E">
        <w:rPr>
          <w:rFonts w:ascii="Arial" w:hAnsi="Arial" w:cs="Arial"/>
        </w:rPr>
        <w:t xml:space="preserve">$40 million to specific TOD affordable housing projects; </w:t>
      </w:r>
    </w:p>
    <w:p w14:paraId="714059EA" w14:textId="6CFC846A" w:rsidR="004E392E" w:rsidRDefault="005410A0" w:rsidP="004E392E">
      <w:pPr>
        <w:pStyle w:val="ListParagraph0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4E392E">
        <w:rPr>
          <w:rFonts w:ascii="Arial" w:hAnsi="Arial" w:cs="Arial"/>
        </w:rPr>
        <w:t xml:space="preserve">$30 million to be used by the King County Housing Authority </w:t>
      </w:r>
      <w:r w:rsidR="00FA2C1D">
        <w:rPr>
          <w:rFonts w:ascii="Arial" w:hAnsi="Arial" w:cs="Arial"/>
        </w:rPr>
        <w:t xml:space="preserve">(KCHA) </w:t>
      </w:r>
      <w:r w:rsidR="004E392E">
        <w:rPr>
          <w:rFonts w:ascii="Arial" w:hAnsi="Arial" w:cs="Arial"/>
        </w:rPr>
        <w:t xml:space="preserve">for housing </w:t>
      </w:r>
      <w:r w:rsidRPr="004E392E">
        <w:rPr>
          <w:rFonts w:ascii="Arial" w:hAnsi="Arial" w:cs="Arial"/>
        </w:rPr>
        <w:t>preserv</w:t>
      </w:r>
      <w:r w:rsidR="004E392E">
        <w:rPr>
          <w:rFonts w:ascii="Arial" w:hAnsi="Arial" w:cs="Arial"/>
        </w:rPr>
        <w:t>ation and acquisition</w:t>
      </w:r>
      <w:r w:rsidR="00BC3B8C">
        <w:rPr>
          <w:rFonts w:ascii="Arial" w:hAnsi="Arial" w:cs="Arial"/>
        </w:rPr>
        <w:t xml:space="preserve"> outside Seattle</w:t>
      </w:r>
      <w:r w:rsidRPr="004E392E">
        <w:rPr>
          <w:rFonts w:ascii="Arial" w:hAnsi="Arial" w:cs="Arial"/>
        </w:rPr>
        <w:t xml:space="preserve">, following the development of an allocation plan; and </w:t>
      </w:r>
    </w:p>
    <w:p w14:paraId="188E293E" w14:textId="4521F658" w:rsidR="00D21003" w:rsidRPr="00BC3B8C" w:rsidRDefault="005410A0" w:rsidP="00A203EF">
      <w:pPr>
        <w:pStyle w:val="ListParagraph0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C3B8C">
        <w:rPr>
          <w:rFonts w:ascii="Arial" w:hAnsi="Arial" w:cs="Arial"/>
        </w:rPr>
        <w:t>$30 million to be used for TOD affordable housing throughout the county, following the development of an allocation plan.</w:t>
      </w:r>
      <w:r>
        <w:rPr>
          <w:rStyle w:val="FootnoteReference"/>
          <w:rFonts w:ascii="Arial" w:hAnsi="Arial" w:cs="Arial"/>
        </w:rPr>
        <w:footnoteReference w:id="4"/>
      </w:r>
      <w:r w:rsidR="00D21003" w:rsidRPr="00BC3B8C">
        <w:rPr>
          <w:rFonts w:ascii="Arial" w:hAnsi="Arial" w:cs="Arial"/>
        </w:rPr>
        <w:br w:type="page"/>
      </w:r>
    </w:p>
    <w:p w14:paraId="16D5F5A9" w14:textId="77777777" w:rsidR="000D745A" w:rsidRPr="00743F33" w:rsidRDefault="000D745A" w:rsidP="000D745A">
      <w:pPr>
        <w:jc w:val="both"/>
        <w:rPr>
          <w:rFonts w:ascii="Arial" w:hAnsi="Arial" w:cs="Arial"/>
          <w:szCs w:val="24"/>
        </w:rPr>
      </w:pPr>
    </w:p>
    <w:p w14:paraId="5413BF14" w14:textId="1A26DDA2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14963ECE" w14:textId="579E0F88" w:rsidR="005B3B88" w:rsidRDefault="005B3B88" w:rsidP="005B478C">
      <w:pPr>
        <w:jc w:val="both"/>
        <w:rPr>
          <w:rFonts w:ascii="Arial" w:hAnsi="Arial" w:cs="Arial"/>
        </w:rPr>
      </w:pPr>
    </w:p>
    <w:p w14:paraId="3010EC0F" w14:textId="77777777" w:rsidR="002A7E7C" w:rsidRPr="00544F40" w:rsidRDefault="002A7E7C" w:rsidP="002A7E7C">
      <w:pPr>
        <w:jc w:val="both"/>
        <w:rPr>
          <w:rFonts w:ascii="Arial" w:hAnsi="Arial" w:cs="Arial"/>
        </w:rPr>
      </w:pPr>
      <w:r w:rsidRPr="00AB2D09">
        <w:rPr>
          <w:rFonts w:ascii="Arial" w:hAnsi="Arial" w:cs="Arial"/>
          <w:b/>
        </w:rPr>
        <w:t xml:space="preserve">Lodging Tax Uses. </w:t>
      </w:r>
      <w:r>
        <w:rPr>
          <w:rFonts w:ascii="Arial" w:hAnsi="Arial" w:cs="Arial"/>
        </w:rPr>
        <w:t>RCW 67.28.180 authorizes the County to levy a two percent</w:t>
      </w:r>
      <w:r w:rsidRPr="00544F40">
        <w:rPr>
          <w:rFonts w:ascii="Arial" w:hAnsi="Arial" w:cs="Arial"/>
        </w:rPr>
        <w:t xml:space="preserve"> hotel-motel </w:t>
      </w:r>
      <w:r>
        <w:rPr>
          <w:rFonts w:ascii="Arial" w:hAnsi="Arial" w:cs="Arial"/>
        </w:rPr>
        <w:t xml:space="preserve">(lodging) </w:t>
      </w:r>
      <w:r w:rsidRPr="00544F40">
        <w:rPr>
          <w:rFonts w:ascii="Arial" w:hAnsi="Arial" w:cs="Arial"/>
        </w:rPr>
        <w:t>tax</w:t>
      </w:r>
      <w:r>
        <w:rPr>
          <w:rFonts w:ascii="Arial" w:hAnsi="Arial" w:cs="Arial"/>
        </w:rPr>
        <w:t>.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The allowed uses for that tax vary</w:t>
      </w:r>
      <w:r w:rsidRPr="00544F40">
        <w:rPr>
          <w:rFonts w:ascii="Arial" w:hAnsi="Arial" w:cs="Arial"/>
        </w:rPr>
        <w:t xml:space="preserve"> over time:</w:t>
      </w:r>
    </w:p>
    <w:p w14:paraId="143CC39C" w14:textId="77777777" w:rsidR="002A7E7C" w:rsidRPr="00544F40" w:rsidRDefault="002A7E7C" w:rsidP="002A7E7C">
      <w:pPr>
        <w:jc w:val="both"/>
        <w:rPr>
          <w:rFonts w:ascii="Arial" w:hAnsi="Arial" w:cs="Arial"/>
        </w:rPr>
      </w:pPr>
    </w:p>
    <w:p w14:paraId="7A28E813" w14:textId="15A309D0" w:rsidR="002A7E7C" w:rsidRPr="00DE5931" w:rsidRDefault="002A7E7C" w:rsidP="002A7E7C">
      <w:pPr>
        <w:pStyle w:val="ListParagraph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E02065">
        <w:rPr>
          <w:rFonts w:ascii="Arial" w:hAnsi="Arial" w:cs="Arial"/>
          <w:b/>
        </w:rPr>
        <w:t>From 2013-2015,</w:t>
      </w:r>
      <w:r w:rsidRPr="00DE5931">
        <w:rPr>
          <w:rFonts w:ascii="Arial" w:hAnsi="Arial" w:cs="Arial"/>
        </w:rPr>
        <w:t xml:space="preserve"> all revenues </w:t>
      </w:r>
      <w:r>
        <w:rPr>
          <w:rFonts w:ascii="Arial" w:hAnsi="Arial" w:cs="Arial"/>
        </w:rPr>
        <w:t>were</w:t>
      </w:r>
      <w:r w:rsidRPr="00DE5931">
        <w:rPr>
          <w:rFonts w:ascii="Arial" w:hAnsi="Arial" w:cs="Arial"/>
        </w:rPr>
        <w:t xml:space="preserve"> to be used to retire the debt on the Kingdome, with any additional revenues </w:t>
      </w:r>
      <w:r>
        <w:rPr>
          <w:rFonts w:ascii="Arial" w:hAnsi="Arial" w:cs="Arial"/>
        </w:rPr>
        <w:t>if</w:t>
      </w:r>
      <w:r w:rsidRPr="00DE5931">
        <w:rPr>
          <w:rFonts w:ascii="Arial" w:hAnsi="Arial" w:cs="Arial"/>
        </w:rPr>
        <w:t xml:space="preserve"> the Kingdome debt </w:t>
      </w:r>
      <w:r>
        <w:rPr>
          <w:rFonts w:ascii="Arial" w:hAnsi="Arial" w:cs="Arial"/>
        </w:rPr>
        <w:t>was</w:t>
      </w:r>
      <w:r w:rsidRPr="00DE5931">
        <w:rPr>
          <w:rFonts w:ascii="Arial" w:hAnsi="Arial" w:cs="Arial"/>
        </w:rPr>
        <w:t xml:space="preserve"> retired </w:t>
      </w:r>
      <w:r>
        <w:rPr>
          <w:rFonts w:ascii="Arial" w:hAnsi="Arial" w:cs="Arial"/>
        </w:rPr>
        <w:t xml:space="preserve">before the end of 2015 to be </w:t>
      </w:r>
      <w:r w:rsidRPr="00DE5931">
        <w:rPr>
          <w:rFonts w:ascii="Arial" w:hAnsi="Arial" w:cs="Arial"/>
        </w:rPr>
        <w:t>dedicated to arts and culture.</w:t>
      </w:r>
      <w:r>
        <w:rPr>
          <w:rStyle w:val="FootnoteReferenc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Because t</w:t>
      </w:r>
      <w:r w:rsidRPr="00DE5931">
        <w:rPr>
          <w:rFonts w:ascii="Arial" w:hAnsi="Arial" w:cs="Arial"/>
        </w:rPr>
        <w:t xml:space="preserve">he Kingdome bonds were able to be retired in March 2015, </w:t>
      </w:r>
      <w:r>
        <w:rPr>
          <w:rFonts w:ascii="Arial" w:hAnsi="Arial" w:cs="Arial"/>
        </w:rPr>
        <w:t>the remaining</w:t>
      </w:r>
      <w:r w:rsidRPr="00DE5931">
        <w:rPr>
          <w:rFonts w:ascii="Arial" w:hAnsi="Arial" w:cs="Arial"/>
        </w:rPr>
        <w:t xml:space="preserve"> revenues </w:t>
      </w:r>
      <w:r>
        <w:rPr>
          <w:rFonts w:ascii="Arial" w:hAnsi="Arial" w:cs="Arial"/>
        </w:rPr>
        <w:t xml:space="preserve">through the end of 2015 were used to partially back the bonds </w:t>
      </w:r>
      <w:r w:rsidR="00442CCA">
        <w:rPr>
          <w:rFonts w:ascii="Arial" w:hAnsi="Arial" w:cs="Arial"/>
        </w:rPr>
        <w:t>that funded</w:t>
      </w:r>
      <w:r>
        <w:rPr>
          <w:rFonts w:ascii="Arial" w:hAnsi="Arial" w:cs="Arial"/>
        </w:rPr>
        <w:t xml:space="preserve"> the Building for Culture program.</w:t>
      </w:r>
      <w:r>
        <w:rPr>
          <w:rStyle w:val="FootnoteReference"/>
          <w:rFonts w:ascii="Arial" w:hAnsi="Arial" w:cs="Arial"/>
        </w:rPr>
        <w:footnoteReference w:id="7"/>
      </w:r>
      <w:r w:rsidRPr="00DE5931">
        <w:rPr>
          <w:rFonts w:ascii="Arial" w:hAnsi="Arial" w:cs="Arial"/>
        </w:rPr>
        <w:t xml:space="preserve"> </w:t>
      </w:r>
    </w:p>
    <w:p w14:paraId="0E5C07C8" w14:textId="77777777" w:rsidR="002A7E7C" w:rsidRPr="00544F40" w:rsidRDefault="002A7E7C" w:rsidP="002A7E7C">
      <w:pPr>
        <w:pStyle w:val="ListParagraph0"/>
        <w:rPr>
          <w:rFonts w:ascii="Arial" w:hAnsi="Arial" w:cs="Arial"/>
        </w:rPr>
      </w:pPr>
    </w:p>
    <w:p w14:paraId="7BA34644" w14:textId="77777777" w:rsidR="002A7E7C" w:rsidRPr="00544F40" w:rsidRDefault="002A7E7C" w:rsidP="002A7E7C">
      <w:pPr>
        <w:pStyle w:val="ListParagraph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E02065">
        <w:rPr>
          <w:rFonts w:ascii="Arial" w:hAnsi="Arial" w:cs="Arial"/>
          <w:b/>
        </w:rPr>
        <w:t>From 2016-2020,</w:t>
      </w:r>
      <w:r w:rsidRPr="00544F40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>revenues are to be dedicated to</w:t>
      </w:r>
      <w:r w:rsidRPr="00544F40">
        <w:rPr>
          <w:rFonts w:ascii="Arial" w:hAnsi="Arial" w:cs="Arial"/>
        </w:rPr>
        <w:t xml:space="preserve"> the football stadium and exhibition center.</w:t>
      </w:r>
      <w:r>
        <w:rPr>
          <w:rStyle w:val="FootnoteReference"/>
          <w:rFonts w:ascii="Arial" w:hAnsi="Arial" w:cs="Arial"/>
        </w:rPr>
        <w:footnoteReference w:id="8"/>
      </w:r>
    </w:p>
    <w:p w14:paraId="41CB8AE6" w14:textId="77777777" w:rsidR="002A7E7C" w:rsidRPr="00544F40" w:rsidRDefault="002A7E7C" w:rsidP="002A7E7C">
      <w:pPr>
        <w:pStyle w:val="ListParagraph0"/>
        <w:rPr>
          <w:rFonts w:ascii="Arial" w:hAnsi="Arial" w:cs="Arial"/>
        </w:rPr>
      </w:pPr>
    </w:p>
    <w:p w14:paraId="389C7E7C" w14:textId="2C2050E6" w:rsidR="002A7E7C" w:rsidRDefault="002A7E7C" w:rsidP="002A7E7C">
      <w:pPr>
        <w:pStyle w:val="ListParagraph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E02065">
        <w:rPr>
          <w:rFonts w:ascii="Arial" w:hAnsi="Arial" w:cs="Arial"/>
          <w:b/>
        </w:rPr>
        <w:t>After January 1, 2021,</w:t>
      </w:r>
      <w:r w:rsidRPr="00544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revenues </w:t>
      </w:r>
      <w:r w:rsidR="00442CCA">
        <w:rPr>
          <w:rFonts w:ascii="Arial" w:hAnsi="Arial" w:cs="Arial"/>
        </w:rPr>
        <w:t xml:space="preserve">are to be </w:t>
      </w:r>
      <w:r w:rsidRPr="00544F40">
        <w:rPr>
          <w:rFonts w:ascii="Arial" w:hAnsi="Arial" w:cs="Arial"/>
        </w:rPr>
        <w:t>allocated as follows:</w:t>
      </w:r>
    </w:p>
    <w:p w14:paraId="66AD2839" w14:textId="4DAA592C" w:rsidR="002A7E7C" w:rsidRPr="00544F40" w:rsidRDefault="00442CCA" w:rsidP="002A7E7C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2A7E7C" w:rsidRPr="00544F40">
        <w:rPr>
          <w:rFonts w:ascii="Arial" w:hAnsi="Arial" w:cs="Arial"/>
        </w:rPr>
        <w:t>37.5</w:t>
      </w:r>
      <w:r w:rsidR="002A7E7C">
        <w:rPr>
          <w:rFonts w:ascii="Arial" w:hAnsi="Arial" w:cs="Arial"/>
        </w:rPr>
        <w:t xml:space="preserve"> percent</w:t>
      </w:r>
      <w:r w:rsidR="002A7E7C" w:rsidRPr="00544F40">
        <w:rPr>
          <w:rFonts w:ascii="Arial" w:hAnsi="Arial" w:cs="Arial"/>
        </w:rPr>
        <w:t xml:space="preserve"> to arts and cultural purposes;</w:t>
      </w:r>
    </w:p>
    <w:p w14:paraId="1BECEFFF" w14:textId="62B60F5A" w:rsidR="002A7E7C" w:rsidRPr="00544F40" w:rsidRDefault="00442CCA" w:rsidP="002A7E7C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2A7E7C" w:rsidRPr="00544F40">
        <w:rPr>
          <w:rFonts w:ascii="Arial" w:hAnsi="Arial" w:cs="Arial"/>
        </w:rPr>
        <w:t>37.5</w:t>
      </w:r>
      <w:r w:rsidR="002A7E7C">
        <w:rPr>
          <w:rFonts w:ascii="Arial" w:hAnsi="Arial" w:cs="Arial"/>
        </w:rPr>
        <w:t xml:space="preserve"> percent</w:t>
      </w:r>
      <w:r w:rsidR="002A7E7C" w:rsidRPr="00544F40">
        <w:rPr>
          <w:rFonts w:ascii="Arial" w:hAnsi="Arial" w:cs="Arial"/>
        </w:rPr>
        <w:t xml:space="preserve"> to affordable workforce housing </w:t>
      </w:r>
      <w:r>
        <w:rPr>
          <w:rFonts w:ascii="Arial" w:hAnsi="Arial" w:cs="Arial"/>
        </w:rPr>
        <w:t xml:space="preserve">within one-half mile of a </w:t>
      </w:r>
      <w:r w:rsidR="002A7E7C" w:rsidRPr="00544F40">
        <w:rPr>
          <w:rFonts w:ascii="Arial" w:hAnsi="Arial" w:cs="Arial"/>
        </w:rPr>
        <w:t>transit station</w:t>
      </w:r>
      <w:r>
        <w:rPr>
          <w:rStyle w:val="FootnoteReference"/>
          <w:rFonts w:ascii="Arial" w:hAnsi="Arial" w:cs="Arial"/>
        </w:rPr>
        <w:footnoteReference w:id="9"/>
      </w:r>
      <w:r w:rsidR="002A7E7C" w:rsidRPr="00544F40">
        <w:rPr>
          <w:rFonts w:ascii="Arial" w:hAnsi="Arial" w:cs="Arial"/>
        </w:rPr>
        <w:t xml:space="preserve"> or for services for homeless youth; and</w:t>
      </w:r>
    </w:p>
    <w:p w14:paraId="6BBFC294" w14:textId="148364EC" w:rsidR="002A7E7C" w:rsidRPr="00544F40" w:rsidRDefault="00442CCA" w:rsidP="002A7E7C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remainder (up to </w:t>
      </w:r>
      <w:r w:rsidR="002A7E7C" w:rsidRPr="00544F40">
        <w:rPr>
          <w:rFonts w:ascii="Arial" w:hAnsi="Arial" w:cs="Arial"/>
        </w:rPr>
        <w:t>25</w:t>
      </w:r>
      <w:r w:rsidR="002A7E7C">
        <w:rPr>
          <w:rFonts w:ascii="Arial" w:hAnsi="Arial" w:cs="Arial"/>
        </w:rPr>
        <w:t xml:space="preserve"> percent</w:t>
      </w:r>
      <w:r>
        <w:rPr>
          <w:rFonts w:ascii="Arial" w:hAnsi="Arial" w:cs="Arial"/>
        </w:rPr>
        <w:t>)</w:t>
      </w:r>
      <w:r w:rsidR="002A7E7C" w:rsidRPr="00544F40">
        <w:rPr>
          <w:rFonts w:ascii="Arial" w:hAnsi="Arial" w:cs="Arial"/>
        </w:rPr>
        <w:t xml:space="preserve"> for capital or operating programs that promote tourism and attract tourists to the county, including arts, heritage, and cultural events.</w:t>
      </w:r>
      <w:r w:rsidR="002A7E7C">
        <w:rPr>
          <w:rStyle w:val="FootnoteReference"/>
          <w:rFonts w:ascii="Arial" w:hAnsi="Arial" w:cs="Arial"/>
        </w:rPr>
        <w:footnoteReference w:id="10"/>
      </w:r>
      <w:r w:rsidR="002A7E7C" w:rsidRPr="00544F40">
        <w:rPr>
          <w:rFonts w:ascii="Arial" w:hAnsi="Arial" w:cs="Arial"/>
        </w:rPr>
        <w:t xml:space="preserve"> </w:t>
      </w:r>
    </w:p>
    <w:p w14:paraId="3698A9C4" w14:textId="77777777" w:rsidR="002A7E7C" w:rsidRDefault="002A7E7C" w:rsidP="002A7E7C">
      <w:pPr>
        <w:jc w:val="both"/>
        <w:rPr>
          <w:rFonts w:ascii="Arial" w:hAnsi="Arial" w:cs="Arial"/>
        </w:rPr>
      </w:pPr>
    </w:p>
    <w:p w14:paraId="269CC7F8" w14:textId="4869D403" w:rsidR="002A7E7C" w:rsidRPr="00DE5931" w:rsidRDefault="002A7E7C" w:rsidP="00FA2C1D">
      <w:pPr>
        <w:jc w:val="both"/>
        <w:rPr>
          <w:rFonts w:ascii="Arial" w:hAnsi="Arial" w:cs="Arial"/>
        </w:rPr>
      </w:pPr>
      <w:r w:rsidRPr="00E02065">
        <w:rPr>
          <w:rFonts w:ascii="Arial" w:hAnsi="Arial" w:cs="Arial"/>
          <w:b/>
        </w:rPr>
        <w:t>Workforce Housing Bill.</w:t>
      </w:r>
      <w:r>
        <w:rPr>
          <w:rFonts w:ascii="Arial" w:hAnsi="Arial" w:cs="Arial"/>
        </w:rPr>
        <w:t xml:space="preserve"> In 2015, the Washington State Legislature passed the Workforce Housing Bill,</w:t>
      </w:r>
      <w:r>
        <w:rPr>
          <w:rStyle w:val="FootnoteReference"/>
          <w:rFonts w:ascii="Arial" w:hAnsi="Arial" w:cs="Arial"/>
        </w:rPr>
        <w:footnoteReference w:id="11"/>
      </w:r>
      <w:r>
        <w:rPr>
          <w:rFonts w:ascii="Arial" w:hAnsi="Arial" w:cs="Arial"/>
        </w:rPr>
        <w:t xml:space="preserve"> which</w:t>
      </w:r>
      <w:r w:rsidRPr="0027426F">
        <w:rPr>
          <w:rFonts w:ascii="Arial" w:hAnsi="Arial" w:cs="Arial"/>
        </w:rPr>
        <w:t xml:space="preserve"> gives the </w:t>
      </w:r>
      <w:r>
        <w:rPr>
          <w:rFonts w:ascii="Arial" w:hAnsi="Arial" w:cs="Arial"/>
        </w:rPr>
        <w:t>C</w:t>
      </w:r>
      <w:r w:rsidRPr="0027426F">
        <w:rPr>
          <w:rFonts w:ascii="Arial" w:hAnsi="Arial" w:cs="Arial"/>
        </w:rPr>
        <w:t>ounty the ability to</w:t>
      </w:r>
      <w:r w:rsidRPr="00E02065">
        <w:rPr>
          <w:rFonts w:ascii="Arial" w:hAnsi="Arial" w:cs="Arial"/>
        </w:rPr>
        <w:t xml:space="preserve"> issue bonds without seeking voter approval to help finance workforce housing within half a mile of a transit station.</w:t>
      </w:r>
      <w:r>
        <w:rPr>
          <w:rStyle w:val="FootnoteReference"/>
          <w:rFonts w:ascii="Arial" w:hAnsi="Arial" w:cs="Arial"/>
        </w:rPr>
        <w:footnoteReference w:id="12"/>
      </w:r>
      <w:r w:rsidRPr="00E02065">
        <w:rPr>
          <w:rFonts w:ascii="Arial" w:hAnsi="Arial" w:cs="Arial"/>
        </w:rPr>
        <w:t xml:space="preserve"> These bonds would be backed by rev</w:t>
      </w:r>
      <w:r>
        <w:rPr>
          <w:rFonts w:ascii="Arial" w:hAnsi="Arial" w:cs="Arial"/>
        </w:rPr>
        <w:t xml:space="preserve">enues from </w:t>
      </w:r>
      <w:r w:rsidR="00981AD7">
        <w:rPr>
          <w:rFonts w:ascii="Arial" w:hAnsi="Arial" w:cs="Arial"/>
        </w:rPr>
        <w:t xml:space="preserve">the affordable housing </w:t>
      </w:r>
      <w:r>
        <w:rPr>
          <w:rFonts w:ascii="Arial" w:hAnsi="Arial" w:cs="Arial"/>
        </w:rPr>
        <w:t>portion of the hotel/motel (lodging) tax that will become available in 2021. Workforce housing is defined as being affordable for a single person or household with income between 30 and 80 percent of area median income.</w:t>
      </w:r>
      <w:r w:rsidR="00FA2C1D">
        <w:rPr>
          <w:rStyle w:val="FootnoteReference"/>
          <w:rFonts w:ascii="Arial" w:hAnsi="Arial" w:cs="Arial"/>
        </w:rPr>
        <w:footnoteReference w:id="13"/>
      </w:r>
      <w:r w:rsidR="00FA2C1D">
        <w:rPr>
          <w:rFonts w:ascii="Arial" w:hAnsi="Arial" w:cs="Arial"/>
        </w:rPr>
        <w:t xml:space="preserve"> </w:t>
      </w:r>
    </w:p>
    <w:p w14:paraId="67B02F76" w14:textId="77777777" w:rsidR="002A7E7C" w:rsidRDefault="002A7E7C" w:rsidP="002A7E7C">
      <w:pPr>
        <w:jc w:val="both"/>
        <w:rPr>
          <w:rFonts w:ascii="Arial" w:hAnsi="Arial" w:cs="Arial"/>
        </w:rPr>
      </w:pPr>
    </w:p>
    <w:p w14:paraId="6C5B6CE7" w14:textId="43870F9C" w:rsidR="00981AD7" w:rsidRDefault="00981AD7" w:rsidP="00743F33">
      <w:pPr>
        <w:jc w:val="both"/>
        <w:rPr>
          <w:rFonts w:ascii="Arial" w:hAnsi="Arial" w:cs="Arial"/>
        </w:rPr>
      </w:pPr>
      <w:r w:rsidRPr="00981AD7">
        <w:rPr>
          <w:rFonts w:ascii="Arial" w:hAnsi="Arial" w:cs="Arial"/>
          <w:b/>
        </w:rPr>
        <w:t xml:space="preserve">2016 TOD Bond Allocation Plan. </w:t>
      </w:r>
      <w:r>
        <w:rPr>
          <w:rFonts w:ascii="Arial" w:hAnsi="Arial" w:cs="Arial"/>
        </w:rPr>
        <w:t xml:space="preserve">In response to the Workforce Housing Bill, </w:t>
      </w:r>
      <w:r w:rsidR="00743F33" w:rsidRPr="009B0450">
        <w:rPr>
          <w:rFonts w:ascii="Arial" w:hAnsi="Arial" w:cs="Arial"/>
        </w:rPr>
        <w:t xml:space="preserve">the </w:t>
      </w:r>
      <w:r w:rsidR="00743F33">
        <w:rPr>
          <w:rFonts w:ascii="Arial" w:hAnsi="Arial" w:cs="Arial"/>
        </w:rPr>
        <w:t xml:space="preserve">Executive and </w:t>
      </w:r>
      <w:r w:rsidR="00743F33" w:rsidRPr="009B0450">
        <w:rPr>
          <w:rFonts w:ascii="Arial" w:hAnsi="Arial" w:cs="Arial"/>
        </w:rPr>
        <w:t xml:space="preserve">Council </w:t>
      </w:r>
      <w:r w:rsidR="00743F33">
        <w:rPr>
          <w:rFonts w:ascii="Arial" w:hAnsi="Arial" w:cs="Arial"/>
        </w:rPr>
        <w:t>developed</w:t>
      </w:r>
      <w:r w:rsidR="00743F33" w:rsidRPr="009B0450">
        <w:rPr>
          <w:rFonts w:ascii="Arial" w:hAnsi="Arial" w:cs="Arial"/>
        </w:rPr>
        <w:t xml:space="preserve"> an $87 million bond allocation plan with geographic requirements for where the bond funds would be spent.</w:t>
      </w:r>
      <w:r w:rsidR="00743F33" w:rsidRPr="009B0450">
        <w:rPr>
          <w:rStyle w:val="FootnoteReference"/>
          <w:rFonts w:ascii="Arial" w:hAnsi="Arial" w:cs="Arial"/>
        </w:rPr>
        <w:footnoteReference w:id="14"/>
      </w:r>
      <w:r w:rsidR="00743F33" w:rsidRPr="009B0450">
        <w:rPr>
          <w:rFonts w:ascii="Arial" w:hAnsi="Arial" w:cs="Arial"/>
        </w:rPr>
        <w:t xml:space="preserve"> </w:t>
      </w:r>
    </w:p>
    <w:p w14:paraId="30FCE41D" w14:textId="77777777" w:rsidR="00981AD7" w:rsidRDefault="00981AD7" w:rsidP="00743F33">
      <w:pPr>
        <w:jc w:val="both"/>
        <w:rPr>
          <w:rFonts w:ascii="Arial" w:hAnsi="Arial" w:cs="Arial"/>
        </w:rPr>
      </w:pPr>
    </w:p>
    <w:p w14:paraId="16E8930D" w14:textId="4DC60446" w:rsidR="00981AD7" w:rsidRDefault="00981AD7" w:rsidP="00743F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43F33" w:rsidRPr="009B0450">
        <w:rPr>
          <w:rFonts w:ascii="Arial" w:hAnsi="Arial" w:cs="Arial"/>
        </w:rPr>
        <w:t xml:space="preserve">o date, $50 million </w:t>
      </w:r>
      <w:r>
        <w:rPr>
          <w:rFonts w:ascii="Arial" w:hAnsi="Arial" w:cs="Arial"/>
        </w:rPr>
        <w:t xml:space="preserve">from the 2016 plan </w:t>
      </w:r>
      <w:r w:rsidR="00743F33" w:rsidRPr="009B0450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awarded to specific projects, and </w:t>
      </w:r>
      <w:r w:rsidR="00743F33" w:rsidRPr="009B0450">
        <w:rPr>
          <w:rFonts w:ascii="Arial" w:hAnsi="Arial" w:cs="Arial"/>
        </w:rPr>
        <w:t>$37 million is in the pro</w:t>
      </w:r>
      <w:r w:rsidR="00D42396">
        <w:rPr>
          <w:rFonts w:ascii="Arial" w:hAnsi="Arial" w:cs="Arial"/>
        </w:rPr>
        <w:t>c</w:t>
      </w:r>
      <w:r w:rsidR="00743F33" w:rsidRPr="009B0450">
        <w:rPr>
          <w:rFonts w:ascii="Arial" w:hAnsi="Arial" w:cs="Arial"/>
        </w:rPr>
        <w:t xml:space="preserve">ess of being allocated through competitive procurement processes, as shown in Table 1, below: </w:t>
      </w:r>
    </w:p>
    <w:p w14:paraId="7E3800A3" w14:textId="77777777" w:rsidR="00981AD7" w:rsidRDefault="00981A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6DB80B" w14:textId="77777777" w:rsidR="00743F33" w:rsidRPr="00981AD7" w:rsidRDefault="00743F33" w:rsidP="00743F33">
      <w:pPr>
        <w:jc w:val="both"/>
        <w:rPr>
          <w:rFonts w:ascii="Arial" w:hAnsi="Arial" w:cs="Arial"/>
          <w:szCs w:val="24"/>
        </w:rPr>
      </w:pPr>
    </w:p>
    <w:p w14:paraId="003A2078" w14:textId="3390BCE4" w:rsidR="00743F33" w:rsidRPr="00981AD7" w:rsidRDefault="00743F33" w:rsidP="00743F33">
      <w:pPr>
        <w:ind w:left="7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981AD7">
        <w:rPr>
          <w:rFonts w:ascii="Arial" w:hAnsi="Arial" w:cs="Arial"/>
          <w:b/>
          <w:color w:val="000000" w:themeColor="text1"/>
          <w:szCs w:val="24"/>
        </w:rPr>
        <w:t xml:space="preserve">Table 1. </w:t>
      </w:r>
      <w:r w:rsidR="00F2044E">
        <w:rPr>
          <w:rFonts w:ascii="Arial" w:hAnsi="Arial" w:cs="Arial"/>
          <w:b/>
          <w:color w:val="000000" w:themeColor="text1"/>
          <w:szCs w:val="24"/>
        </w:rPr>
        <w:t>2016 TOD</w:t>
      </w:r>
      <w:r w:rsidRPr="00981AD7">
        <w:rPr>
          <w:rFonts w:ascii="Arial" w:hAnsi="Arial" w:cs="Arial"/>
          <w:b/>
          <w:color w:val="000000" w:themeColor="text1"/>
          <w:szCs w:val="24"/>
        </w:rPr>
        <w:t xml:space="preserve"> Bond Allocation, Funds </w:t>
      </w:r>
      <w:r w:rsidR="00F2044E">
        <w:rPr>
          <w:rFonts w:ascii="Arial" w:hAnsi="Arial" w:cs="Arial"/>
          <w:b/>
          <w:color w:val="000000" w:themeColor="text1"/>
          <w:szCs w:val="24"/>
        </w:rPr>
        <w:t>Awarded</w:t>
      </w:r>
      <w:r w:rsidRPr="00981AD7">
        <w:rPr>
          <w:rFonts w:ascii="Arial" w:hAnsi="Arial" w:cs="Arial"/>
          <w:b/>
          <w:color w:val="000000" w:themeColor="text1"/>
          <w:szCs w:val="24"/>
        </w:rPr>
        <w:t xml:space="preserve"> to Date</w:t>
      </w:r>
    </w:p>
    <w:p w14:paraId="50FC3DFC" w14:textId="77777777" w:rsidR="00743F33" w:rsidRPr="00981AD7" w:rsidRDefault="00743F33" w:rsidP="00743F33">
      <w:pPr>
        <w:ind w:left="720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5"/>
        <w:gridCol w:w="2212"/>
        <w:gridCol w:w="2200"/>
        <w:gridCol w:w="2219"/>
      </w:tblGrid>
      <w:tr w:rsidR="00743F33" w:rsidRPr="00981AD7" w14:paraId="5DAD5AD2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7E2D4B2" w14:textId="77777777" w:rsidR="00743F33" w:rsidRPr="00981AD7" w:rsidRDefault="00743F33" w:rsidP="00A06C16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Area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406AB52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Motion 14687 Allocation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1EE74FF8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Funds Awarded </w:t>
            </w: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  <w:t>(as of Aug 2018)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2AF39524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Funds Remaining</w:t>
            </w: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  <w:t>(as of Aug 2018)</w:t>
            </w:r>
          </w:p>
        </w:tc>
      </w:tr>
      <w:tr w:rsidR="00743F33" w:rsidRPr="00981AD7" w14:paraId="0ADE8FEE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14D6" w14:textId="409ECDBE" w:rsidR="00743F33" w:rsidRPr="00981AD7" w:rsidRDefault="00A51F9D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Seattle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AD2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$10.75M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6567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$8.45M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F577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$2.3M</w:t>
            </w:r>
          </w:p>
        </w:tc>
      </w:tr>
      <w:tr w:rsidR="00743F33" w:rsidRPr="00981AD7" w14:paraId="61B00EF4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4BB2" w14:textId="50B96FCC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South</w:t>
            </w:r>
            <w:r w:rsidR="00A51F9D">
              <w:rPr>
                <w:rFonts w:ascii="Arial" w:hAnsi="Arial" w:cs="Arial"/>
                <w:color w:val="000000" w:themeColor="text1"/>
                <w:sz w:val="20"/>
              </w:rPr>
              <w:t xml:space="preserve"> County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1EA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$10.75M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4F6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$10.7M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6218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$0.05M</w:t>
            </w:r>
          </w:p>
        </w:tc>
      </w:tr>
      <w:tr w:rsidR="00743F33" w:rsidRPr="00981AD7" w14:paraId="7B8AF665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977C" w14:textId="239CC835" w:rsidR="00743F33" w:rsidRPr="00981AD7" w:rsidRDefault="00A51F9D" w:rsidP="00A51F9D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N/E County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8A6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$10.75M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38E2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$9.1M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0440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$1.65M</w:t>
            </w:r>
          </w:p>
        </w:tc>
      </w:tr>
      <w:tr w:rsidR="00743F33" w:rsidRPr="00981AD7" w14:paraId="21639EE4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7728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I-90 Corridor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F3C0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BC3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79B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--</w:t>
            </w:r>
          </w:p>
        </w:tc>
      </w:tr>
      <w:tr w:rsidR="00743F33" w:rsidRPr="00981AD7" w14:paraId="4E6A4C7C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528B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 xml:space="preserve">Northgate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5D70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5B58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7A6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$10M*</w:t>
            </w:r>
          </w:p>
        </w:tc>
      </w:tr>
      <w:tr w:rsidR="00743F33" w:rsidRPr="00981AD7" w14:paraId="1BD0C118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170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South King County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135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3131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712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</w:tr>
      <w:tr w:rsidR="00743F33" w:rsidRPr="00981AD7" w14:paraId="687BD89D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7FF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Bel-Red Corridor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76E8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70E2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--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5655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$10M</w:t>
            </w:r>
          </w:p>
        </w:tc>
      </w:tr>
      <w:tr w:rsidR="00743F33" w:rsidRPr="00981AD7" w14:paraId="7855E43E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1CA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Seattle S Downtown**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BA7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$14.7M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DD0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$11.7M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A00D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81AD7">
              <w:rPr>
                <w:rFonts w:ascii="Arial" w:hAnsi="Arial" w:cs="Arial"/>
                <w:color w:val="000000" w:themeColor="text1"/>
                <w:sz w:val="20"/>
              </w:rPr>
              <w:t>$4M</w:t>
            </w:r>
          </w:p>
        </w:tc>
      </w:tr>
      <w:tr w:rsidR="00743F33" w:rsidRPr="00981AD7" w14:paraId="577703E7" w14:textId="77777777" w:rsidTr="00A06C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2221058" w14:textId="77777777" w:rsidR="00743F33" w:rsidRPr="00981AD7" w:rsidRDefault="00743F33" w:rsidP="00A06C16">
            <w:pPr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TOTAL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FD9B026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$87M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D4773C7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$49.95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9316831" w14:textId="77777777" w:rsidR="00743F33" w:rsidRPr="00981AD7" w:rsidRDefault="00743F33" w:rsidP="00A06C1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81AD7">
              <w:rPr>
                <w:rFonts w:ascii="Arial" w:hAnsi="Arial" w:cs="Arial"/>
                <w:b/>
                <w:color w:val="FFFFFF" w:themeColor="background1"/>
                <w:sz w:val="20"/>
              </w:rPr>
              <w:t>$37.05</w:t>
            </w:r>
          </w:p>
        </w:tc>
      </w:tr>
    </w:tbl>
    <w:p w14:paraId="0BDDA889" w14:textId="77777777" w:rsidR="00743F33" w:rsidRPr="00981AD7" w:rsidRDefault="00743F33" w:rsidP="00743F33">
      <w:pPr>
        <w:spacing w:before="120"/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981AD7">
        <w:rPr>
          <w:rFonts w:ascii="Arial" w:hAnsi="Arial" w:cs="Arial"/>
          <w:color w:val="000000" w:themeColor="text1"/>
          <w:sz w:val="20"/>
        </w:rPr>
        <w:t>Source: Motion 14687, 2018 Annual Report (2018-RPT 1004)</w:t>
      </w:r>
    </w:p>
    <w:p w14:paraId="51974DA9" w14:textId="77777777" w:rsidR="00743F33" w:rsidRPr="00981AD7" w:rsidRDefault="00743F33" w:rsidP="00743F33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981AD7">
        <w:rPr>
          <w:rFonts w:ascii="Arial" w:hAnsi="Arial" w:cs="Arial"/>
          <w:color w:val="000000" w:themeColor="text1"/>
          <w:sz w:val="20"/>
        </w:rPr>
        <w:t>*An RFP for the Northgate development was issued in September 2018</w:t>
      </w:r>
    </w:p>
    <w:p w14:paraId="348B2795" w14:textId="5D1A4F57" w:rsidR="00743F33" w:rsidRPr="00981AD7" w:rsidRDefault="00743F33" w:rsidP="00743F33">
      <w:pPr>
        <w:ind w:left="720"/>
        <w:jc w:val="both"/>
        <w:rPr>
          <w:rFonts w:ascii="Arial" w:hAnsi="Arial" w:cs="Arial"/>
          <w:color w:val="000000" w:themeColor="text1"/>
          <w:sz w:val="20"/>
        </w:rPr>
      </w:pPr>
      <w:r w:rsidRPr="00981AD7">
        <w:rPr>
          <w:rFonts w:ascii="Arial" w:hAnsi="Arial" w:cs="Arial"/>
          <w:color w:val="000000" w:themeColor="text1"/>
          <w:sz w:val="20"/>
        </w:rPr>
        <w:t>**Motion 14687 allocated $14.7M for Seattle South Downtown, of which 10</w:t>
      </w:r>
      <w:r w:rsidR="00F2044E">
        <w:rPr>
          <w:rFonts w:ascii="Arial" w:hAnsi="Arial" w:cs="Arial"/>
          <w:color w:val="000000" w:themeColor="text1"/>
          <w:sz w:val="20"/>
        </w:rPr>
        <w:t xml:space="preserve"> percent</w:t>
      </w:r>
      <w:r w:rsidRPr="00981AD7">
        <w:rPr>
          <w:rFonts w:ascii="Arial" w:hAnsi="Arial" w:cs="Arial"/>
          <w:color w:val="000000" w:themeColor="text1"/>
          <w:sz w:val="20"/>
        </w:rPr>
        <w:t xml:space="preserve"> of </w:t>
      </w:r>
      <w:r w:rsidR="00F2044E">
        <w:rPr>
          <w:rFonts w:ascii="Arial" w:hAnsi="Arial" w:cs="Arial"/>
          <w:color w:val="000000" w:themeColor="text1"/>
          <w:sz w:val="20"/>
        </w:rPr>
        <w:t xml:space="preserve">the </w:t>
      </w:r>
      <w:r w:rsidRPr="00981AD7">
        <w:rPr>
          <w:rFonts w:ascii="Arial" w:hAnsi="Arial" w:cs="Arial"/>
          <w:color w:val="000000" w:themeColor="text1"/>
          <w:sz w:val="20"/>
        </w:rPr>
        <w:t xml:space="preserve">total bond amount ($8.7M) </w:t>
      </w:r>
      <w:r w:rsidR="00F2044E">
        <w:rPr>
          <w:rFonts w:ascii="Arial" w:hAnsi="Arial" w:cs="Arial"/>
          <w:color w:val="000000" w:themeColor="text1"/>
          <w:sz w:val="20"/>
        </w:rPr>
        <w:t xml:space="preserve">is to </w:t>
      </w:r>
      <w:r w:rsidRPr="00981AD7">
        <w:rPr>
          <w:rFonts w:ascii="Arial" w:hAnsi="Arial" w:cs="Arial"/>
          <w:color w:val="000000" w:themeColor="text1"/>
          <w:sz w:val="20"/>
        </w:rPr>
        <w:t>be allocated to Historic South Downtown PDA.</w:t>
      </w:r>
    </w:p>
    <w:p w14:paraId="1D7AEAF0" w14:textId="513F72B3" w:rsidR="006015BC" w:rsidRPr="009B0450" w:rsidRDefault="006015BC" w:rsidP="009B0450">
      <w:pPr>
        <w:jc w:val="both"/>
        <w:rPr>
          <w:rFonts w:ascii="Arial" w:hAnsi="Arial" w:cs="Arial"/>
        </w:rPr>
      </w:pPr>
    </w:p>
    <w:p w14:paraId="4E338276" w14:textId="7A145C72" w:rsidR="006015BC" w:rsidRPr="006015BC" w:rsidRDefault="00F2044E" w:rsidP="00601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Attachment 1 to this staff report provides a more detailed </w:t>
      </w:r>
      <w:r w:rsidR="00FC5D9E">
        <w:rPr>
          <w:rFonts w:ascii="Arial" w:hAnsi="Arial" w:cs="Arial"/>
        </w:rPr>
        <w:t xml:space="preserve">list of project awards made to date. </w:t>
      </w:r>
    </w:p>
    <w:p w14:paraId="65F2D7AD" w14:textId="737E4EEE" w:rsidR="00767E57" w:rsidRDefault="00767E57" w:rsidP="006015BC">
      <w:pPr>
        <w:rPr>
          <w:rFonts w:ascii="Arial" w:hAnsi="Arial" w:cs="Arial"/>
          <w:b/>
          <w:u w:val="single"/>
        </w:rPr>
      </w:pPr>
    </w:p>
    <w:p w14:paraId="61F88B65" w14:textId="1ADD8F87" w:rsidR="00FC5D9E" w:rsidRDefault="00FC5D9E" w:rsidP="00FC5D9E">
      <w:pPr>
        <w:jc w:val="both"/>
        <w:rPr>
          <w:rFonts w:ascii="Arial" w:hAnsi="Arial" w:cs="Arial"/>
          <w:szCs w:val="24"/>
        </w:rPr>
      </w:pPr>
      <w:r w:rsidRPr="00FC5D9E">
        <w:rPr>
          <w:rFonts w:ascii="Arial" w:hAnsi="Arial" w:cs="Arial"/>
          <w:b/>
        </w:rPr>
        <w:t xml:space="preserve">2019-2020 Bond Allocation Plans. </w:t>
      </w:r>
      <w:r w:rsidRPr="005410A0">
        <w:rPr>
          <w:rFonts w:ascii="Arial" w:hAnsi="Arial" w:cs="Arial"/>
          <w:szCs w:val="24"/>
        </w:rPr>
        <w:t xml:space="preserve">Earlier this year, the Executive announced the intention to issue an additional $100 million in lodging tax-backed bonds to support </w:t>
      </w:r>
      <w:r>
        <w:rPr>
          <w:rFonts w:ascii="Arial" w:hAnsi="Arial" w:cs="Arial"/>
          <w:szCs w:val="24"/>
        </w:rPr>
        <w:t xml:space="preserve">TOD </w:t>
      </w:r>
      <w:r w:rsidRPr="005410A0">
        <w:rPr>
          <w:rFonts w:ascii="Arial" w:hAnsi="Arial" w:cs="Arial"/>
          <w:szCs w:val="24"/>
        </w:rPr>
        <w:t>affordable housing. The Council originally asked the Executive to transmit a plan for these new bonds by February 28, 2019,</w:t>
      </w:r>
      <w:r w:rsidRPr="005410A0">
        <w:rPr>
          <w:rStyle w:val="FootnoteReference"/>
          <w:rFonts w:ascii="Arial" w:hAnsi="Arial" w:cs="Arial"/>
          <w:szCs w:val="24"/>
        </w:rPr>
        <w:footnoteReference w:id="15"/>
      </w:r>
      <w:r w:rsidRPr="005410A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but then, in the process of developing the 2019-2020 biennial budget, worked with the Executive to allocate these new, planned bond funds as follows: </w:t>
      </w:r>
    </w:p>
    <w:p w14:paraId="17087DB5" w14:textId="40D7DFDF" w:rsidR="00FC5D9E" w:rsidRDefault="00FC5D9E" w:rsidP="00FC5D9E">
      <w:pPr>
        <w:jc w:val="both"/>
        <w:rPr>
          <w:rFonts w:ascii="Arial" w:hAnsi="Arial" w:cs="Arial"/>
          <w:szCs w:val="24"/>
        </w:rPr>
      </w:pPr>
    </w:p>
    <w:p w14:paraId="34B43FD6" w14:textId="1FAED9FC" w:rsidR="00FC5D9E" w:rsidRPr="00FC5D9E" w:rsidRDefault="00FC5D9E" w:rsidP="000772FC">
      <w:pPr>
        <w:pStyle w:val="ListParagraph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C5D9E">
        <w:rPr>
          <w:rFonts w:ascii="Arial" w:hAnsi="Arial" w:cs="Arial"/>
          <w:b/>
        </w:rPr>
        <w:t>Funding for specific projects.</w:t>
      </w:r>
      <w:r w:rsidR="00D568F4">
        <w:rPr>
          <w:rStyle w:val="FootnoteReference"/>
          <w:rFonts w:ascii="Arial" w:hAnsi="Arial" w:cs="Arial"/>
          <w:b/>
        </w:rPr>
        <w:footnoteReference w:id="16"/>
      </w:r>
      <w:r>
        <w:rPr>
          <w:rFonts w:ascii="Arial" w:hAnsi="Arial" w:cs="Arial"/>
        </w:rPr>
        <w:t xml:space="preserve"> $40 million was restricted to affordable housing projects located at or in the following:</w:t>
      </w:r>
    </w:p>
    <w:p w14:paraId="16A4A6BD" w14:textId="739371E4" w:rsidR="00FC5D9E" w:rsidRDefault="00FC5D9E" w:rsidP="00FC5D9E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480"/>
        <w:gridCol w:w="2358"/>
      </w:tblGrid>
      <w:tr w:rsidR="00D568F4" w14:paraId="34338D64" w14:textId="77777777" w:rsidTr="00D568F4">
        <w:tc>
          <w:tcPr>
            <w:tcW w:w="738" w:type="dxa"/>
          </w:tcPr>
          <w:p w14:paraId="4B35785F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5D57BACA" w14:textId="5D8F3A08" w:rsidR="00D568F4" w:rsidRP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 w:rsidRPr="00D568F4">
              <w:rPr>
                <w:rFonts w:ascii="Arial" w:hAnsi="Arial" w:cs="Arial"/>
                <w:sz w:val="20"/>
              </w:rPr>
              <w:t>Bellweather</w:t>
            </w:r>
            <w:proofErr w:type="spellEnd"/>
            <w:r w:rsidRPr="00D568F4">
              <w:rPr>
                <w:rFonts w:ascii="Arial" w:hAnsi="Arial" w:cs="Arial"/>
                <w:sz w:val="20"/>
              </w:rPr>
              <w:t>/Plymouth Housing (Madison/Boylston project, Seattle)</w:t>
            </w:r>
          </w:p>
        </w:tc>
        <w:tc>
          <w:tcPr>
            <w:tcW w:w="2358" w:type="dxa"/>
            <w:vAlign w:val="center"/>
          </w:tcPr>
          <w:p w14:paraId="09A5AEE7" w14:textId="7FC60963" w:rsidR="00D568F4" w:rsidRP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 million</w:t>
            </w:r>
          </w:p>
        </w:tc>
      </w:tr>
      <w:tr w:rsidR="00D568F4" w14:paraId="2342C8AD" w14:textId="77777777" w:rsidTr="00D568F4">
        <w:tc>
          <w:tcPr>
            <w:tcW w:w="738" w:type="dxa"/>
          </w:tcPr>
          <w:p w14:paraId="38C3F505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509B836D" w14:textId="125D9ABD" w:rsidR="00D568F4" w:rsidRP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 of Burien (joint redevelopment project)</w:t>
            </w:r>
          </w:p>
        </w:tc>
        <w:tc>
          <w:tcPr>
            <w:tcW w:w="2358" w:type="dxa"/>
            <w:vAlign w:val="center"/>
          </w:tcPr>
          <w:p w14:paraId="790DD8CA" w14:textId="50FF0EF0" w:rsidR="00D568F4" w:rsidRP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 million</w:t>
            </w:r>
          </w:p>
        </w:tc>
      </w:tr>
      <w:tr w:rsidR="00D568F4" w14:paraId="52CB3D6D" w14:textId="77777777" w:rsidTr="00D568F4">
        <w:tc>
          <w:tcPr>
            <w:tcW w:w="738" w:type="dxa"/>
          </w:tcPr>
          <w:p w14:paraId="3CCAE8F3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F578752" w14:textId="7EA0952D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 of Redmond (redevelopment with Sound Transit, KCHA)</w:t>
            </w:r>
          </w:p>
        </w:tc>
        <w:tc>
          <w:tcPr>
            <w:tcW w:w="2358" w:type="dxa"/>
            <w:vAlign w:val="center"/>
          </w:tcPr>
          <w:p w14:paraId="6BEF34D8" w14:textId="15BE04BA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 million</w:t>
            </w:r>
          </w:p>
        </w:tc>
      </w:tr>
      <w:tr w:rsidR="00D568F4" w14:paraId="52AE570D" w14:textId="77777777" w:rsidTr="00D568F4">
        <w:tc>
          <w:tcPr>
            <w:tcW w:w="738" w:type="dxa"/>
          </w:tcPr>
          <w:p w14:paraId="6D183D36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55F1288B" w14:textId="643BB684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 of Shoreline (</w:t>
            </w:r>
            <w:proofErr w:type="spellStart"/>
            <w:r>
              <w:rPr>
                <w:rFonts w:ascii="Arial" w:hAnsi="Arial" w:cs="Arial"/>
                <w:sz w:val="20"/>
              </w:rPr>
              <w:t>Fircrest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predevelopment planning)</w:t>
            </w:r>
          </w:p>
        </w:tc>
        <w:tc>
          <w:tcPr>
            <w:tcW w:w="2358" w:type="dxa"/>
            <w:vAlign w:val="center"/>
          </w:tcPr>
          <w:p w14:paraId="1FAD33F1" w14:textId="46677D3B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$0.5 million</w:t>
            </w:r>
          </w:p>
        </w:tc>
      </w:tr>
      <w:tr w:rsidR="00D568F4" w14:paraId="646BB8C8" w14:textId="77777777" w:rsidTr="00D568F4">
        <w:tc>
          <w:tcPr>
            <w:tcW w:w="738" w:type="dxa"/>
          </w:tcPr>
          <w:p w14:paraId="45D1B49C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190A8E08" w14:textId="36AFD459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Filipino Community Center (Graham Street project)</w:t>
            </w:r>
          </w:p>
        </w:tc>
        <w:tc>
          <w:tcPr>
            <w:tcW w:w="2358" w:type="dxa"/>
            <w:vAlign w:val="center"/>
          </w:tcPr>
          <w:p w14:paraId="44F775B7" w14:textId="5AEE6530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 million</w:t>
            </w:r>
          </w:p>
        </w:tc>
      </w:tr>
      <w:tr w:rsidR="00D568F4" w14:paraId="73943055" w14:textId="77777777" w:rsidTr="00D568F4">
        <w:tc>
          <w:tcPr>
            <w:tcW w:w="738" w:type="dxa"/>
          </w:tcPr>
          <w:p w14:paraId="2DB3FC91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CECFFD8" w14:textId="08381F55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Mt. Si Senior Center (Cascade Park Apartments)</w:t>
            </w:r>
          </w:p>
        </w:tc>
        <w:tc>
          <w:tcPr>
            <w:tcW w:w="2358" w:type="dxa"/>
            <w:vAlign w:val="center"/>
          </w:tcPr>
          <w:p w14:paraId="5B1FF202" w14:textId="628D17A6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 million</w:t>
            </w:r>
          </w:p>
        </w:tc>
      </w:tr>
      <w:tr w:rsidR="00D568F4" w14:paraId="4AC38CD2" w14:textId="77777777" w:rsidTr="00D568F4">
        <w:tc>
          <w:tcPr>
            <w:tcW w:w="738" w:type="dxa"/>
          </w:tcPr>
          <w:p w14:paraId="6F06B298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6EFE547F" w14:textId="7A63A3BE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 Seattle College</w:t>
            </w:r>
          </w:p>
        </w:tc>
        <w:tc>
          <w:tcPr>
            <w:tcW w:w="2358" w:type="dxa"/>
            <w:vAlign w:val="center"/>
          </w:tcPr>
          <w:p w14:paraId="2DFC7FE7" w14:textId="3AB5C104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$1.5 million</w:t>
            </w:r>
          </w:p>
        </w:tc>
      </w:tr>
      <w:tr w:rsidR="00D568F4" w14:paraId="588BFB2E" w14:textId="77777777" w:rsidTr="00D568F4">
        <w:tc>
          <w:tcPr>
            <w:tcW w:w="738" w:type="dxa"/>
          </w:tcPr>
          <w:p w14:paraId="66044A4C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DA33C38" w14:textId="7CFACFC2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Renton Housing Authority (Sunset area redevelopment)</w:t>
            </w:r>
          </w:p>
        </w:tc>
        <w:tc>
          <w:tcPr>
            <w:tcW w:w="2358" w:type="dxa"/>
            <w:vAlign w:val="center"/>
          </w:tcPr>
          <w:p w14:paraId="0A4A1ECB" w14:textId="0C58C268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 million</w:t>
            </w:r>
          </w:p>
        </w:tc>
      </w:tr>
      <w:tr w:rsidR="00D568F4" w14:paraId="73A2D583" w14:textId="77777777" w:rsidTr="00D568F4">
        <w:tc>
          <w:tcPr>
            <w:tcW w:w="738" w:type="dxa"/>
          </w:tcPr>
          <w:p w14:paraId="7170AA86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0A4AC475" w14:textId="38C9FA28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Seattle-Chinatown International District PDA (Pacific Tower North Lot)</w:t>
            </w:r>
          </w:p>
        </w:tc>
        <w:tc>
          <w:tcPr>
            <w:tcW w:w="2358" w:type="dxa"/>
            <w:vAlign w:val="center"/>
          </w:tcPr>
          <w:p w14:paraId="715F6496" w14:textId="63D839AB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$2.5 million</w:t>
            </w:r>
          </w:p>
        </w:tc>
      </w:tr>
      <w:tr w:rsidR="00D568F4" w14:paraId="5E2ECE79" w14:textId="77777777" w:rsidTr="00D568F4">
        <w:tc>
          <w:tcPr>
            <w:tcW w:w="738" w:type="dxa"/>
          </w:tcPr>
          <w:p w14:paraId="57D730B1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7573C9D8" w14:textId="1E3E6C84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Shelter America (Vashon Creekside property)</w:t>
            </w:r>
          </w:p>
        </w:tc>
        <w:tc>
          <w:tcPr>
            <w:tcW w:w="2358" w:type="dxa"/>
            <w:vAlign w:val="center"/>
          </w:tcPr>
          <w:p w14:paraId="7613519C" w14:textId="04FE72A7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 million</w:t>
            </w:r>
          </w:p>
        </w:tc>
      </w:tr>
      <w:tr w:rsidR="00D568F4" w14:paraId="281AEB72" w14:textId="77777777" w:rsidTr="00D568F4">
        <w:tc>
          <w:tcPr>
            <w:tcW w:w="738" w:type="dxa"/>
          </w:tcPr>
          <w:p w14:paraId="2ACA5788" w14:textId="77777777" w:rsidR="00D568F4" w:rsidRPr="00D568F4" w:rsidRDefault="00D568F4" w:rsidP="00D568F4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2F8CCC95" w14:textId="27BEB3F3" w:rsidR="00D568F4" w:rsidRDefault="00D568F4" w:rsidP="00D568F4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YouthCare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/Capitol Hill Housing (Broadway Youth Opportunity </w:t>
            </w:r>
            <w:proofErr w:type="spellStart"/>
            <w:r>
              <w:rPr>
                <w:rFonts w:ascii="Arial" w:hAnsi="Arial" w:cs="Arial"/>
                <w:sz w:val="20"/>
              </w:rPr>
              <w:t>Ctr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58" w:type="dxa"/>
            <w:vAlign w:val="center"/>
          </w:tcPr>
          <w:p w14:paraId="4791313E" w14:textId="488A43F9" w:rsidR="00D568F4" w:rsidRDefault="00D568F4" w:rsidP="00D568F4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$6.5 million</w:t>
            </w:r>
          </w:p>
        </w:tc>
      </w:tr>
    </w:tbl>
    <w:p w14:paraId="7A8536C1" w14:textId="63927EED" w:rsidR="00D568F4" w:rsidRDefault="00D568F4" w:rsidP="00FC5D9E">
      <w:pPr>
        <w:jc w:val="both"/>
        <w:rPr>
          <w:rFonts w:ascii="Arial" w:hAnsi="Arial" w:cs="Arial"/>
          <w:szCs w:val="24"/>
        </w:rPr>
      </w:pPr>
    </w:p>
    <w:p w14:paraId="7C99D4B6" w14:textId="1B27F220" w:rsidR="008C760B" w:rsidRPr="008C760B" w:rsidRDefault="00AB1E08" w:rsidP="008C760B">
      <w:pPr>
        <w:pStyle w:val="ListParagraph0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KCHA preservation and acquisition</w:t>
      </w:r>
      <w:r w:rsidRPr="00FC5D9E">
        <w:rPr>
          <w:rFonts w:ascii="Arial" w:hAnsi="Arial" w:cs="Arial"/>
          <w:b/>
        </w:rPr>
        <w:t>.</w:t>
      </w:r>
      <w:r>
        <w:rPr>
          <w:rStyle w:val="FootnoteReference"/>
          <w:rFonts w:ascii="Arial" w:hAnsi="Arial" w:cs="Arial"/>
          <w:b/>
        </w:rPr>
        <w:footnoteReference w:id="17"/>
      </w:r>
      <w:r>
        <w:rPr>
          <w:rFonts w:ascii="Arial" w:hAnsi="Arial" w:cs="Arial"/>
        </w:rPr>
        <w:t xml:space="preserve"> $30 million was restricted to </w:t>
      </w:r>
      <w:r w:rsidR="00316A00" w:rsidRPr="00316A00">
        <w:rPr>
          <w:rFonts w:ascii="Arial" w:hAnsi="Arial" w:cs="Arial"/>
        </w:rPr>
        <w:t xml:space="preserve">preservation and acquisition of workforce affordable housing outside Seattle by </w:t>
      </w:r>
      <w:r w:rsidR="000772FC">
        <w:rPr>
          <w:rFonts w:ascii="Arial" w:hAnsi="Arial" w:cs="Arial"/>
        </w:rPr>
        <w:t>KCHA</w:t>
      </w:r>
      <w:r w:rsidR="00316A00" w:rsidRPr="00316A00">
        <w:rPr>
          <w:rFonts w:ascii="Arial" w:hAnsi="Arial" w:cs="Arial"/>
        </w:rPr>
        <w:t xml:space="preserve"> in accordance with a </w:t>
      </w:r>
      <w:r w:rsidR="000772FC">
        <w:rPr>
          <w:rFonts w:ascii="Arial" w:hAnsi="Arial" w:cs="Arial"/>
        </w:rPr>
        <w:t>C</w:t>
      </w:r>
      <w:r w:rsidR="00316A00" w:rsidRPr="00316A00">
        <w:rPr>
          <w:rFonts w:ascii="Arial" w:hAnsi="Arial" w:cs="Arial"/>
        </w:rPr>
        <w:t xml:space="preserve">ouncil-approved </w:t>
      </w:r>
      <w:r w:rsidR="000772FC">
        <w:rPr>
          <w:rFonts w:ascii="Arial" w:hAnsi="Arial" w:cs="Arial"/>
        </w:rPr>
        <w:t>TOD</w:t>
      </w:r>
      <w:r w:rsidR="00316A00" w:rsidRPr="00316A00">
        <w:rPr>
          <w:rFonts w:ascii="Arial" w:hAnsi="Arial" w:cs="Arial"/>
        </w:rPr>
        <w:t xml:space="preserve"> preservation and acquisition plan</w:t>
      </w:r>
      <w:r w:rsidR="000772FC">
        <w:rPr>
          <w:rFonts w:ascii="Arial" w:hAnsi="Arial" w:cs="Arial"/>
        </w:rPr>
        <w:t xml:space="preserve">. This plan </w:t>
      </w:r>
      <w:r w:rsidR="008C760B">
        <w:rPr>
          <w:rFonts w:ascii="Arial" w:hAnsi="Arial" w:cs="Arial"/>
        </w:rPr>
        <w:t>must include information about</w:t>
      </w:r>
      <w:r w:rsidR="008C760B" w:rsidRPr="008C760B">
        <w:rPr>
          <w:rFonts w:ascii="Arial" w:hAnsi="Arial" w:cs="Arial"/>
        </w:rPr>
        <w:t>:</w:t>
      </w:r>
    </w:p>
    <w:p w14:paraId="34824FB7" w14:textId="21E4F173" w:rsidR="008C760B" w:rsidRPr="008C760B" w:rsidRDefault="008C760B" w:rsidP="00C2063A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The proposed percentage of the </w:t>
      </w:r>
      <w:r>
        <w:rPr>
          <w:rFonts w:ascii="Arial" w:hAnsi="Arial" w:cs="Arial"/>
        </w:rPr>
        <w:t>funds</w:t>
      </w:r>
      <w:r w:rsidRPr="008C760B">
        <w:rPr>
          <w:rFonts w:ascii="Arial" w:hAnsi="Arial" w:cs="Arial"/>
        </w:rPr>
        <w:t xml:space="preserve"> to be invested in projects in high opportunity communities, which are defined as communities where households have access to good schools, transportation and economic opportunities to promote upward mobility; </w:t>
      </w:r>
    </w:p>
    <w:p w14:paraId="0638F43A" w14:textId="31374347" w:rsidR="008C760B" w:rsidRPr="008C760B" w:rsidRDefault="008C760B" w:rsidP="008C760B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8C760B">
        <w:rPr>
          <w:rFonts w:ascii="Arial" w:hAnsi="Arial" w:cs="Arial"/>
        </w:rPr>
        <w:t xml:space="preserve">The proposed percentage of the </w:t>
      </w:r>
      <w:r>
        <w:rPr>
          <w:rFonts w:ascii="Arial" w:hAnsi="Arial" w:cs="Arial"/>
        </w:rPr>
        <w:t>funds</w:t>
      </w:r>
      <w:r w:rsidRPr="008C760B">
        <w:rPr>
          <w:rFonts w:ascii="Arial" w:hAnsi="Arial" w:cs="Arial"/>
        </w:rPr>
        <w:t xml:space="preserve"> to be invested in housing preservation to prevent displacement due to increasing rents; and</w:t>
      </w:r>
    </w:p>
    <w:p w14:paraId="7EF42C62" w14:textId="3438969C" w:rsidR="00AB1E08" w:rsidRPr="008C760B" w:rsidRDefault="008C760B" w:rsidP="008C760B">
      <w:pPr>
        <w:pStyle w:val="ListParagraph0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8C760B">
        <w:rPr>
          <w:rFonts w:ascii="Arial" w:hAnsi="Arial" w:cs="Arial"/>
        </w:rPr>
        <w:t>The proposed geographic distribution of projects to ensure that the plan results in a geographically equitable distribution of projects.</w:t>
      </w:r>
      <w:r w:rsidRPr="008C760B">
        <w:rPr>
          <w:rStyle w:val="FootnoteReference"/>
          <w:rFonts w:ascii="Arial" w:hAnsi="Arial" w:cs="Arial"/>
        </w:rPr>
        <w:t xml:space="preserve"> </w:t>
      </w:r>
      <w:r w:rsidR="000772FC">
        <w:rPr>
          <w:rStyle w:val="FootnoteReference"/>
          <w:rFonts w:ascii="Arial" w:hAnsi="Arial" w:cs="Arial"/>
        </w:rPr>
        <w:footnoteReference w:id="18"/>
      </w:r>
    </w:p>
    <w:p w14:paraId="4C3F8A92" w14:textId="77777777" w:rsidR="00FC5D9E" w:rsidRDefault="00FC5D9E" w:rsidP="000772FC">
      <w:pPr>
        <w:jc w:val="both"/>
        <w:rPr>
          <w:rFonts w:ascii="Arial" w:hAnsi="Arial" w:cs="Arial"/>
          <w:szCs w:val="24"/>
        </w:rPr>
      </w:pPr>
    </w:p>
    <w:p w14:paraId="0E57A5EA" w14:textId="7E4825F5" w:rsidR="000772FC" w:rsidRPr="000772FC" w:rsidRDefault="000772FC" w:rsidP="008C4766">
      <w:pPr>
        <w:pStyle w:val="ListParagraph0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0772FC">
        <w:rPr>
          <w:rFonts w:ascii="Arial" w:hAnsi="Arial" w:cs="Arial"/>
          <w:b/>
        </w:rPr>
        <w:t>Geographic allocation.</w:t>
      </w:r>
      <w:r w:rsidRPr="000772FC">
        <w:rPr>
          <w:rFonts w:ascii="Arial" w:hAnsi="Arial" w:cs="Arial"/>
        </w:rPr>
        <w:t xml:space="preserve"> </w:t>
      </w:r>
      <w:r w:rsidR="00FC5D9E" w:rsidRPr="000772FC">
        <w:rPr>
          <w:rFonts w:ascii="Arial" w:hAnsi="Arial" w:cs="Arial"/>
        </w:rPr>
        <w:t xml:space="preserve">$30 million </w:t>
      </w:r>
      <w:r w:rsidRPr="000772FC">
        <w:rPr>
          <w:rFonts w:ascii="Arial" w:hAnsi="Arial" w:cs="Arial"/>
        </w:rPr>
        <w:t xml:space="preserve">was restricted </w:t>
      </w:r>
      <w:r w:rsidR="00FC5D9E" w:rsidRPr="000772FC">
        <w:rPr>
          <w:rFonts w:ascii="Arial" w:hAnsi="Arial" w:cs="Arial"/>
        </w:rPr>
        <w:t xml:space="preserve">to be used for </w:t>
      </w:r>
      <w:r w:rsidRPr="000772FC">
        <w:rPr>
          <w:rFonts w:ascii="Arial" w:hAnsi="Arial" w:cs="Arial"/>
        </w:rPr>
        <w:t xml:space="preserve">preservation, acquisition, or development of </w:t>
      </w:r>
      <w:r w:rsidR="00FC5D9E" w:rsidRPr="000772FC">
        <w:rPr>
          <w:rFonts w:ascii="Arial" w:hAnsi="Arial" w:cs="Arial"/>
        </w:rPr>
        <w:t xml:space="preserve">TOD affordable housing throughout the county, </w:t>
      </w:r>
      <w:r w:rsidRPr="000772FC">
        <w:rPr>
          <w:rFonts w:ascii="Arial" w:hAnsi="Arial" w:cs="Arial"/>
        </w:rPr>
        <w:t xml:space="preserve">to be awarded through competitive procurement processes, </w:t>
      </w:r>
      <w:r>
        <w:rPr>
          <w:rFonts w:ascii="Arial" w:hAnsi="Arial" w:cs="Arial"/>
        </w:rPr>
        <w:t>after</w:t>
      </w:r>
      <w:r w:rsidR="00FC5D9E" w:rsidRPr="000772FC">
        <w:rPr>
          <w:rFonts w:ascii="Arial" w:hAnsi="Arial" w:cs="Arial"/>
        </w:rPr>
        <w:t xml:space="preserve"> the development of a </w:t>
      </w:r>
      <w:r>
        <w:rPr>
          <w:rFonts w:ascii="Arial" w:hAnsi="Arial" w:cs="Arial"/>
        </w:rPr>
        <w:t xml:space="preserve">Council-approved </w:t>
      </w:r>
      <w:r w:rsidR="00FC5D9E" w:rsidRPr="000772FC">
        <w:rPr>
          <w:rFonts w:ascii="Arial" w:hAnsi="Arial" w:cs="Arial"/>
        </w:rPr>
        <w:t>allocation plan</w:t>
      </w:r>
      <w:r w:rsidRPr="000772FC">
        <w:rPr>
          <w:rFonts w:ascii="Arial" w:hAnsi="Arial" w:cs="Arial"/>
        </w:rPr>
        <w:t>, and with the following geographic distribution:</w:t>
      </w:r>
      <w:r w:rsidRPr="000772FC">
        <w:rPr>
          <w:rStyle w:val="FootnoteReference"/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19"/>
      </w:r>
    </w:p>
    <w:p w14:paraId="45379911" w14:textId="77777777" w:rsidR="000772FC" w:rsidRPr="000772FC" w:rsidRDefault="000772FC" w:rsidP="000772FC">
      <w:pPr>
        <w:pStyle w:val="ListParagraph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480"/>
        <w:gridCol w:w="2358"/>
      </w:tblGrid>
      <w:tr w:rsidR="000772FC" w14:paraId="64BE1167" w14:textId="77777777" w:rsidTr="00A06C16">
        <w:tc>
          <w:tcPr>
            <w:tcW w:w="738" w:type="dxa"/>
          </w:tcPr>
          <w:p w14:paraId="00F80223" w14:textId="77777777" w:rsidR="000772FC" w:rsidRPr="00D568F4" w:rsidRDefault="000772FC" w:rsidP="00A06C16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576ADD7" w14:textId="60E7C872" w:rsidR="000772FC" w:rsidRPr="00D568F4" w:rsidRDefault="000772FC" w:rsidP="00A06C1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 of Seattle</w:t>
            </w:r>
          </w:p>
        </w:tc>
        <w:tc>
          <w:tcPr>
            <w:tcW w:w="2358" w:type="dxa"/>
            <w:vAlign w:val="center"/>
          </w:tcPr>
          <w:p w14:paraId="74F7E2A0" w14:textId="54CC367F" w:rsidR="000772FC" w:rsidRPr="00D568F4" w:rsidRDefault="000772FC" w:rsidP="000772F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$6 million</w:t>
            </w:r>
          </w:p>
        </w:tc>
      </w:tr>
      <w:tr w:rsidR="000772FC" w14:paraId="6BAFE3E2" w14:textId="77777777" w:rsidTr="00A06C16">
        <w:tc>
          <w:tcPr>
            <w:tcW w:w="738" w:type="dxa"/>
          </w:tcPr>
          <w:p w14:paraId="6AAE913B" w14:textId="77777777" w:rsidR="000772FC" w:rsidRPr="00D568F4" w:rsidRDefault="000772FC" w:rsidP="00A06C16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6066517" w14:textId="5257B204" w:rsidR="000772FC" w:rsidRPr="00D568F4" w:rsidRDefault="000772FC" w:rsidP="00A06C1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East King County</w:t>
            </w:r>
          </w:p>
        </w:tc>
        <w:tc>
          <w:tcPr>
            <w:tcW w:w="2358" w:type="dxa"/>
            <w:vAlign w:val="center"/>
          </w:tcPr>
          <w:p w14:paraId="7E610954" w14:textId="1FB96A49" w:rsidR="000772FC" w:rsidRPr="00D568F4" w:rsidRDefault="000772FC" w:rsidP="000772F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 million</w:t>
            </w:r>
          </w:p>
        </w:tc>
      </w:tr>
      <w:tr w:rsidR="000772FC" w14:paraId="200FD508" w14:textId="77777777" w:rsidTr="00A06C16">
        <w:tc>
          <w:tcPr>
            <w:tcW w:w="738" w:type="dxa"/>
          </w:tcPr>
          <w:p w14:paraId="55C6456B" w14:textId="77777777" w:rsidR="000772FC" w:rsidRPr="00D568F4" w:rsidRDefault="000772FC" w:rsidP="00A06C16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3261FE80" w14:textId="0D6E3E99" w:rsidR="000772FC" w:rsidRDefault="000772FC" w:rsidP="00A06C1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 King County</w:t>
            </w:r>
          </w:p>
        </w:tc>
        <w:tc>
          <w:tcPr>
            <w:tcW w:w="2358" w:type="dxa"/>
            <w:vAlign w:val="center"/>
          </w:tcPr>
          <w:p w14:paraId="746D4C2A" w14:textId="74BC3F47" w:rsidR="000772FC" w:rsidRDefault="000772FC" w:rsidP="000772F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 million</w:t>
            </w:r>
          </w:p>
        </w:tc>
      </w:tr>
      <w:tr w:rsidR="000772FC" w14:paraId="11EE1B77" w14:textId="77777777" w:rsidTr="00A06C16">
        <w:tc>
          <w:tcPr>
            <w:tcW w:w="738" w:type="dxa"/>
          </w:tcPr>
          <w:p w14:paraId="1A6C4B6E" w14:textId="77777777" w:rsidR="000772FC" w:rsidRPr="00D568F4" w:rsidRDefault="000772FC" w:rsidP="00A06C16">
            <w:pPr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80" w:type="dxa"/>
            <w:vAlign w:val="center"/>
          </w:tcPr>
          <w:p w14:paraId="4796854A" w14:textId="0FCBEAD7" w:rsidR="000772FC" w:rsidRDefault="000772FC" w:rsidP="00A06C1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 King County</w:t>
            </w:r>
          </w:p>
        </w:tc>
        <w:tc>
          <w:tcPr>
            <w:tcW w:w="2358" w:type="dxa"/>
            <w:vAlign w:val="center"/>
          </w:tcPr>
          <w:p w14:paraId="748448E9" w14:textId="6433D073" w:rsidR="000772FC" w:rsidRDefault="000772FC" w:rsidP="000772FC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 million</w:t>
            </w:r>
          </w:p>
        </w:tc>
      </w:tr>
    </w:tbl>
    <w:p w14:paraId="2AC1DEB4" w14:textId="77777777" w:rsidR="000772FC" w:rsidRPr="000772FC" w:rsidRDefault="000772FC" w:rsidP="000772FC">
      <w:pPr>
        <w:jc w:val="both"/>
        <w:rPr>
          <w:rFonts w:ascii="Arial" w:hAnsi="Arial" w:cs="Arial"/>
        </w:rPr>
      </w:pPr>
    </w:p>
    <w:p w14:paraId="11793A57" w14:textId="30182433" w:rsidR="00C2063A" w:rsidRPr="00C2063A" w:rsidRDefault="00C2063A" w:rsidP="00C2063A">
      <w:pPr>
        <w:pStyle w:val="ListParagraph0"/>
        <w:jc w:val="both"/>
        <w:rPr>
          <w:rStyle w:val="FootnoteReference"/>
          <w:rFonts w:ascii="Arial" w:hAnsi="Arial" w:cs="Arial"/>
          <w:vertAlign w:val="baseline"/>
        </w:rPr>
      </w:pPr>
      <w:r w:rsidRPr="00C2063A">
        <w:rPr>
          <w:rStyle w:val="FootnoteReference"/>
          <w:rFonts w:ascii="Arial" w:hAnsi="Arial" w:cs="Arial"/>
          <w:vertAlign w:val="baseline"/>
        </w:rPr>
        <w:t xml:space="preserve">The </w:t>
      </w:r>
      <w:proofErr w:type="gramStart"/>
      <w:r>
        <w:rPr>
          <w:rFonts w:ascii="Arial" w:hAnsi="Arial" w:cs="Arial"/>
        </w:rPr>
        <w:t>allocation</w:t>
      </w:r>
      <w:proofErr w:type="gramEnd"/>
      <w:r>
        <w:rPr>
          <w:rFonts w:ascii="Arial" w:hAnsi="Arial" w:cs="Arial"/>
        </w:rPr>
        <w:t xml:space="preserve"> plan must include</w:t>
      </w:r>
      <w:r w:rsidRPr="00C2063A">
        <w:rPr>
          <w:rStyle w:val="FootnoteReference"/>
          <w:rFonts w:ascii="Arial" w:hAnsi="Arial" w:cs="Arial"/>
          <w:vertAlign w:val="baseline"/>
        </w:rPr>
        <w:t>:</w:t>
      </w:r>
    </w:p>
    <w:p w14:paraId="72BFC3B0" w14:textId="56991DFD" w:rsidR="00C2063A" w:rsidRPr="00C2063A" w:rsidRDefault="00C2063A" w:rsidP="00C2063A">
      <w:pPr>
        <w:pStyle w:val="ListParagraph0"/>
        <w:numPr>
          <w:ilvl w:val="1"/>
          <w:numId w:val="9"/>
        </w:numPr>
        <w:spacing w:line="240" w:lineRule="auto"/>
        <w:ind w:left="1440"/>
        <w:jc w:val="both"/>
        <w:rPr>
          <w:rStyle w:val="FootnoteReference"/>
          <w:rFonts w:ascii="Arial" w:hAnsi="Arial" w:cs="Arial"/>
          <w:vertAlign w:val="baseline"/>
        </w:rPr>
      </w:pPr>
      <w:r w:rsidRPr="00C2063A">
        <w:rPr>
          <w:rStyle w:val="FootnoteReference"/>
          <w:rFonts w:ascii="Arial" w:hAnsi="Arial" w:cs="Arial"/>
          <w:vertAlign w:val="baseline"/>
        </w:rPr>
        <w:t>A proposal to prioritize projects near existing or planned light rail station locations, including a description of how geographic equity will be attained;</w:t>
      </w:r>
    </w:p>
    <w:p w14:paraId="41C33DF5" w14:textId="6F806D62" w:rsidR="00C2063A" w:rsidRPr="00C2063A" w:rsidRDefault="00C2063A" w:rsidP="00C2063A">
      <w:pPr>
        <w:pStyle w:val="ListParagraph0"/>
        <w:numPr>
          <w:ilvl w:val="1"/>
          <w:numId w:val="9"/>
        </w:numPr>
        <w:spacing w:line="240" w:lineRule="auto"/>
        <w:ind w:left="1440"/>
        <w:jc w:val="both"/>
        <w:rPr>
          <w:rStyle w:val="FootnoteReference"/>
          <w:rFonts w:ascii="Arial" w:hAnsi="Arial" w:cs="Arial"/>
          <w:vertAlign w:val="baseline"/>
        </w:rPr>
      </w:pPr>
      <w:r w:rsidRPr="00C2063A">
        <w:rPr>
          <w:rStyle w:val="FootnoteReference"/>
          <w:rFonts w:ascii="Arial" w:hAnsi="Arial" w:cs="Arial"/>
          <w:vertAlign w:val="baseline"/>
        </w:rPr>
        <w:t>A proposal to prioritize projects for which cities will provide a local match, including, but not limited to, project funding, provision of property at a below-market price, proposed or previously enacted increased zoning density or other amenities; and</w:t>
      </w:r>
    </w:p>
    <w:p w14:paraId="279A4C0B" w14:textId="7EC36AB4" w:rsidR="000772FC" w:rsidRPr="000772FC" w:rsidRDefault="00C2063A" w:rsidP="00C2063A">
      <w:pPr>
        <w:pStyle w:val="ListParagraph0"/>
        <w:numPr>
          <w:ilvl w:val="1"/>
          <w:numId w:val="9"/>
        </w:numPr>
        <w:spacing w:line="240" w:lineRule="auto"/>
        <w:ind w:left="1440"/>
        <w:jc w:val="both"/>
        <w:rPr>
          <w:rStyle w:val="FootnoteReference"/>
          <w:rFonts w:ascii="Arial" w:hAnsi="Arial" w:cs="Arial"/>
          <w:vertAlign w:val="baseline"/>
        </w:rPr>
      </w:pPr>
      <w:r w:rsidRPr="00C2063A">
        <w:rPr>
          <w:rStyle w:val="FootnoteReference"/>
          <w:rFonts w:ascii="Arial" w:hAnsi="Arial" w:cs="Arial"/>
          <w:vertAlign w:val="baseline"/>
        </w:rPr>
        <w:t>A timeline for implementing the plan.</w:t>
      </w:r>
    </w:p>
    <w:p w14:paraId="5C5AF4B3" w14:textId="77777777" w:rsidR="00FC5D9E" w:rsidRPr="006015BC" w:rsidRDefault="00FC5D9E" w:rsidP="00C2063A">
      <w:pPr>
        <w:rPr>
          <w:rFonts w:ascii="Arial" w:hAnsi="Arial" w:cs="Arial"/>
          <w:b/>
          <w:u w:val="single"/>
        </w:rPr>
      </w:pPr>
    </w:p>
    <w:p w14:paraId="5D4C6879" w14:textId="77777777" w:rsidR="00EE00F3" w:rsidRPr="00760CC8" w:rsidRDefault="00293D02" w:rsidP="005B478C">
      <w:pPr>
        <w:pStyle w:val="BodyText"/>
        <w:jc w:val="both"/>
        <w:rPr>
          <w:rFonts w:ascii="Arial" w:hAnsi="Arial" w:cs="Arial"/>
          <w:b/>
          <w:i w:val="0"/>
          <w:szCs w:val="24"/>
          <w:u w:val="single"/>
        </w:rPr>
      </w:pPr>
      <w:r w:rsidRPr="00760CC8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5553C2A7" w14:textId="77777777" w:rsidR="00DE6BA7" w:rsidRPr="00760CC8" w:rsidRDefault="00DE6BA7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5076C7F" w14:textId="45378DE1" w:rsidR="00DE383D" w:rsidRDefault="009B0450" w:rsidP="00033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2016 TOD Bond Allocation Summary, updated September 2018</w:t>
      </w:r>
    </w:p>
    <w:p w14:paraId="7F4AC0FC" w14:textId="34307245" w:rsidR="008C760B" w:rsidRDefault="008C760B" w:rsidP="00033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2019-2020 Budget Ordinance excerpt with TOD restrictions</w:t>
      </w:r>
    </w:p>
    <w:p w14:paraId="419CA0E6" w14:textId="28BA7634" w:rsidR="00C822F0" w:rsidRDefault="00C822F0" w:rsidP="000330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2018 Transit-Oriented Development Bond Allocation Annual Report</w:t>
      </w:r>
    </w:p>
    <w:p w14:paraId="038D6447" w14:textId="2B7A402A" w:rsidR="00C822F0" w:rsidRPr="004737BD" w:rsidRDefault="00C822F0" w:rsidP="00C822F0">
      <w:pPr>
        <w:jc w:val="both"/>
        <w:rPr>
          <w:rFonts w:ascii="Arial" w:hAnsi="Arial" w:cs="Arial"/>
        </w:rPr>
      </w:pPr>
    </w:p>
    <w:p w14:paraId="24385A64" w14:textId="77777777" w:rsidR="00C521D8" w:rsidRPr="002D4FE6" w:rsidRDefault="00C521D8" w:rsidP="005B478C">
      <w:pPr>
        <w:pStyle w:val="BodyText"/>
        <w:jc w:val="both"/>
        <w:rPr>
          <w:rFonts w:ascii="Arial" w:hAnsi="Arial" w:cs="Arial"/>
          <w:b/>
          <w:i w:val="0"/>
          <w:szCs w:val="24"/>
          <w:highlight w:val="yellow"/>
          <w:u w:val="single"/>
        </w:rPr>
      </w:pPr>
    </w:p>
    <w:p w14:paraId="20F07643" w14:textId="77777777" w:rsidR="00253303" w:rsidRPr="00760CC8" w:rsidRDefault="00C44166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760CC8">
        <w:rPr>
          <w:rFonts w:ascii="Arial" w:hAnsi="Arial" w:cs="Arial"/>
          <w:b/>
          <w:szCs w:val="24"/>
          <w:u w:val="single"/>
        </w:rPr>
        <w:t>INVITED</w:t>
      </w:r>
    </w:p>
    <w:p w14:paraId="43F5AA34" w14:textId="77777777" w:rsidR="00734F2E" w:rsidRPr="00760CC8" w:rsidRDefault="00734F2E" w:rsidP="005B478C">
      <w:pPr>
        <w:jc w:val="both"/>
        <w:rPr>
          <w:rFonts w:ascii="Arial" w:hAnsi="Arial" w:cs="Arial"/>
          <w:szCs w:val="24"/>
        </w:rPr>
      </w:pPr>
    </w:p>
    <w:p w14:paraId="10739BFB" w14:textId="4C9755E9" w:rsidR="001C4B19" w:rsidRPr="00767E57" w:rsidRDefault="00237468" w:rsidP="000330A6">
      <w:pPr>
        <w:pStyle w:val="ListParagraph0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Ellerbrook</w:t>
      </w:r>
      <w:proofErr w:type="spellEnd"/>
      <w:r>
        <w:rPr>
          <w:rFonts w:ascii="Arial" w:hAnsi="Arial" w:cs="Arial"/>
        </w:rPr>
        <w:t>, Regional Housing and Community Development Manager, Department of Community and Human Services</w:t>
      </w:r>
    </w:p>
    <w:sectPr w:rsidR="001C4B19" w:rsidRPr="00767E57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0C8B" w14:textId="77777777" w:rsidR="006F5CD7" w:rsidRDefault="006F5CD7">
      <w:r>
        <w:separator/>
      </w:r>
    </w:p>
  </w:endnote>
  <w:endnote w:type="continuationSeparator" w:id="0">
    <w:p w14:paraId="0855B477" w14:textId="77777777" w:rsidR="006F5CD7" w:rsidRDefault="006F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1EAC" w14:textId="77777777" w:rsidR="006F5CD7" w:rsidRDefault="006F5CD7">
      <w:r>
        <w:separator/>
      </w:r>
    </w:p>
  </w:footnote>
  <w:footnote w:type="continuationSeparator" w:id="0">
    <w:p w14:paraId="16493746" w14:textId="77777777" w:rsidR="006F5CD7" w:rsidRDefault="006F5CD7">
      <w:r>
        <w:continuationSeparator/>
      </w:r>
    </w:p>
  </w:footnote>
  <w:footnote w:id="1">
    <w:p w14:paraId="293E01E1" w14:textId="17C22CC1" w:rsidR="000D745A" w:rsidRPr="005D0202" w:rsidRDefault="000D745A" w:rsidP="000D745A">
      <w:pPr>
        <w:pStyle w:val="FootnoteText"/>
        <w:rPr>
          <w:rFonts w:ascii="Arial" w:hAnsi="Arial" w:cs="Arial"/>
        </w:rPr>
      </w:pPr>
      <w:r w:rsidRPr="005D0202">
        <w:rPr>
          <w:rStyle w:val="FootnoteReference"/>
          <w:rFonts w:ascii="Arial" w:hAnsi="Arial" w:cs="Arial"/>
        </w:rPr>
        <w:footnoteRef/>
      </w:r>
      <w:r w:rsidRPr="005D0202">
        <w:rPr>
          <w:rFonts w:ascii="Arial" w:hAnsi="Arial" w:cs="Arial"/>
        </w:rPr>
        <w:t xml:space="preserve"> SHB 1223 (Chapter 102, Laws of 2015)</w:t>
      </w:r>
      <w:r w:rsidR="00743F33" w:rsidRPr="005D0202">
        <w:rPr>
          <w:rFonts w:ascii="Arial" w:hAnsi="Arial" w:cs="Arial"/>
        </w:rPr>
        <w:t>, RCW 67.28.180</w:t>
      </w:r>
    </w:p>
  </w:footnote>
  <w:footnote w:id="2">
    <w:p w14:paraId="47B846B6" w14:textId="77777777" w:rsidR="000D745A" w:rsidRPr="005D0202" w:rsidRDefault="000D745A" w:rsidP="000D745A">
      <w:pPr>
        <w:pStyle w:val="FootnoteText"/>
        <w:rPr>
          <w:rFonts w:ascii="Arial" w:hAnsi="Arial" w:cs="Arial"/>
        </w:rPr>
      </w:pPr>
      <w:r w:rsidRPr="005D0202">
        <w:rPr>
          <w:rStyle w:val="FootnoteReference"/>
          <w:rFonts w:ascii="Arial" w:hAnsi="Arial" w:cs="Arial"/>
        </w:rPr>
        <w:footnoteRef/>
      </w:r>
      <w:r w:rsidRPr="005D0202">
        <w:rPr>
          <w:rFonts w:ascii="Arial" w:hAnsi="Arial" w:cs="Arial"/>
        </w:rPr>
        <w:t xml:space="preserve"> Motion 14687</w:t>
      </w:r>
    </w:p>
  </w:footnote>
  <w:footnote w:id="3">
    <w:p w14:paraId="6E11F7EB" w14:textId="77777777" w:rsidR="005D0202" w:rsidRPr="005D0202" w:rsidRDefault="005D0202" w:rsidP="005D0202">
      <w:pPr>
        <w:pStyle w:val="FootnoteText"/>
        <w:rPr>
          <w:rFonts w:ascii="Arial" w:hAnsi="Arial" w:cs="Arial"/>
        </w:rPr>
      </w:pPr>
      <w:r w:rsidRPr="005D0202">
        <w:rPr>
          <w:rStyle w:val="FootnoteReference"/>
          <w:rFonts w:ascii="Arial" w:hAnsi="Arial" w:cs="Arial"/>
        </w:rPr>
        <w:footnoteRef/>
      </w:r>
      <w:r w:rsidRPr="005D0202">
        <w:rPr>
          <w:rFonts w:ascii="Arial" w:hAnsi="Arial" w:cs="Arial"/>
        </w:rPr>
        <w:t xml:space="preserve"> Ordinance 18788</w:t>
      </w:r>
    </w:p>
  </w:footnote>
  <w:footnote w:id="4">
    <w:p w14:paraId="5D796E3E" w14:textId="3C2A9C55" w:rsidR="005410A0" w:rsidRPr="005410A0" w:rsidRDefault="005410A0" w:rsidP="005410A0">
      <w:pPr>
        <w:pStyle w:val="FootnoteText"/>
        <w:rPr>
          <w:rFonts w:ascii="Arial" w:hAnsi="Arial" w:cs="Arial"/>
        </w:rPr>
      </w:pPr>
      <w:r w:rsidRPr="005410A0">
        <w:rPr>
          <w:rStyle w:val="FootnoteReference"/>
          <w:rFonts w:ascii="Arial" w:hAnsi="Arial" w:cs="Arial"/>
        </w:rPr>
        <w:footnoteRef/>
      </w:r>
      <w:r w:rsidRPr="005410A0">
        <w:rPr>
          <w:rFonts w:ascii="Arial" w:hAnsi="Arial" w:cs="Arial"/>
        </w:rPr>
        <w:t xml:space="preserve"> Ordinance 18835</w:t>
      </w:r>
      <w:r>
        <w:rPr>
          <w:rFonts w:ascii="Arial" w:hAnsi="Arial" w:cs="Arial"/>
        </w:rPr>
        <w:t xml:space="preserve">, Section 101, Expenditure Restrictions </w:t>
      </w:r>
      <w:r w:rsidR="004E392E">
        <w:rPr>
          <w:rFonts w:ascii="Arial" w:hAnsi="Arial" w:cs="Arial"/>
        </w:rPr>
        <w:t>ER5, ER6, ER7 and Provisos P2, P3</w:t>
      </w:r>
    </w:p>
  </w:footnote>
  <w:footnote w:id="5">
    <w:p w14:paraId="6D19AECF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RCW 67.28.180(1)</w:t>
      </w:r>
    </w:p>
  </w:footnote>
  <w:footnote w:id="6">
    <w:p w14:paraId="0D543F73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RCW 67.28.180(3)(b)</w:t>
      </w:r>
    </w:p>
  </w:footnote>
  <w:footnote w:id="7">
    <w:p w14:paraId="7412E92E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Ordinances 18179, 18180, 18181</w:t>
      </w:r>
    </w:p>
  </w:footnote>
  <w:footnote w:id="8">
    <w:p w14:paraId="148871B7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RCW 67.28.180(3)(c)</w:t>
      </w:r>
    </w:p>
  </w:footnote>
  <w:footnote w:id="9">
    <w:p w14:paraId="7D77DE49" w14:textId="1DFA3883" w:rsidR="00442CCA" w:rsidRPr="00442CCA" w:rsidRDefault="00442CCA">
      <w:pPr>
        <w:pStyle w:val="FootnoteText"/>
        <w:rPr>
          <w:rFonts w:ascii="Arial" w:hAnsi="Arial" w:cs="Arial"/>
        </w:rPr>
      </w:pPr>
      <w:r w:rsidRPr="00442CCA">
        <w:rPr>
          <w:rStyle w:val="FootnoteReference"/>
          <w:rFonts w:ascii="Arial" w:hAnsi="Arial" w:cs="Arial"/>
        </w:rPr>
        <w:footnoteRef/>
      </w:r>
      <w:r w:rsidRPr="00442CCA">
        <w:rPr>
          <w:rFonts w:ascii="Arial" w:hAnsi="Arial" w:cs="Arial"/>
        </w:rPr>
        <w:t xml:space="preserve"> As defined in RCW 9.91.025</w:t>
      </w:r>
    </w:p>
  </w:footnote>
  <w:footnote w:id="10">
    <w:p w14:paraId="517F3173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RCW 67.28.180(3)(d), RCW 67.28.180(3)(h)(ii)</w:t>
      </w:r>
    </w:p>
  </w:footnote>
  <w:footnote w:id="11">
    <w:p w14:paraId="1798FCEB" w14:textId="77777777" w:rsidR="002A7E7C" w:rsidRPr="007341A7" w:rsidRDefault="002A7E7C" w:rsidP="002A7E7C">
      <w:pPr>
        <w:pStyle w:val="FootnoteText"/>
        <w:rPr>
          <w:rFonts w:ascii="Arial" w:hAnsi="Arial" w:cs="Arial"/>
        </w:rPr>
      </w:pPr>
      <w:r w:rsidRPr="007341A7">
        <w:rPr>
          <w:rStyle w:val="FootnoteReference"/>
          <w:rFonts w:ascii="Arial" w:hAnsi="Arial" w:cs="Arial"/>
        </w:rPr>
        <w:footnoteRef/>
      </w:r>
      <w:r w:rsidRPr="007341A7">
        <w:rPr>
          <w:rFonts w:ascii="Arial" w:hAnsi="Arial" w:cs="Arial"/>
        </w:rPr>
        <w:t xml:space="preserve"> Substitute House Bill 1223, Enacted as Chapter 102, Laws of Washington 2015</w:t>
      </w:r>
    </w:p>
  </w:footnote>
  <w:footnote w:id="12">
    <w:p w14:paraId="632B8BAD" w14:textId="77777777" w:rsidR="002A7E7C" w:rsidRPr="003A7F5D" w:rsidRDefault="002A7E7C" w:rsidP="002A7E7C">
      <w:pPr>
        <w:pStyle w:val="FootnoteText"/>
        <w:rPr>
          <w:rFonts w:ascii="Arial" w:hAnsi="Arial" w:cs="Arial"/>
        </w:rPr>
      </w:pPr>
      <w:r w:rsidRPr="003A7F5D">
        <w:rPr>
          <w:rStyle w:val="FootnoteReference"/>
          <w:rFonts w:ascii="Arial" w:hAnsi="Arial" w:cs="Arial"/>
        </w:rPr>
        <w:footnoteRef/>
      </w:r>
      <w:r w:rsidRPr="003A7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A7F5D">
        <w:rPr>
          <w:rFonts w:ascii="Arial" w:hAnsi="Arial" w:cs="Arial"/>
        </w:rPr>
        <w:t>s defined in RCW 67.28.180 / RCW 9.91.025</w:t>
      </w:r>
    </w:p>
  </w:footnote>
  <w:footnote w:id="13">
    <w:p w14:paraId="1818E410" w14:textId="3F893A49" w:rsidR="00FA2C1D" w:rsidRDefault="00FA2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41A7">
        <w:rPr>
          <w:rFonts w:ascii="Arial" w:hAnsi="Arial" w:cs="Arial"/>
        </w:rPr>
        <w:t>RCW 67.28.180(3)(</w:t>
      </w:r>
      <w:r>
        <w:rPr>
          <w:rFonts w:ascii="Arial" w:hAnsi="Arial" w:cs="Arial"/>
        </w:rPr>
        <w:t>h</w:t>
      </w:r>
      <w:r w:rsidRPr="007341A7">
        <w:rPr>
          <w:rFonts w:ascii="Arial" w:hAnsi="Arial" w:cs="Arial"/>
        </w:rPr>
        <w:t>)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</w:p>
  </w:footnote>
  <w:footnote w:id="14">
    <w:p w14:paraId="7F1FCE52" w14:textId="77777777" w:rsidR="00743F33" w:rsidRPr="00743F33" w:rsidRDefault="00743F33" w:rsidP="00743F33">
      <w:pPr>
        <w:pStyle w:val="FootnoteText"/>
        <w:rPr>
          <w:rFonts w:ascii="Arial" w:hAnsi="Arial" w:cs="Arial"/>
        </w:rPr>
      </w:pPr>
      <w:r w:rsidRPr="00743F33">
        <w:rPr>
          <w:rStyle w:val="FootnoteReference"/>
          <w:rFonts w:ascii="Arial" w:hAnsi="Arial" w:cs="Arial"/>
        </w:rPr>
        <w:footnoteRef/>
      </w:r>
      <w:r w:rsidRPr="00743F33">
        <w:rPr>
          <w:rFonts w:ascii="Arial" w:hAnsi="Arial" w:cs="Arial"/>
        </w:rPr>
        <w:t xml:space="preserve"> Motion 14687</w:t>
      </w:r>
    </w:p>
  </w:footnote>
  <w:footnote w:id="15">
    <w:p w14:paraId="0D2D4682" w14:textId="77777777" w:rsidR="00FC5D9E" w:rsidRPr="005D0202" w:rsidRDefault="00FC5D9E" w:rsidP="00FC5D9E">
      <w:pPr>
        <w:pStyle w:val="FootnoteText"/>
        <w:rPr>
          <w:rFonts w:ascii="Arial" w:hAnsi="Arial" w:cs="Arial"/>
        </w:rPr>
      </w:pPr>
      <w:r w:rsidRPr="005D0202">
        <w:rPr>
          <w:rStyle w:val="FootnoteReference"/>
          <w:rFonts w:ascii="Arial" w:hAnsi="Arial" w:cs="Arial"/>
        </w:rPr>
        <w:footnoteRef/>
      </w:r>
      <w:r w:rsidRPr="005D0202">
        <w:rPr>
          <w:rFonts w:ascii="Arial" w:hAnsi="Arial" w:cs="Arial"/>
        </w:rPr>
        <w:t xml:space="preserve"> Ordinance 18788</w:t>
      </w:r>
    </w:p>
  </w:footnote>
  <w:footnote w:id="16">
    <w:p w14:paraId="11ED55C4" w14:textId="036E4A43" w:rsidR="00D568F4" w:rsidRPr="00D568F4" w:rsidRDefault="00D568F4">
      <w:pPr>
        <w:pStyle w:val="FootnoteText"/>
        <w:rPr>
          <w:rFonts w:ascii="Arial" w:hAnsi="Arial" w:cs="Arial"/>
        </w:rPr>
      </w:pPr>
      <w:r w:rsidRPr="00D568F4">
        <w:rPr>
          <w:rStyle w:val="FootnoteReference"/>
          <w:rFonts w:ascii="Arial" w:hAnsi="Arial" w:cs="Arial"/>
        </w:rPr>
        <w:footnoteRef/>
      </w:r>
      <w:r w:rsidRPr="00D568F4">
        <w:rPr>
          <w:rFonts w:ascii="Arial" w:hAnsi="Arial" w:cs="Arial"/>
        </w:rPr>
        <w:t xml:space="preserve"> Ordinance 18835, Section 101, Expenditure Restriction ER5</w:t>
      </w:r>
    </w:p>
  </w:footnote>
  <w:footnote w:id="17">
    <w:p w14:paraId="785795EC" w14:textId="5CB403FE" w:rsidR="00AB1E08" w:rsidRPr="00D568F4" w:rsidRDefault="00AB1E08" w:rsidP="00AB1E08">
      <w:pPr>
        <w:pStyle w:val="FootnoteText"/>
        <w:rPr>
          <w:rFonts w:ascii="Arial" w:hAnsi="Arial" w:cs="Arial"/>
        </w:rPr>
      </w:pPr>
      <w:r w:rsidRPr="00D568F4">
        <w:rPr>
          <w:rStyle w:val="FootnoteReference"/>
          <w:rFonts w:ascii="Arial" w:hAnsi="Arial" w:cs="Arial"/>
        </w:rPr>
        <w:footnoteRef/>
      </w:r>
      <w:r w:rsidRPr="00D568F4">
        <w:rPr>
          <w:rFonts w:ascii="Arial" w:hAnsi="Arial" w:cs="Arial"/>
        </w:rPr>
        <w:t xml:space="preserve"> Ordinance 18835, Section 101, Expenditure Restriction ER</w:t>
      </w:r>
      <w:r>
        <w:rPr>
          <w:rFonts w:ascii="Arial" w:hAnsi="Arial" w:cs="Arial"/>
        </w:rPr>
        <w:t>6 and Proviso P2</w:t>
      </w:r>
    </w:p>
  </w:footnote>
  <w:footnote w:id="18">
    <w:p w14:paraId="74272271" w14:textId="145FAF2C" w:rsidR="000772FC" w:rsidRPr="000772FC" w:rsidRDefault="000772FC">
      <w:pPr>
        <w:pStyle w:val="FootnoteText"/>
        <w:rPr>
          <w:rFonts w:ascii="Arial" w:hAnsi="Arial" w:cs="Arial"/>
        </w:rPr>
      </w:pPr>
      <w:r w:rsidRPr="000772FC">
        <w:rPr>
          <w:rStyle w:val="FootnoteReference"/>
          <w:rFonts w:ascii="Arial" w:hAnsi="Arial" w:cs="Arial"/>
        </w:rPr>
        <w:footnoteRef/>
      </w:r>
      <w:r w:rsidRPr="000772FC">
        <w:rPr>
          <w:rFonts w:ascii="Arial" w:hAnsi="Arial" w:cs="Arial"/>
        </w:rPr>
        <w:t xml:space="preserve"> Ordinance 18835, Section 101, Expenditure Restriction ER7 and Proviso P3</w:t>
      </w:r>
    </w:p>
  </w:footnote>
  <w:footnote w:id="19">
    <w:p w14:paraId="6CF88585" w14:textId="77777777" w:rsidR="000772FC" w:rsidRPr="005410A0" w:rsidRDefault="000772FC" w:rsidP="000772FC">
      <w:pPr>
        <w:pStyle w:val="FootnoteText"/>
        <w:rPr>
          <w:rFonts w:ascii="Arial" w:hAnsi="Arial" w:cs="Arial"/>
        </w:rPr>
      </w:pPr>
      <w:r w:rsidRPr="005410A0">
        <w:rPr>
          <w:rStyle w:val="FootnoteReference"/>
          <w:rFonts w:ascii="Arial" w:hAnsi="Arial" w:cs="Arial"/>
        </w:rPr>
        <w:footnoteRef/>
      </w:r>
      <w:r w:rsidRPr="005410A0">
        <w:rPr>
          <w:rFonts w:ascii="Arial" w:hAnsi="Arial" w:cs="Arial"/>
        </w:rPr>
        <w:t xml:space="preserve"> Ordinance 18835</w:t>
      </w:r>
      <w:r>
        <w:rPr>
          <w:rFonts w:ascii="Arial" w:hAnsi="Arial" w:cs="Arial"/>
        </w:rPr>
        <w:t>, Section 101, Expenditure Restrictions ER5, ER6, ER7 and Provisos P2, P3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CB7D" w14:textId="77777777" w:rsidR="006F5CD7" w:rsidRDefault="006F5CD7" w:rsidP="00C75025">
    <w:pPr>
      <w:jc w:val="center"/>
    </w:pPr>
    <w:r>
      <w:rPr>
        <w:noProof/>
      </w:rPr>
      <w:drawing>
        <wp:inline distT="0" distB="0" distL="0" distR="0" wp14:anchorId="009D5C31" wp14:editId="2FE6672B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33C59" w14:textId="77777777" w:rsidR="006F5CD7" w:rsidRPr="003B03EF" w:rsidRDefault="006F5CD7" w:rsidP="00C75025">
    <w:pPr>
      <w:jc w:val="center"/>
      <w:rPr>
        <w:rFonts w:ascii="Arial" w:hAnsi="Arial"/>
        <w:szCs w:val="22"/>
      </w:rPr>
    </w:pPr>
  </w:p>
  <w:p w14:paraId="79A7F02A" w14:textId="77777777" w:rsidR="006F5CD7" w:rsidRDefault="006F5CD7" w:rsidP="00F866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AB5783D" w14:textId="29E6F763" w:rsidR="006F5CD7" w:rsidRPr="004A1D48" w:rsidRDefault="004737BD" w:rsidP="00F866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Regional Policy</w:t>
    </w:r>
    <w:r w:rsidR="006F5CD7">
      <w:rPr>
        <w:rFonts w:ascii="Verdana" w:hAnsi="Verdana"/>
        <w:b/>
        <w:sz w:val="28"/>
        <w:szCs w:val="28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56F"/>
    <w:multiLevelType w:val="hybridMultilevel"/>
    <w:tmpl w:val="EF40F490"/>
    <w:lvl w:ilvl="0" w:tplc="FB2C788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86E"/>
    <w:multiLevelType w:val="hybridMultilevel"/>
    <w:tmpl w:val="53903B6C"/>
    <w:lvl w:ilvl="0" w:tplc="3A0415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FC5"/>
    <w:multiLevelType w:val="hybridMultilevel"/>
    <w:tmpl w:val="FE524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3459B"/>
    <w:multiLevelType w:val="hybridMultilevel"/>
    <w:tmpl w:val="AEF4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4BC"/>
    <w:multiLevelType w:val="hybridMultilevel"/>
    <w:tmpl w:val="2D6600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D73E7"/>
    <w:multiLevelType w:val="hybridMultilevel"/>
    <w:tmpl w:val="7D3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933BC"/>
    <w:multiLevelType w:val="hybridMultilevel"/>
    <w:tmpl w:val="C3647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F7FB9"/>
    <w:multiLevelType w:val="hybridMultilevel"/>
    <w:tmpl w:val="797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7A2A"/>
    <w:multiLevelType w:val="hybridMultilevel"/>
    <w:tmpl w:val="F3EA0F30"/>
    <w:lvl w:ilvl="0" w:tplc="6B7CE9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311D8"/>
    <w:rsid w:val="000315B2"/>
    <w:rsid w:val="00031C05"/>
    <w:rsid w:val="00031E7D"/>
    <w:rsid w:val="0003207F"/>
    <w:rsid w:val="000321D8"/>
    <w:rsid w:val="000330A6"/>
    <w:rsid w:val="000333D7"/>
    <w:rsid w:val="000333DA"/>
    <w:rsid w:val="000351B5"/>
    <w:rsid w:val="0004406E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1A"/>
    <w:rsid w:val="000722EA"/>
    <w:rsid w:val="000736F6"/>
    <w:rsid w:val="00074A56"/>
    <w:rsid w:val="000766A2"/>
    <w:rsid w:val="00076F58"/>
    <w:rsid w:val="000772FC"/>
    <w:rsid w:val="00080295"/>
    <w:rsid w:val="00081382"/>
    <w:rsid w:val="000818AA"/>
    <w:rsid w:val="00082009"/>
    <w:rsid w:val="0008325A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0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5A0D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D745A"/>
    <w:rsid w:val="000E0684"/>
    <w:rsid w:val="000E1BAB"/>
    <w:rsid w:val="000E1CD3"/>
    <w:rsid w:val="000E4781"/>
    <w:rsid w:val="000E7EFC"/>
    <w:rsid w:val="000F0AD1"/>
    <w:rsid w:val="000F29F5"/>
    <w:rsid w:val="000F4DCA"/>
    <w:rsid w:val="000F5E4A"/>
    <w:rsid w:val="001021BC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6281"/>
    <w:rsid w:val="00117D3D"/>
    <w:rsid w:val="00121D0A"/>
    <w:rsid w:val="00124211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05E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366"/>
    <w:rsid w:val="00177734"/>
    <w:rsid w:val="0018290F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600"/>
    <w:rsid w:val="001A1721"/>
    <w:rsid w:val="001A194B"/>
    <w:rsid w:val="001A1D18"/>
    <w:rsid w:val="001A1F93"/>
    <w:rsid w:val="001A2421"/>
    <w:rsid w:val="001A3BDD"/>
    <w:rsid w:val="001A4D65"/>
    <w:rsid w:val="001A50FD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6A4"/>
    <w:rsid w:val="001D2DDB"/>
    <w:rsid w:val="001D37A6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1F7CC3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3FD5"/>
    <w:rsid w:val="00224F9B"/>
    <w:rsid w:val="00225322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37468"/>
    <w:rsid w:val="002413EE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66C01"/>
    <w:rsid w:val="00270412"/>
    <w:rsid w:val="00270739"/>
    <w:rsid w:val="00271871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87CB2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A7E7C"/>
    <w:rsid w:val="002B0E1F"/>
    <w:rsid w:val="002B376D"/>
    <w:rsid w:val="002B5F5E"/>
    <w:rsid w:val="002B76A4"/>
    <w:rsid w:val="002B7D72"/>
    <w:rsid w:val="002C13D3"/>
    <w:rsid w:val="002C1543"/>
    <w:rsid w:val="002C42B2"/>
    <w:rsid w:val="002C4D38"/>
    <w:rsid w:val="002C61C6"/>
    <w:rsid w:val="002D1993"/>
    <w:rsid w:val="002D4FE6"/>
    <w:rsid w:val="002D6102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16A00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7F3"/>
    <w:rsid w:val="00366F46"/>
    <w:rsid w:val="00367E02"/>
    <w:rsid w:val="00372554"/>
    <w:rsid w:val="00373A3A"/>
    <w:rsid w:val="00375F76"/>
    <w:rsid w:val="003776FF"/>
    <w:rsid w:val="003810EA"/>
    <w:rsid w:val="0038149B"/>
    <w:rsid w:val="00381E3C"/>
    <w:rsid w:val="00382A09"/>
    <w:rsid w:val="00382AC7"/>
    <w:rsid w:val="00383EAC"/>
    <w:rsid w:val="00384051"/>
    <w:rsid w:val="00384C61"/>
    <w:rsid w:val="00384CEC"/>
    <w:rsid w:val="00386DA4"/>
    <w:rsid w:val="003910D8"/>
    <w:rsid w:val="003912A1"/>
    <w:rsid w:val="00391DBB"/>
    <w:rsid w:val="003927EB"/>
    <w:rsid w:val="00392EE9"/>
    <w:rsid w:val="00393627"/>
    <w:rsid w:val="003967B7"/>
    <w:rsid w:val="003A05DF"/>
    <w:rsid w:val="003A0E1D"/>
    <w:rsid w:val="003A12AE"/>
    <w:rsid w:val="003A213C"/>
    <w:rsid w:val="003A2203"/>
    <w:rsid w:val="003A24D6"/>
    <w:rsid w:val="003A2766"/>
    <w:rsid w:val="003A374B"/>
    <w:rsid w:val="003A4189"/>
    <w:rsid w:val="003A4612"/>
    <w:rsid w:val="003A6408"/>
    <w:rsid w:val="003A719A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252B"/>
    <w:rsid w:val="003F3805"/>
    <w:rsid w:val="003F40A3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5D49"/>
    <w:rsid w:val="00436DD2"/>
    <w:rsid w:val="0043717B"/>
    <w:rsid w:val="00437287"/>
    <w:rsid w:val="004412EB"/>
    <w:rsid w:val="00442CCA"/>
    <w:rsid w:val="00446B6F"/>
    <w:rsid w:val="00447B01"/>
    <w:rsid w:val="00450155"/>
    <w:rsid w:val="0045274D"/>
    <w:rsid w:val="00452DA1"/>
    <w:rsid w:val="00453237"/>
    <w:rsid w:val="00455FE6"/>
    <w:rsid w:val="00456257"/>
    <w:rsid w:val="004611A4"/>
    <w:rsid w:val="00461B28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7BD"/>
    <w:rsid w:val="00473BE5"/>
    <w:rsid w:val="00473BEB"/>
    <w:rsid w:val="00474DBF"/>
    <w:rsid w:val="0048143B"/>
    <w:rsid w:val="00482087"/>
    <w:rsid w:val="004821C0"/>
    <w:rsid w:val="00483E33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1C7"/>
    <w:rsid w:val="004A537B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392E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5F41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089C"/>
    <w:rsid w:val="005218F6"/>
    <w:rsid w:val="00522D68"/>
    <w:rsid w:val="00527709"/>
    <w:rsid w:val="0053306D"/>
    <w:rsid w:val="00537A1F"/>
    <w:rsid w:val="00537B98"/>
    <w:rsid w:val="005410A0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353"/>
    <w:rsid w:val="0057198B"/>
    <w:rsid w:val="00571FF0"/>
    <w:rsid w:val="00575B03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3B88"/>
    <w:rsid w:val="005B478C"/>
    <w:rsid w:val="005B7D1A"/>
    <w:rsid w:val="005C44C6"/>
    <w:rsid w:val="005C4BCC"/>
    <w:rsid w:val="005C624B"/>
    <w:rsid w:val="005D0202"/>
    <w:rsid w:val="005D056C"/>
    <w:rsid w:val="005E3FF7"/>
    <w:rsid w:val="005E440F"/>
    <w:rsid w:val="005E59DE"/>
    <w:rsid w:val="005E611A"/>
    <w:rsid w:val="005E6C74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5BC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5686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500A3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6B12"/>
    <w:rsid w:val="0066783A"/>
    <w:rsid w:val="006715A0"/>
    <w:rsid w:val="00671BEF"/>
    <w:rsid w:val="00675900"/>
    <w:rsid w:val="006767E7"/>
    <w:rsid w:val="00683A2D"/>
    <w:rsid w:val="00683FF5"/>
    <w:rsid w:val="00684471"/>
    <w:rsid w:val="0068585E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448B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1A66"/>
    <w:rsid w:val="006C7139"/>
    <w:rsid w:val="006C71C9"/>
    <w:rsid w:val="006C72EB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063D"/>
    <w:rsid w:val="006F0CFB"/>
    <w:rsid w:val="006F129F"/>
    <w:rsid w:val="006F4AD3"/>
    <w:rsid w:val="006F5CD7"/>
    <w:rsid w:val="006F5E92"/>
    <w:rsid w:val="006F62F4"/>
    <w:rsid w:val="006F7148"/>
    <w:rsid w:val="006F7157"/>
    <w:rsid w:val="006F715B"/>
    <w:rsid w:val="006F74E7"/>
    <w:rsid w:val="007014C3"/>
    <w:rsid w:val="0070235C"/>
    <w:rsid w:val="00702438"/>
    <w:rsid w:val="00702BD2"/>
    <w:rsid w:val="00703B2A"/>
    <w:rsid w:val="0070539F"/>
    <w:rsid w:val="00705D32"/>
    <w:rsid w:val="00706E67"/>
    <w:rsid w:val="00707E01"/>
    <w:rsid w:val="007100C0"/>
    <w:rsid w:val="00711A85"/>
    <w:rsid w:val="00711DBF"/>
    <w:rsid w:val="00716FDD"/>
    <w:rsid w:val="007216BF"/>
    <w:rsid w:val="00721862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3F33"/>
    <w:rsid w:val="00745D8E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0CC8"/>
    <w:rsid w:val="007635B2"/>
    <w:rsid w:val="0076386D"/>
    <w:rsid w:val="00765EB5"/>
    <w:rsid w:val="0076606D"/>
    <w:rsid w:val="00767B3E"/>
    <w:rsid w:val="00767E57"/>
    <w:rsid w:val="00771486"/>
    <w:rsid w:val="00772135"/>
    <w:rsid w:val="00772261"/>
    <w:rsid w:val="00773139"/>
    <w:rsid w:val="00773149"/>
    <w:rsid w:val="00774989"/>
    <w:rsid w:val="00774CF8"/>
    <w:rsid w:val="0077667F"/>
    <w:rsid w:val="007814FF"/>
    <w:rsid w:val="0078206A"/>
    <w:rsid w:val="00782F7C"/>
    <w:rsid w:val="007836C0"/>
    <w:rsid w:val="00783856"/>
    <w:rsid w:val="00784160"/>
    <w:rsid w:val="00785EB3"/>
    <w:rsid w:val="00790106"/>
    <w:rsid w:val="00790D5F"/>
    <w:rsid w:val="00791045"/>
    <w:rsid w:val="007939AA"/>
    <w:rsid w:val="00795056"/>
    <w:rsid w:val="00796FE7"/>
    <w:rsid w:val="00797DDB"/>
    <w:rsid w:val="007A0645"/>
    <w:rsid w:val="007A0F27"/>
    <w:rsid w:val="007A21CD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6CB5"/>
    <w:rsid w:val="007D72EC"/>
    <w:rsid w:val="007D78E8"/>
    <w:rsid w:val="007D7D5A"/>
    <w:rsid w:val="007E3231"/>
    <w:rsid w:val="007F0F9A"/>
    <w:rsid w:val="007F2EFD"/>
    <w:rsid w:val="007F566F"/>
    <w:rsid w:val="0080188E"/>
    <w:rsid w:val="008028FF"/>
    <w:rsid w:val="008029E9"/>
    <w:rsid w:val="00803607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80C"/>
    <w:rsid w:val="00883A48"/>
    <w:rsid w:val="008848DC"/>
    <w:rsid w:val="00885C43"/>
    <w:rsid w:val="00886402"/>
    <w:rsid w:val="00887986"/>
    <w:rsid w:val="00892075"/>
    <w:rsid w:val="00892A2F"/>
    <w:rsid w:val="008935D1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4DB8"/>
    <w:rsid w:val="008C6271"/>
    <w:rsid w:val="008C6FBE"/>
    <w:rsid w:val="008C7211"/>
    <w:rsid w:val="008C760B"/>
    <w:rsid w:val="008D0553"/>
    <w:rsid w:val="008D07F4"/>
    <w:rsid w:val="008D125C"/>
    <w:rsid w:val="008D2884"/>
    <w:rsid w:val="008D2E17"/>
    <w:rsid w:val="008D31B1"/>
    <w:rsid w:val="008D460A"/>
    <w:rsid w:val="008D79B2"/>
    <w:rsid w:val="008D7ED0"/>
    <w:rsid w:val="008E2972"/>
    <w:rsid w:val="008E30E9"/>
    <w:rsid w:val="008E559A"/>
    <w:rsid w:val="008E5F44"/>
    <w:rsid w:val="008F18D1"/>
    <w:rsid w:val="008F3077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0EFB"/>
    <w:rsid w:val="0092110D"/>
    <w:rsid w:val="009211DA"/>
    <w:rsid w:val="00921A1B"/>
    <w:rsid w:val="00923832"/>
    <w:rsid w:val="00923F1E"/>
    <w:rsid w:val="00924047"/>
    <w:rsid w:val="00924A5F"/>
    <w:rsid w:val="00924F91"/>
    <w:rsid w:val="00925702"/>
    <w:rsid w:val="00925828"/>
    <w:rsid w:val="0092633C"/>
    <w:rsid w:val="009263DE"/>
    <w:rsid w:val="00926D1F"/>
    <w:rsid w:val="00927F4F"/>
    <w:rsid w:val="00930C01"/>
    <w:rsid w:val="00930CE2"/>
    <w:rsid w:val="00932703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47F58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27A"/>
    <w:rsid w:val="00977C67"/>
    <w:rsid w:val="009805F0"/>
    <w:rsid w:val="009807EE"/>
    <w:rsid w:val="00981128"/>
    <w:rsid w:val="00981AD7"/>
    <w:rsid w:val="009822E3"/>
    <w:rsid w:val="009864F8"/>
    <w:rsid w:val="00986BAF"/>
    <w:rsid w:val="009879E6"/>
    <w:rsid w:val="009904BB"/>
    <w:rsid w:val="0099121E"/>
    <w:rsid w:val="00991B8E"/>
    <w:rsid w:val="009931DF"/>
    <w:rsid w:val="00994872"/>
    <w:rsid w:val="00995A87"/>
    <w:rsid w:val="009A11A6"/>
    <w:rsid w:val="009A2222"/>
    <w:rsid w:val="009A504B"/>
    <w:rsid w:val="009A52E8"/>
    <w:rsid w:val="009A5B2B"/>
    <w:rsid w:val="009A672D"/>
    <w:rsid w:val="009A7751"/>
    <w:rsid w:val="009B0304"/>
    <w:rsid w:val="009B0450"/>
    <w:rsid w:val="009B0F66"/>
    <w:rsid w:val="009B17E9"/>
    <w:rsid w:val="009B24B0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60C"/>
    <w:rsid w:val="009C69CB"/>
    <w:rsid w:val="009C7DC6"/>
    <w:rsid w:val="009D2DE6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2216"/>
    <w:rsid w:val="00A0380E"/>
    <w:rsid w:val="00A06458"/>
    <w:rsid w:val="00A06776"/>
    <w:rsid w:val="00A07959"/>
    <w:rsid w:val="00A124BC"/>
    <w:rsid w:val="00A13877"/>
    <w:rsid w:val="00A15161"/>
    <w:rsid w:val="00A156F8"/>
    <w:rsid w:val="00A1689C"/>
    <w:rsid w:val="00A17F55"/>
    <w:rsid w:val="00A20459"/>
    <w:rsid w:val="00A21507"/>
    <w:rsid w:val="00A23355"/>
    <w:rsid w:val="00A25BEF"/>
    <w:rsid w:val="00A25DEB"/>
    <w:rsid w:val="00A26B99"/>
    <w:rsid w:val="00A278CD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1967"/>
    <w:rsid w:val="00A42F0C"/>
    <w:rsid w:val="00A4406D"/>
    <w:rsid w:val="00A46752"/>
    <w:rsid w:val="00A51560"/>
    <w:rsid w:val="00A5174B"/>
    <w:rsid w:val="00A51F9D"/>
    <w:rsid w:val="00A55AAD"/>
    <w:rsid w:val="00A567DC"/>
    <w:rsid w:val="00A57E80"/>
    <w:rsid w:val="00A602E9"/>
    <w:rsid w:val="00A623C2"/>
    <w:rsid w:val="00A62920"/>
    <w:rsid w:val="00A6349A"/>
    <w:rsid w:val="00A64D19"/>
    <w:rsid w:val="00A6503C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589E"/>
    <w:rsid w:val="00A77CB9"/>
    <w:rsid w:val="00A810B0"/>
    <w:rsid w:val="00A81830"/>
    <w:rsid w:val="00A8219B"/>
    <w:rsid w:val="00A826B0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6AD"/>
    <w:rsid w:val="00AA3737"/>
    <w:rsid w:val="00AA38AF"/>
    <w:rsid w:val="00AA74D0"/>
    <w:rsid w:val="00AA78B7"/>
    <w:rsid w:val="00AA78FE"/>
    <w:rsid w:val="00AA7ACA"/>
    <w:rsid w:val="00AB0779"/>
    <w:rsid w:val="00AB123F"/>
    <w:rsid w:val="00AB1E08"/>
    <w:rsid w:val="00AB2549"/>
    <w:rsid w:val="00AB546C"/>
    <w:rsid w:val="00AB5D11"/>
    <w:rsid w:val="00AB62CD"/>
    <w:rsid w:val="00AB6681"/>
    <w:rsid w:val="00AB745F"/>
    <w:rsid w:val="00AB7EDB"/>
    <w:rsid w:val="00AC1CD2"/>
    <w:rsid w:val="00AC515D"/>
    <w:rsid w:val="00AC79F6"/>
    <w:rsid w:val="00AC7D17"/>
    <w:rsid w:val="00AD04A9"/>
    <w:rsid w:val="00AD04B2"/>
    <w:rsid w:val="00AD1771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36F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1F20"/>
    <w:rsid w:val="00B32CF9"/>
    <w:rsid w:val="00B33ED2"/>
    <w:rsid w:val="00B34180"/>
    <w:rsid w:val="00B37245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0F37"/>
    <w:rsid w:val="00B65EB6"/>
    <w:rsid w:val="00B66304"/>
    <w:rsid w:val="00B67909"/>
    <w:rsid w:val="00B67AF1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164"/>
    <w:rsid w:val="00B943D8"/>
    <w:rsid w:val="00B94EC0"/>
    <w:rsid w:val="00B954C0"/>
    <w:rsid w:val="00B97541"/>
    <w:rsid w:val="00BA140C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3B8C"/>
    <w:rsid w:val="00BC4875"/>
    <w:rsid w:val="00BC5120"/>
    <w:rsid w:val="00BD004A"/>
    <w:rsid w:val="00BD1F11"/>
    <w:rsid w:val="00BD2360"/>
    <w:rsid w:val="00BD24E9"/>
    <w:rsid w:val="00BD2A49"/>
    <w:rsid w:val="00BD45AE"/>
    <w:rsid w:val="00BD560A"/>
    <w:rsid w:val="00BD63E2"/>
    <w:rsid w:val="00BE251E"/>
    <w:rsid w:val="00BE26EF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772"/>
    <w:rsid w:val="00C039FB"/>
    <w:rsid w:val="00C04A34"/>
    <w:rsid w:val="00C06B18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063A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25C5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6D5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776F7"/>
    <w:rsid w:val="00C814A3"/>
    <w:rsid w:val="00C81634"/>
    <w:rsid w:val="00C81879"/>
    <w:rsid w:val="00C822A0"/>
    <w:rsid w:val="00C822F0"/>
    <w:rsid w:val="00C8489E"/>
    <w:rsid w:val="00C84D9E"/>
    <w:rsid w:val="00C85437"/>
    <w:rsid w:val="00C856CB"/>
    <w:rsid w:val="00C8595A"/>
    <w:rsid w:val="00C86972"/>
    <w:rsid w:val="00C9201A"/>
    <w:rsid w:val="00C953AF"/>
    <w:rsid w:val="00C961EF"/>
    <w:rsid w:val="00C96E22"/>
    <w:rsid w:val="00C97211"/>
    <w:rsid w:val="00C9726A"/>
    <w:rsid w:val="00C975AC"/>
    <w:rsid w:val="00C976B6"/>
    <w:rsid w:val="00C97889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7F7"/>
    <w:rsid w:val="00CE1F3A"/>
    <w:rsid w:val="00CE3A29"/>
    <w:rsid w:val="00CE74FD"/>
    <w:rsid w:val="00CE792B"/>
    <w:rsid w:val="00CE7E1D"/>
    <w:rsid w:val="00CF079B"/>
    <w:rsid w:val="00CF1D35"/>
    <w:rsid w:val="00CF6A55"/>
    <w:rsid w:val="00CF6F91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1003"/>
    <w:rsid w:val="00D2488B"/>
    <w:rsid w:val="00D24E56"/>
    <w:rsid w:val="00D26358"/>
    <w:rsid w:val="00D278B5"/>
    <w:rsid w:val="00D31BCF"/>
    <w:rsid w:val="00D3323E"/>
    <w:rsid w:val="00D341C4"/>
    <w:rsid w:val="00D361E1"/>
    <w:rsid w:val="00D37836"/>
    <w:rsid w:val="00D37B5C"/>
    <w:rsid w:val="00D37BBD"/>
    <w:rsid w:val="00D40474"/>
    <w:rsid w:val="00D41340"/>
    <w:rsid w:val="00D413F7"/>
    <w:rsid w:val="00D4155B"/>
    <w:rsid w:val="00D42396"/>
    <w:rsid w:val="00D4362B"/>
    <w:rsid w:val="00D45063"/>
    <w:rsid w:val="00D475C8"/>
    <w:rsid w:val="00D5297F"/>
    <w:rsid w:val="00D568F4"/>
    <w:rsid w:val="00D6024D"/>
    <w:rsid w:val="00D61327"/>
    <w:rsid w:val="00D6181B"/>
    <w:rsid w:val="00D63329"/>
    <w:rsid w:val="00D63844"/>
    <w:rsid w:val="00D63A1D"/>
    <w:rsid w:val="00D64838"/>
    <w:rsid w:val="00D652F6"/>
    <w:rsid w:val="00D65414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3B68"/>
    <w:rsid w:val="00DB3E7B"/>
    <w:rsid w:val="00DB4590"/>
    <w:rsid w:val="00DB4DFD"/>
    <w:rsid w:val="00DB50C7"/>
    <w:rsid w:val="00DB6A20"/>
    <w:rsid w:val="00DC0EB7"/>
    <w:rsid w:val="00DC15FF"/>
    <w:rsid w:val="00DC1ED8"/>
    <w:rsid w:val="00DC1F18"/>
    <w:rsid w:val="00DC1F8D"/>
    <w:rsid w:val="00DC1F9A"/>
    <w:rsid w:val="00DC4642"/>
    <w:rsid w:val="00DC4F01"/>
    <w:rsid w:val="00DC600C"/>
    <w:rsid w:val="00DC6642"/>
    <w:rsid w:val="00DC6AED"/>
    <w:rsid w:val="00DD0717"/>
    <w:rsid w:val="00DD1379"/>
    <w:rsid w:val="00DD19E1"/>
    <w:rsid w:val="00DD1D0C"/>
    <w:rsid w:val="00DD1D99"/>
    <w:rsid w:val="00DD1E33"/>
    <w:rsid w:val="00DD3BC4"/>
    <w:rsid w:val="00DE33C8"/>
    <w:rsid w:val="00DE383D"/>
    <w:rsid w:val="00DE47C5"/>
    <w:rsid w:val="00DE4D3C"/>
    <w:rsid w:val="00DE63A4"/>
    <w:rsid w:val="00DE6BA7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278FC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4CE6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1E9"/>
    <w:rsid w:val="00E5424C"/>
    <w:rsid w:val="00E56250"/>
    <w:rsid w:val="00E603AB"/>
    <w:rsid w:val="00E60649"/>
    <w:rsid w:val="00E60EB8"/>
    <w:rsid w:val="00E61433"/>
    <w:rsid w:val="00E61726"/>
    <w:rsid w:val="00E623AE"/>
    <w:rsid w:val="00E6300F"/>
    <w:rsid w:val="00E63B4A"/>
    <w:rsid w:val="00E646B3"/>
    <w:rsid w:val="00E7163A"/>
    <w:rsid w:val="00E7213E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49DE"/>
    <w:rsid w:val="00EB5A13"/>
    <w:rsid w:val="00EB7E8B"/>
    <w:rsid w:val="00EC11DC"/>
    <w:rsid w:val="00EC1332"/>
    <w:rsid w:val="00EC2659"/>
    <w:rsid w:val="00EC29CC"/>
    <w:rsid w:val="00ED0178"/>
    <w:rsid w:val="00ED15CB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15F6E"/>
    <w:rsid w:val="00F2044E"/>
    <w:rsid w:val="00F20B79"/>
    <w:rsid w:val="00F20BE0"/>
    <w:rsid w:val="00F230D6"/>
    <w:rsid w:val="00F244B6"/>
    <w:rsid w:val="00F275EE"/>
    <w:rsid w:val="00F27CFB"/>
    <w:rsid w:val="00F301F8"/>
    <w:rsid w:val="00F31015"/>
    <w:rsid w:val="00F31CDD"/>
    <w:rsid w:val="00F32E77"/>
    <w:rsid w:val="00F3704F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33F"/>
    <w:rsid w:val="00F55BD7"/>
    <w:rsid w:val="00F56EBC"/>
    <w:rsid w:val="00F5738C"/>
    <w:rsid w:val="00F57996"/>
    <w:rsid w:val="00F57E55"/>
    <w:rsid w:val="00F60C80"/>
    <w:rsid w:val="00F628E5"/>
    <w:rsid w:val="00F62D63"/>
    <w:rsid w:val="00F65642"/>
    <w:rsid w:val="00F6619B"/>
    <w:rsid w:val="00F66401"/>
    <w:rsid w:val="00F731E8"/>
    <w:rsid w:val="00F768EB"/>
    <w:rsid w:val="00F77845"/>
    <w:rsid w:val="00F8004A"/>
    <w:rsid w:val="00F80769"/>
    <w:rsid w:val="00F80B33"/>
    <w:rsid w:val="00F822DC"/>
    <w:rsid w:val="00F8340D"/>
    <w:rsid w:val="00F835BA"/>
    <w:rsid w:val="00F85B55"/>
    <w:rsid w:val="00F864A5"/>
    <w:rsid w:val="00F8662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2C1D"/>
    <w:rsid w:val="00FA594E"/>
    <w:rsid w:val="00FA7679"/>
    <w:rsid w:val="00FB0800"/>
    <w:rsid w:val="00FB2A39"/>
    <w:rsid w:val="00FB4954"/>
    <w:rsid w:val="00FB4D01"/>
    <w:rsid w:val="00FB500C"/>
    <w:rsid w:val="00FB574A"/>
    <w:rsid w:val="00FB66FD"/>
    <w:rsid w:val="00FB684A"/>
    <w:rsid w:val="00FC09F4"/>
    <w:rsid w:val="00FC1676"/>
    <w:rsid w:val="00FC3DA6"/>
    <w:rsid w:val="00FC5D9E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1F61"/>
    <w:rsid w:val="00FE3738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569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78E07"/>
  <w15:docId w15:val="{C230890C-880F-4B70-8D51-CA4FF56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qFormat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uiPriority w:val="39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EB7E8B"/>
  </w:style>
  <w:style w:type="character" w:customStyle="1" w:styleId="apple-converted-space">
    <w:name w:val="apple-converted-space"/>
    <w:basedOn w:val="DefaultParagraphFont"/>
    <w:rsid w:val="00A17F55"/>
  </w:style>
  <w:style w:type="character" w:styleId="EndnoteReference">
    <w:name w:val="endnote reference"/>
    <w:basedOn w:val="DefaultParagraphFont"/>
    <w:uiPriority w:val="99"/>
    <w:semiHidden/>
    <w:unhideWhenUsed/>
    <w:rsid w:val="002A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FEF0-2104-4078-8CAF-12C05A09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Calderon, Angelica</cp:lastModifiedBy>
  <cp:revision>22</cp:revision>
  <cp:lastPrinted>2015-03-13T15:09:00Z</cp:lastPrinted>
  <dcterms:created xsi:type="dcterms:W3CDTF">2018-11-16T16:22:00Z</dcterms:created>
  <dcterms:modified xsi:type="dcterms:W3CDTF">2019-01-03T17:26:00Z</dcterms:modified>
</cp:coreProperties>
</file>