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82" w:rsidRPr="001679FA" w:rsidRDefault="00696582" w:rsidP="00696582">
      <w:pPr>
        <w:pStyle w:val="ListParagraph"/>
        <w:jc w:val="center"/>
        <w:rPr>
          <w:rFonts w:asciiTheme="majorHAnsi" w:hAnsiTheme="majorHAnsi"/>
          <w:b/>
          <w:sz w:val="32"/>
          <w:szCs w:val="32"/>
        </w:rPr>
      </w:pPr>
      <w:r w:rsidRPr="001679FA">
        <w:rPr>
          <w:rFonts w:asciiTheme="majorHAnsi" w:hAnsiTheme="majorHAnsi"/>
          <w:b/>
          <w:sz w:val="32"/>
          <w:szCs w:val="32"/>
        </w:rPr>
        <w:t>BUDGET AND FISCAL MANAGEMENT COMMITTEE</w:t>
      </w:r>
    </w:p>
    <w:p w:rsidR="00E45F47" w:rsidRPr="001679FA" w:rsidRDefault="00696582" w:rsidP="00696582">
      <w:pPr>
        <w:pStyle w:val="ListParagraph"/>
        <w:jc w:val="center"/>
        <w:rPr>
          <w:rFonts w:asciiTheme="majorHAnsi" w:hAnsiTheme="majorHAnsi"/>
          <w:b/>
          <w:sz w:val="32"/>
          <w:szCs w:val="32"/>
        </w:rPr>
      </w:pPr>
      <w:r w:rsidRPr="001679FA">
        <w:rPr>
          <w:rFonts w:asciiTheme="majorHAnsi" w:hAnsiTheme="majorHAnsi"/>
          <w:b/>
          <w:sz w:val="32"/>
          <w:szCs w:val="32"/>
        </w:rPr>
        <w:t>LINE AMENDMENTS TO STRIKING AMENDMENT S1 TO PO 2018-0465</w:t>
      </w:r>
    </w:p>
    <w:p w:rsidR="00696582" w:rsidRDefault="00696582" w:rsidP="00E45F47">
      <w:pPr>
        <w:pStyle w:val="ListParagraph"/>
      </w:pPr>
    </w:p>
    <w:tbl>
      <w:tblPr>
        <w:tblStyle w:val="TableGrid"/>
        <w:tblW w:w="0" w:type="auto"/>
        <w:tblInd w:w="720" w:type="dxa"/>
        <w:tblLook w:val="04A0" w:firstRow="1" w:lastRow="0" w:firstColumn="1" w:lastColumn="0" w:noHBand="0" w:noVBand="1"/>
      </w:tblPr>
      <w:tblGrid>
        <w:gridCol w:w="1118"/>
        <w:gridCol w:w="1307"/>
        <w:gridCol w:w="1440"/>
        <w:gridCol w:w="2250"/>
        <w:gridCol w:w="6115"/>
      </w:tblGrid>
      <w:tr w:rsidR="00E45F47" w:rsidTr="0066480D">
        <w:trPr>
          <w:cantSplit/>
          <w:tblHeader/>
        </w:trPr>
        <w:tc>
          <w:tcPr>
            <w:tcW w:w="1118" w:type="dxa"/>
            <w:shd w:val="clear" w:color="auto" w:fill="000000" w:themeFill="text1"/>
          </w:tcPr>
          <w:p w:rsidR="00E45F47" w:rsidRPr="00E45F47" w:rsidRDefault="00E45F47" w:rsidP="00E45F47">
            <w:pPr>
              <w:pStyle w:val="ListParagraph"/>
              <w:ind w:left="0"/>
              <w:rPr>
                <w:b/>
                <w:color w:val="FFFFFF" w:themeColor="background1"/>
              </w:rPr>
            </w:pPr>
            <w:r>
              <w:rPr>
                <w:b/>
                <w:color w:val="FFFFFF" w:themeColor="background1"/>
              </w:rPr>
              <w:t>No.</w:t>
            </w:r>
          </w:p>
        </w:tc>
        <w:tc>
          <w:tcPr>
            <w:tcW w:w="1307" w:type="dxa"/>
            <w:shd w:val="clear" w:color="auto" w:fill="000000" w:themeFill="text1"/>
          </w:tcPr>
          <w:p w:rsidR="00E45F47" w:rsidRDefault="00E45F47" w:rsidP="00E45F47">
            <w:pPr>
              <w:pStyle w:val="ListParagraph"/>
              <w:ind w:left="0"/>
              <w:rPr>
                <w:b/>
                <w:color w:val="FFFFFF" w:themeColor="background1"/>
              </w:rPr>
            </w:pPr>
            <w:r>
              <w:rPr>
                <w:b/>
                <w:color w:val="FFFFFF" w:themeColor="background1"/>
              </w:rPr>
              <w:t>1</w:t>
            </w:r>
            <w:r w:rsidRPr="00E45F47">
              <w:rPr>
                <w:b/>
                <w:color w:val="FFFFFF" w:themeColor="background1"/>
                <w:vertAlign w:val="superscript"/>
              </w:rPr>
              <w:t>st</w:t>
            </w:r>
            <w:r>
              <w:rPr>
                <w:b/>
                <w:color w:val="FFFFFF" w:themeColor="background1"/>
              </w:rPr>
              <w:t xml:space="preserve"> Page &amp; Line</w:t>
            </w:r>
          </w:p>
        </w:tc>
        <w:tc>
          <w:tcPr>
            <w:tcW w:w="1440" w:type="dxa"/>
            <w:shd w:val="clear" w:color="auto" w:fill="000000" w:themeFill="text1"/>
          </w:tcPr>
          <w:p w:rsidR="00E45F47" w:rsidRPr="00E45F47" w:rsidRDefault="00E45F47" w:rsidP="00E45F47">
            <w:pPr>
              <w:pStyle w:val="ListParagraph"/>
              <w:ind w:left="0"/>
              <w:rPr>
                <w:b/>
                <w:color w:val="FFFFFF" w:themeColor="background1"/>
              </w:rPr>
            </w:pPr>
            <w:r>
              <w:rPr>
                <w:b/>
                <w:color w:val="FFFFFF" w:themeColor="background1"/>
              </w:rPr>
              <w:t>Sponsor</w:t>
            </w:r>
          </w:p>
        </w:tc>
        <w:tc>
          <w:tcPr>
            <w:tcW w:w="2250" w:type="dxa"/>
            <w:shd w:val="clear" w:color="auto" w:fill="000000" w:themeFill="text1"/>
          </w:tcPr>
          <w:p w:rsidR="00E45F47" w:rsidRPr="00E45F47" w:rsidRDefault="00E45F47" w:rsidP="00E45F47">
            <w:pPr>
              <w:pStyle w:val="ListParagraph"/>
              <w:ind w:left="0"/>
              <w:rPr>
                <w:b/>
                <w:color w:val="FFFFFF" w:themeColor="background1"/>
              </w:rPr>
            </w:pPr>
            <w:r>
              <w:rPr>
                <w:b/>
                <w:color w:val="FFFFFF" w:themeColor="background1"/>
              </w:rPr>
              <w:t>Topic</w:t>
            </w:r>
          </w:p>
        </w:tc>
        <w:tc>
          <w:tcPr>
            <w:tcW w:w="6115" w:type="dxa"/>
            <w:shd w:val="clear" w:color="auto" w:fill="000000" w:themeFill="text1"/>
          </w:tcPr>
          <w:p w:rsidR="00E45F47" w:rsidRPr="00E45F47" w:rsidRDefault="00E45F47" w:rsidP="00E45F47">
            <w:pPr>
              <w:pStyle w:val="ListParagraph"/>
              <w:ind w:left="0"/>
              <w:rPr>
                <w:b/>
                <w:color w:val="FFFFFF" w:themeColor="background1"/>
              </w:rPr>
            </w:pPr>
            <w:r>
              <w:rPr>
                <w:b/>
                <w:color w:val="FFFFFF" w:themeColor="background1"/>
              </w:rPr>
              <w:t>Changes to the Budget</w:t>
            </w:r>
          </w:p>
        </w:tc>
      </w:tr>
      <w:tr w:rsidR="00E45F47" w:rsidTr="0066480D">
        <w:trPr>
          <w:cantSplit/>
        </w:trPr>
        <w:tc>
          <w:tcPr>
            <w:tcW w:w="1118" w:type="dxa"/>
          </w:tcPr>
          <w:p w:rsidR="00E45F47" w:rsidRPr="009A504F" w:rsidRDefault="00D3507D" w:rsidP="00A81649">
            <w:pPr>
              <w:pStyle w:val="ListParagraph"/>
              <w:ind w:left="0"/>
              <w:jc w:val="center"/>
              <w:rPr>
                <w:rFonts w:asciiTheme="majorHAnsi" w:hAnsiTheme="majorHAnsi"/>
                <w:b/>
                <w:sz w:val="40"/>
                <w:szCs w:val="40"/>
              </w:rPr>
            </w:pPr>
            <w:r>
              <w:rPr>
                <w:rFonts w:asciiTheme="majorHAnsi" w:hAnsiTheme="majorHAnsi"/>
                <w:b/>
                <w:sz w:val="40"/>
                <w:szCs w:val="40"/>
              </w:rPr>
              <w:t>1</w:t>
            </w:r>
          </w:p>
        </w:tc>
        <w:tc>
          <w:tcPr>
            <w:tcW w:w="1307" w:type="dxa"/>
          </w:tcPr>
          <w:p w:rsidR="00E45F47" w:rsidRDefault="00F15087" w:rsidP="00300D14">
            <w:pPr>
              <w:pStyle w:val="ListParagraph"/>
              <w:ind w:left="0"/>
            </w:pPr>
            <w:r>
              <w:t>Pg. 10,</w:t>
            </w:r>
            <w:r w:rsidR="00300D14">
              <w:t xml:space="preserve"> L</w:t>
            </w:r>
            <w:r w:rsidR="00BA4467">
              <w:t>ine 203</w:t>
            </w:r>
          </w:p>
        </w:tc>
        <w:tc>
          <w:tcPr>
            <w:tcW w:w="1440" w:type="dxa"/>
          </w:tcPr>
          <w:p w:rsidR="00E45F47" w:rsidRDefault="00E4432C" w:rsidP="00E45F47">
            <w:pPr>
              <w:pStyle w:val="ListParagraph"/>
              <w:ind w:left="0"/>
            </w:pPr>
            <w:r>
              <w:t>Balducci</w:t>
            </w:r>
          </w:p>
        </w:tc>
        <w:tc>
          <w:tcPr>
            <w:tcW w:w="2250" w:type="dxa"/>
          </w:tcPr>
          <w:p w:rsidR="00E45F47" w:rsidRDefault="00E4432C" w:rsidP="00E45F47">
            <w:pPr>
              <w:pStyle w:val="ListParagraph"/>
              <w:ind w:left="0"/>
            </w:pPr>
            <w:r>
              <w:t>Regional recruiting</w:t>
            </w:r>
          </w:p>
        </w:tc>
        <w:tc>
          <w:tcPr>
            <w:tcW w:w="6115" w:type="dxa"/>
          </w:tcPr>
          <w:p w:rsidR="00445ABE" w:rsidRDefault="00E4432C" w:rsidP="00445ABE">
            <w:pPr>
              <w:pStyle w:val="ListParagraph"/>
              <w:numPr>
                <w:ilvl w:val="0"/>
                <w:numId w:val="3"/>
              </w:numPr>
              <w:ind w:left="252" w:hanging="180"/>
            </w:pPr>
            <w:r>
              <w:t>Change proviso in PSB</w:t>
            </w:r>
            <w:r w:rsidR="00445ABE">
              <w:t xml:space="preserve"> to request design and cost of a program </w:t>
            </w:r>
            <w:r w:rsidR="00216837">
              <w:t xml:space="preserve">related to </w:t>
            </w:r>
            <w:r w:rsidR="00445ABE">
              <w:t xml:space="preserve">a </w:t>
            </w:r>
            <w:r w:rsidR="00216837">
              <w:t>regional recruiting</w:t>
            </w:r>
            <w:r w:rsidR="00445ABE">
              <w:t xml:space="preserve"> of law enforcement officers and remove language on identifying specifics of the program</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2</w:t>
            </w:r>
          </w:p>
        </w:tc>
        <w:tc>
          <w:tcPr>
            <w:tcW w:w="1307" w:type="dxa"/>
          </w:tcPr>
          <w:p w:rsidR="004C4357" w:rsidRDefault="004C4357" w:rsidP="004C4357">
            <w:pPr>
              <w:pStyle w:val="ListParagraph"/>
              <w:ind w:left="0"/>
            </w:pPr>
            <w:r>
              <w:t>Pg. 17, after Line 363</w:t>
            </w:r>
          </w:p>
        </w:tc>
        <w:tc>
          <w:tcPr>
            <w:tcW w:w="1440" w:type="dxa"/>
          </w:tcPr>
          <w:p w:rsidR="00F15087" w:rsidRDefault="004C4357" w:rsidP="004C4357">
            <w:pPr>
              <w:pStyle w:val="ListParagraph"/>
              <w:ind w:left="0"/>
            </w:pPr>
            <w:r>
              <w:t>Dembowski</w:t>
            </w:r>
            <w:r w:rsidR="00F15087">
              <w:t>/</w:t>
            </w:r>
          </w:p>
          <w:p w:rsidR="004C4357" w:rsidRDefault="00F15087" w:rsidP="004C4357">
            <w:pPr>
              <w:pStyle w:val="ListParagraph"/>
              <w:ind w:left="0"/>
            </w:pPr>
            <w:r>
              <w:t>Gossett</w:t>
            </w:r>
          </w:p>
        </w:tc>
        <w:tc>
          <w:tcPr>
            <w:tcW w:w="2250" w:type="dxa"/>
          </w:tcPr>
          <w:p w:rsidR="004C4357" w:rsidRDefault="004C4357" w:rsidP="004C4357">
            <w:pPr>
              <w:pStyle w:val="ListParagraph"/>
              <w:ind w:left="0"/>
            </w:pPr>
            <w:r>
              <w:t>CFJC</w:t>
            </w:r>
            <w:r w:rsidR="00F15087">
              <w:t xml:space="preserve"> $17M</w:t>
            </w:r>
          </w:p>
        </w:tc>
        <w:tc>
          <w:tcPr>
            <w:tcW w:w="6115" w:type="dxa"/>
          </w:tcPr>
          <w:p w:rsidR="004C4357" w:rsidRDefault="004C4357" w:rsidP="004C4357">
            <w:pPr>
              <w:pStyle w:val="ListParagraph"/>
              <w:numPr>
                <w:ilvl w:val="0"/>
                <w:numId w:val="3"/>
              </w:numPr>
              <w:ind w:left="252" w:hanging="180"/>
            </w:pPr>
            <w:r>
              <w:t xml:space="preserve">New proviso </w:t>
            </w:r>
            <w:r w:rsidR="00C77C6D">
              <w:t>in PSB on a plan to reduce criminal justice</w:t>
            </w:r>
            <w:r>
              <w:t xml:space="preserve"> </w:t>
            </w:r>
            <w:r w:rsidR="00C77C6D">
              <w:t xml:space="preserve">agency </w:t>
            </w:r>
            <w:r>
              <w:t>budgets by $17M</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3</w:t>
            </w:r>
          </w:p>
        </w:tc>
        <w:tc>
          <w:tcPr>
            <w:tcW w:w="1307" w:type="dxa"/>
          </w:tcPr>
          <w:p w:rsidR="004C4357" w:rsidRDefault="004C4357" w:rsidP="004C4357">
            <w:pPr>
              <w:pStyle w:val="ListParagraph"/>
              <w:ind w:left="0"/>
            </w:pPr>
            <w:r>
              <w:t>Pg. 17, after Line 363</w:t>
            </w:r>
          </w:p>
        </w:tc>
        <w:tc>
          <w:tcPr>
            <w:tcW w:w="1440" w:type="dxa"/>
          </w:tcPr>
          <w:p w:rsidR="004C4357" w:rsidRDefault="004C4357" w:rsidP="004C4357">
            <w:pPr>
              <w:pStyle w:val="ListParagraph"/>
              <w:ind w:left="0"/>
            </w:pPr>
            <w:r>
              <w:t>Gossett</w:t>
            </w:r>
          </w:p>
        </w:tc>
        <w:tc>
          <w:tcPr>
            <w:tcW w:w="2250" w:type="dxa"/>
          </w:tcPr>
          <w:p w:rsidR="004C4357" w:rsidRDefault="004C4357" w:rsidP="004C4357">
            <w:pPr>
              <w:pStyle w:val="ListParagraph"/>
              <w:ind w:left="0"/>
            </w:pPr>
            <w:r>
              <w:t>Land Assessment Near CFJC</w:t>
            </w:r>
          </w:p>
        </w:tc>
        <w:tc>
          <w:tcPr>
            <w:tcW w:w="6115" w:type="dxa"/>
          </w:tcPr>
          <w:p w:rsidR="004C4357" w:rsidRDefault="004C4357" w:rsidP="004C4357">
            <w:pPr>
              <w:pStyle w:val="ListParagraph"/>
              <w:numPr>
                <w:ilvl w:val="0"/>
                <w:numId w:val="3"/>
              </w:numPr>
              <w:ind w:left="252" w:hanging="180"/>
            </w:pPr>
            <w:r>
              <w:t>New proviso in PSB on assessing land values near CFJC</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4</w:t>
            </w:r>
          </w:p>
        </w:tc>
        <w:tc>
          <w:tcPr>
            <w:tcW w:w="1307" w:type="dxa"/>
          </w:tcPr>
          <w:p w:rsidR="004C4357" w:rsidRDefault="004C4357" w:rsidP="004C4357">
            <w:pPr>
              <w:pStyle w:val="ListParagraph"/>
              <w:ind w:left="0"/>
            </w:pPr>
            <w:r>
              <w:t>Pg. 17, Line 370</w:t>
            </w:r>
          </w:p>
        </w:tc>
        <w:tc>
          <w:tcPr>
            <w:tcW w:w="1440" w:type="dxa"/>
          </w:tcPr>
          <w:p w:rsidR="004C4357" w:rsidRDefault="004C4357" w:rsidP="004C4357">
            <w:pPr>
              <w:pStyle w:val="ListParagraph"/>
              <w:ind w:left="0"/>
            </w:pPr>
            <w:r>
              <w:t>Gossett</w:t>
            </w:r>
          </w:p>
        </w:tc>
        <w:tc>
          <w:tcPr>
            <w:tcW w:w="2250" w:type="dxa"/>
          </w:tcPr>
          <w:p w:rsidR="004C4357" w:rsidRDefault="004C4357" w:rsidP="004C4357">
            <w:pPr>
              <w:pStyle w:val="ListParagraph"/>
              <w:ind w:left="0"/>
            </w:pPr>
            <w:r>
              <w:t>Drug Enforcement Appropriation Unit</w:t>
            </w:r>
          </w:p>
        </w:tc>
        <w:tc>
          <w:tcPr>
            <w:tcW w:w="6115" w:type="dxa"/>
          </w:tcPr>
          <w:p w:rsidR="004C4357" w:rsidRDefault="004C4357" w:rsidP="004C4357">
            <w:pPr>
              <w:pStyle w:val="ListParagraph"/>
              <w:numPr>
                <w:ilvl w:val="0"/>
                <w:numId w:val="3"/>
              </w:numPr>
              <w:ind w:left="252" w:hanging="180"/>
            </w:pPr>
            <w:r>
              <w:t>Increase KCSO FTEs by 3</w:t>
            </w:r>
          </w:p>
          <w:p w:rsidR="004C4357" w:rsidRDefault="004C4357" w:rsidP="00662E1E">
            <w:pPr>
              <w:pStyle w:val="ListParagraph"/>
              <w:numPr>
                <w:ilvl w:val="0"/>
                <w:numId w:val="3"/>
              </w:numPr>
              <w:ind w:left="252" w:hanging="180"/>
            </w:pPr>
            <w:r>
              <w:t>Eliminate D</w:t>
            </w:r>
            <w:r w:rsidR="00662E1E">
              <w:t xml:space="preserve">rug Enforcement </w:t>
            </w:r>
            <w:r>
              <w:t>F</w:t>
            </w:r>
            <w:r w:rsidR="00662E1E">
              <w:t>orfeitures</w:t>
            </w:r>
            <w:r w:rsidR="00831448">
              <w:t xml:space="preserve"> appropriation unit (S</w:t>
            </w:r>
            <w:r>
              <w:t>ection 22)</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5</w:t>
            </w:r>
          </w:p>
        </w:tc>
        <w:tc>
          <w:tcPr>
            <w:tcW w:w="1307" w:type="dxa"/>
          </w:tcPr>
          <w:p w:rsidR="004C4357" w:rsidRDefault="004C4357" w:rsidP="004C4357">
            <w:pPr>
              <w:pStyle w:val="ListParagraph"/>
              <w:ind w:left="0"/>
            </w:pPr>
            <w:r>
              <w:t>Pg. 24, after Line 543</w:t>
            </w:r>
          </w:p>
        </w:tc>
        <w:tc>
          <w:tcPr>
            <w:tcW w:w="1440" w:type="dxa"/>
          </w:tcPr>
          <w:p w:rsidR="004C4357" w:rsidRDefault="004C4357" w:rsidP="004C4357">
            <w:pPr>
              <w:pStyle w:val="ListParagraph"/>
              <w:ind w:left="0"/>
            </w:pPr>
            <w:r>
              <w:t>Gossett</w:t>
            </w:r>
          </w:p>
        </w:tc>
        <w:tc>
          <w:tcPr>
            <w:tcW w:w="2250" w:type="dxa"/>
          </w:tcPr>
          <w:p w:rsidR="004C4357" w:rsidRDefault="004C4357" w:rsidP="004C4357">
            <w:pPr>
              <w:pStyle w:val="ListParagraph"/>
              <w:ind w:left="0"/>
            </w:pPr>
            <w:r>
              <w:t>Drug Enforcement Proviso to Sheriff</w:t>
            </w:r>
          </w:p>
        </w:tc>
        <w:tc>
          <w:tcPr>
            <w:tcW w:w="6115" w:type="dxa"/>
          </w:tcPr>
          <w:p w:rsidR="004C4357" w:rsidRDefault="004C4357" w:rsidP="004C4357">
            <w:pPr>
              <w:pStyle w:val="ListParagraph"/>
              <w:numPr>
                <w:ilvl w:val="0"/>
                <w:numId w:val="3"/>
              </w:numPr>
              <w:ind w:left="252" w:hanging="180"/>
            </w:pPr>
            <w:r>
              <w:t xml:space="preserve">Insert proviso on drug enforcement forfeitures </w:t>
            </w:r>
            <w:r w:rsidR="0061507C">
              <w:t xml:space="preserve">in </w:t>
            </w:r>
            <w:r>
              <w:t>KCSO</w:t>
            </w:r>
            <w:r w:rsidR="0061507C">
              <w:t xml:space="preserve"> budget</w:t>
            </w:r>
          </w:p>
          <w:p w:rsidR="004C4357" w:rsidRPr="00E40600" w:rsidRDefault="004C4357" w:rsidP="009A504F">
            <w:pPr>
              <w:pStyle w:val="ListParagraph"/>
              <w:ind w:left="252"/>
              <w:jc w:val="center"/>
              <w:rPr>
                <w:b/>
              </w:rPr>
            </w:pPr>
            <w:r w:rsidRPr="00E40600">
              <w:rPr>
                <w:b/>
              </w:rPr>
              <w:t xml:space="preserve">***ONLY NECESSARY IF AMDT </w:t>
            </w:r>
            <w:r w:rsidR="006D0559">
              <w:rPr>
                <w:b/>
              </w:rPr>
              <w:t>4</w:t>
            </w:r>
            <w:r w:rsidRPr="00E40600">
              <w:rPr>
                <w:b/>
              </w:rPr>
              <w:t xml:space="preserve"> PASSES***</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6</w:t>
            </w:r>
          </w:p>
        </w:tc>
        <w:tc>
          <w:tcPr>
            <w:tcW w:w="1307" w:type="dxa"/>
          </w:tcPr>
          <w:p w:rsidR="004C4357" w:rsidRDefault="004C4357" w:rsidP="004C4357">
            <w:pPr>
              <w:pStyle w:val="ListParagraph"/>
              <w:ind w:left="0"/>
            </w:pPr>
            <w:r>
              <w:t>Pg. 29, line 636</w:t>
            </w:r>
          </w:p>
        </w:tc>
        <w:tc>
          <w:tcPr>
            <w:tcW w:w="1440" w:type="dxa"/>
          </w:tcPr>
          <w:p w:rsidR="004C4357" w:rsidRDefault="004C4357" w:rsidP="004C4357">
            <w:pPr>
              <w:pStyle w:val="ListParagraph"/>
              <w:ind w:left="0"/>
            </w:pPr>
            <w:r>
              <w:t>McDermott</w:t>
            </w:r>
          </w:p>
        </w:tc>
        <w:tc>
          <w:tcPr>
            <w:tcW w:w="2250" w:type="dxa"/>
          </w:tcPr>
          <w:p w:rsidR="004C4357" w:rsidRDefault="004C4357" w:rsidP="004C4357">
            <w:pPr>
              <w:pStyle w:val="ListParagraph"/>
              <w:ind w:left="0"/>
            </w:pPr>
            <w:r>
              <w:t>PAO Firearms Unit</w:t>
            </w:r>
          </w:p>
        </w:tc>
        <w:tc>
          <w:tcPr>
            <w:tcW w:w="6115" w:type="dxa"/>
          </w:tcPr>
          <w:p w:rsidR="004C4357" w:rsidRDefault="004C4357" w:rsidP="004C4357">
            <w:pPr>
              <w:pStyle w:val="ListParagraph"/>
              <w:numPr>
                <w:ilvl w:val="0"/>
                <w:numId w:val="3"/>
              </w:numPr>
              <w:ind w:left="252" w:hanging="180"/>
            </w:pPr>
            <w:r w:rsidRPr="009A504F">
              <w:t>Add $533K to</w:t>
            </w:r>
            <w:r>
              <w:t xml:space="preserve"> PAO</w:t>
            </w:r>
          </w:p>
          <w:p w:rsidR="004C4357" w:rsidRDefault="00EA32F7" w:rsidP="004C4357">
            <w:pPr>
              <w:pStyle w:val="ListParagraph"/>
              <w:numPr>
                <w:ilvl w:val="0"/>
                <w:numId w:val="3"/>
              </w:numPr>
              <w:ind w:left="252" w:hanging="180"/>
            </w:pPr>
            <w:r>
              <w:t>Add 2 additiona</w:t>
            </w:r>
            <w:r w:rsidR="004C4357">
              <w:t>l FTEs</w:t>
            </w:r>
          </w:p>
          <w:p w:rsidR="004C4357" w:rsidRDefault="004C4357" w:rsidP="004C4357">
            <w:pPr>
              <w:pStyle w:val="ListParagraph"/>
              <w:numPr>
                <w:ilvl w:val="0"/>
                <w:numId w:val="3"/>
              </w:numPr>
              <w:ind w:left="252" w:hanging="180"/>
            </w:pPr>
            <w:r>
              <w:t>Change amount in Expenditure Restriction to $1.085M</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7</w:t>
            </w:r>
          </w:p>
        </w:tc>
        <w:tc>
          <w:tcPr>
            <w:tcW w:w="1307" w:type="dxa"/>
          </w:tcPr>
          <w:p w:rsidR="004C4357" w:rsidRDefault="004C4357" w:rsidP="004C4357">
            <w:pPr>
              <w:pStyle w:val="ListParagraph"/>
              <w:ind w:left="0"/>
            </w:pPr>
            <w:r>
              <w:t>Pg. 33, after Line 733</w:t>
            </w:r>
          </w:p>
        </w:tc>
        <w:tc>
          <w:tcPr>
            <w:tcW w:w="1440" w:type="dxa"/>
          </w:tcPr>
          <w:p w:rsidR="004C4357" w:rsidRDefault="004C4357" w:rsidP="004C4357">
            <w:pPr>
              <w:pStyle w:val="ListParagraph"/>
              <w:ind w:left="0"/>
            </w:pPr>
            <w:r>
              <w:t>Dembowski</w:t>
            </w:r>
          </w:p>
        </w:tc>
        <w:tc>
          <w:tcPr>
            <w:tcW w:w="2250" w:type="dxa"/>
          </w:tcPr>
          <w:p w:rsidR="004C4357" w:rsidRDefault="00022A02" w:rsidP="004C4357">
            <w:pPr>
              <w:pStyle w:val="ListParagraph"/>
              <w:ind w:left="0"/>
            </w:pPr>
            <w:r>
              <w:t xml:space="preserve">District </w:t>
            </w:r>
            <w:r w:rsidR="004C4357">
              <w:t>Court Labor Relations</w:t>
            </w:r>
          </w:p>
        </w:tc>
        <w:tc>
          <w:tcPr>
            <w:tcW w:w="6115" w:type="dxa"/>
          </w:tcPr>
          <w:p w:rsidR="004C4357" w:rsidRDefault="004C4357" w:rsidP="004C08B5">
            <w:pPr>
              <w:pStyle w:val="ListParagraph"/>
              <w:numPr>
                <w:ilvl w:val="0"/>
                <w:numId w:val="3"/>
              </w:numPr>
              <w:ind w:left="252" w:hanging="180"/>
            </w:pPr>
            <w:r>
              <w:t xml:space="preserve">New proviso in District Court requiring four reports from </w:t>
            </w:r>
            <w:r w:rsidR="004C08B5">
              <w:t>the court</w:t>
            </w:r>
            <w:r>
              <w:t xml:space="preserve"> on labor relations prepared with management and represented employees</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8</w:t>
            </w:r>
          </w:p>
        </w:tc>
        <w:tc>
          <w:tcPr>
            <w:tcW w:w="1307" w:type="dxa"/>
          </w:tcPr>
          <w:p w:rsidR="004C4357" w:rsidRDefault="004C4357" w:rsidP="004C4357">
            <w:pPr>
              <w:pStyle w:val="ListParagraph"/>
              <w:ind w:left="0"/>
            </w:pPr>
            <w:r>
              <w:t>Pg. 33, after Line 741</w:t>
            </w:r>
          </w:p>
        </w:tc>
        <w:tc>
          <w:tcPr>
            <w:tcW w:w="1440" w:type="dxa"/>
          </w:tcPr>
          <w:p w:rsidR="004C4357" w:rsidRDefault="004C4357" w:rsidP="004C4357">
            <w:pPr>
              <w:pStyle w:val="ListParagraph"/>
              <w:ind w:left="0"/>
            </w:pPr>
            <w:r>
              <w:t>Dembowski</w:t>
            </w:r>
          </w:p>
        </w:tc>
        <w:tc>
          <w:tcPr>
            <w:tcW w:w="2250" w:type="dxa"/>
          </w:tcPr>
          <w:p w:rsidR="004C4357" w:rsidRDefault="00022A02" w:rsidP="004C4357">
            <w:pPr>
              <w:pStyle w:val="ListParagraph"/>
              <w:ind w:left="0"/>
            </w:pPr>
            <w:r>
              <w:t xml:space="preserve">Superior </w:t>
            </w:r>
            <w:r w:rsidR="004C4357">
              <w:t>Court Labor Relations</w:t>
            </w:r>
          </w:p>
        </w:tc>
        <w:tc>
          <w:tcPr>
            <w:tcW w:w="6115" w:type="dxa"/>
          </w:tcPr>
          <w:p w:rsidR="004C4357" w:rsidRDefault="004C4357" w:rsidP="004C4357">
            <w:pPr>
              <w:pStyle w:val="ListParagraph"/>
              <w:numPr>
                <w:ilvl w:val="0"/>
                <w:numId w:val="3"/>
              </w:numPr>
              <w:ind w:left="252" w:hanging="180"/>
            </w:pPr>
            <w:r>
              <w:t xml:space="preserve">New proviso in DJA requiring four reports from </w:t>
            </w:r>
            <w:r w:rsidR="004C08B5">
              <w:t xml:space="preserve">the </w:t>
            </w:r>
            <w:r>
              <w:t>Exec</w:t>
            </w:r>
            <w:r w:rsidR="004C08B5">
              <w:t>utive</w:t>
            </w:r>
            <w:r>
              <w:t xml:space="preserve"> on labor relations prepared with management and represented employees</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t>9</w:t>
            </w:r>
          </w:p>
        </w:tc>
        <w:tc>
          <w:tcPr>
            <w:tcW w:w="1307" w:type="dxa"/>
          </w:tcPr>
          <w:p w:rsidR="004C4357" w:rsidRDefault="004C4357" w:rsidP="004C4357">
            <w:pPr>
              <w:pStyle w:val="ListParagraph"/>
              <w:ind w:left="0"/>
            </w:pPr>
            <w:r>
              <w:t>Pg. 34, Line 767</w:t>
            </w:r>
          </w:p>
        </w:tc>
        <w:tc>
          <w:tcPr>
            <w:tcW w:w="1440" w:type="dxa"/>
          </w:tcPr>
          <w:p w:rsidR="004C4357" w:rsidRDefault="004C4357" w:rsidP="004C4357">
            <w:pPr>
              <w:pStyle w:val="ListParagraph"/>
              <w:ind w:left="0"/>
            </w:pPr>
            <w:r>
              <w:t>Balducci</w:t>
            </w:r>
          </w:p>
        </w:tc>
        <w:tc>
          <w:tcPr>
            <w:tcW w:w="2250" w:type="dxa"/>
          </w:tcPr>
          <w:p w:rsidR="004C4357" w:rsidRDefault="004C4357" w:rsidP="004C4357">
            <w:pPr>
              <w:pStyle w:val="ListParagraph"/>
              <w:ind w:left="0"/>
            </w:pPr>
            <w:r>
              <w:t>Code Enforcement</w:t>
            </w:r>
          </w:p>
        </w:tc>
        <w:tc>
          <w:tcPr>
            <w:tcW w:w="6115" w:type="dxa"/>
          </w:tcPr>
          <w:p w:rsidR="004C4357" w:rsidRDefault="004C4357" w:rsidP="004C4357">
            <w:pPr>
              <w:pStyle w:val="ListParagraph"/>
              <w:numPr>
                <w:ilvl w:val="0"/>
                <w:numId w:val="3"/>
              </w:numPr>
              <w:ind w:left="252" w:hanging="180"/>
            </w:pPr>
            <w:r>
              <w:t>Add $304K to GF Transfer to Local Services</w:t>
            </w:r>
          </w:p>
          <w:p w:rsidR="004C4357" w:rsidRDefault="004C4357" w:rsidP="004C4357">
            <w:pPr>
              <w:pStyle w:val="ListParagraph"/>
              <w:numPr>
                <w:ilvl w:val="0"/>
                <w:numId w:val="3"/>
              </w:numPr>
              <w:ind w:left="252" w:hanging="180"/>
            </w:pPr>
            <w:r>
              <w:t>Add $304K and 1 FTE to General Public Services</w:t>
            </w:r>
          </w:p>
          <w:p w:rsidR="004C4357" w:rsidRDefault="004C4357" w:rsidP="004C4357">
            <w:pPr>
              <w:pStyle w:val="ListParagraph"/>
              <w:numPr>
                <w:ilvl w:val="0"/>
                <w:numId w:val="3"/>
              </w:numPr>
              <w:ind w:left="252" w:hanging="180"/>
            </w:pPr>
            <w:r>
              <w:t>ER in General Public Services - $100K total for consulting</w:t>
            </w:r>
          </w:p>
          <w:p w:rsidR="004C4357" w:rsidRDefault="004C4357" w:rsidP="004C4357">
            <w:pPr>
              <w:pStyle w:val="ListParagraph"/>
              <w:numPr>
                <w:ilvl w:val="0"/>
                <w:numId w:val="3"/>
              </w:numPr>
              <w:ind w:left="252" w:hanging="180"/>
            </w:pPr>
            <w:r>
              <w:t>ER in General Public Services – 1 FTE dedicated to code enforcement for wineries/breweries/distilleries</w:t>
            </w:r>
          </w:p>
        </w:tc>
      </w:tr>
      <w:tr w:rsidR="004C4357" w:rsidTr="0066480D">
        <w:trPr>
          <w:cantSplit/>
        </w:trPr>
        <w:tc>
          <w:tcPr>
            <w:tcW w:w="1118" w:type="dxa"/>
          </w:tcPr>
          <w:p w:rsidR="004C4357" w:rsidRPr="009A504F" w:rsidRDefault="009C29A8" w:rsidP="009A504F">
            <w:pPr>
              <w:pStyle w:val="ListParagraph"/>
              <w:ind w:left="0"/>
              <w:jc w:val="center"/>
              <w:rPr>
                <w:rFonts w:asciiTheme="majorHAnsi" w:hAnsiTheme="majorHAnsi"/>
                <w:b/>
                <w:sz w:val="40"/>
                <w:szCs w:val="40"/>
              </w:rPr>
            </w:pPr>
            <w:r>
              <w:rPr>
                <w:rFonts w:asciiTheme="majorHAnsi" w:hAnsiTheme="majorHAnsi"/>
                <w:b/>
                <w:sz w:val="40"/>
                <w:szCs w:val="40"/>
              </w:rPr>
              <w:lastRenderedPageBreak/>
              <w:t>10</w:t>
            </w:r>
            <w:r w:rsidR="00FF3125">
              <w:rPr>
                <w:rFonts w:asciiTheme="majorHAnsi" w:hAnsiTheme="majorHAnsi"/>
                <w:b/>
                <w:sz w:val="40"/>
                <w:szCs w:val="40"/>
              </w:rPr>
              <w:t>a</w:t>
            </w:r>
          </w:p>
        </w:tc>
        <w:tc>
          <w:tcPr>
            <w:tcW w:w="1307" w:type="dxa"/>
          </w:tcPr>
          <w:p w:rsidR="004C4357" w:rsidRDefault="004C4357" w:rsidP="004C4357">
            <w:pPr>
              <w:pStyle w:val="ListParagraph"/>
              <w:ind w:left="0"/>
            </w:pPr>
            <w:r>
              <w:t>Pg. 35, Line 771</w:t>
            </w:r>
          </w:p>
        </w:tc>
        <w:tc>
          <w:tcPr>
            <w:tcW w:w="1440" w:type="dxa"/>
          </w:tcPr>
          <w:p w:rsidR="004C4357" w:rsidRDefault="004C4357" w:rsidP="004C4357">
            <w:pPr>
              <w:pStyle w:val="ListParagraph"/>
              <w:ind w:left="0"/>
            </w:pPr>
            <w:r>
              <w:t>Balducci</w:t>
            </w:r>
          </w:p>
        </w:tc>
        <w:tc>
          <w:tcPr>
            <w:tcW w:w="2250" w:type="dxa"/>
          </w:tcPr>
          <w:p w:rsidR="004C4357" w:rsidRDefault="004C4357" w:rsidP="004C4357">
            <w:pPr>
              <w:pStyle w:val="ListParagraph"/>
              <w:ind w:left="0"/>
            </w:pPr>
            <w:r>
              <w:t>CSO Domestic Violence</w:t>
            </w:r>
          </w:p>
        </w:tc>
        <w:tc>
          <w:tcPr>
            <w:tcW w:w="6115" w:type="dxa"/>
          </w:tcPr>
          <w:p w:rsidR="004C4357" w:rsidRDefault="004C4357" w:rsidP="004C4357">
            <w:pPr>
              <w:pStyle w:val="ListParagraph"/>
              <w:numPr>
                <w:ilvl w:val="0"/>
                <w:numId w:val="3"/>
              </w:numPr>
              <w:ind w:left="252" w:hanging="180"/>
            </w:pPr>
            <w:r>
              <w:t>Adds $252K in GF Transfer to DCHS</w:t>
            </w:r>
          </w:p>
          <w:p w:rsidR="004C4357" w:rsidRDefault="004C4357" w:rsidP="004C4357">
            <w:pPr>
              <w:pStyle w:val="ListParagraph"/>
              <w:numPr>
                <w:ilvl w:val="0"/>
                <w:numId w:val="3"/>
              </w:numPr>
              <w:ind w:left="252" w:hanging="180"/>
            </w:pPr>
            <w:r>
              <w:t>Adds $252K in CSO for DV with an expenditure restriction</w:t>
            </w:r>
            <w:r w:rsidR="00FF3125">
              <w:t xml:space="preserve"> </w:t>
            </w:r>
            <w:r w:rsidR="00FF3125" w:rsidRPr="00FF3125">
              <w:rPr>
                <w:b/>
              </w:rPr>
              <w:t>with</w:t>
            </w:r>
            <w:r w:rsidR="00FF3125">
              <w:t xml:space="preserve"> geographic limitation</w:t>
            </w:r>
          </w:p>
        </w:tc>
      </w:tr>
      <w:tr w:rsidR="00FF3125" w:rsidTr="0066480D">
        <w:trPr>
          <w:cantSplit/>
        </w:trPr>
        <w:tc>
          <w:tcPr>
            <w:tcW w:w="1118" w:type="dxa"/>
          </w:tcPr>
          <w:p w:rsidR="00FF3125"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10</w:t>
            </w:r>
            <w:r w:rsidR="00FF3125">
              <w:rPr>
                <w:rFonts w:asciiTheme="majorHAnsi" w:hAnsiTheme="majorHAnsi"/>
                <w:b/>
                <w:sz w:val="40"/>
                <w:szCs w:val="40"/>
              </w:rPr>
              <w:t>b</w:t>
            </w:r>
          </w:p>
        </w:tc>
        <w:tc>
          <w:tcPr>
            <w:tcW w:w="1307" w:type="dxa"/>
          </w:tcPr>
          <w:p w:rsidR="00FF3125" w:rsidRDefault="00FF3125" w:rsidP="00FF3125">
            <w:pPr>
              <w:pStyle w:val="ListParagraph"/>
              <w:ind w:left="0"/>
            </w:pPr>
            <w:r>
              <w:t>Pg. 35, Line 771</w:t>
            </w:r>
          </w:p>
        </w:tc>
        <w:tc>
          <w:tcPr>
            <w:tcW w:w="1440" w:type="dxa"/>
          </w:tcPr>
          <w:p w:rsidR="00FF3125" w:rsidRDefault="00FF3125" w:rsidP="00FF3125">
            <w:pPr>
              <w:pStyle w:val="ListParagraph"/>
              <w:ind w:left="0"/>
            </w:pPr>
            <w:r>
              <w:t>Balducci</w:t>
            </w:r>
          </w:p>
        </w:tc>
        <w:tc>
          <w:tcPr>
            <w:tcW w:w="2250" w:type="dxa"/>
          </w:tcPr>
          <w:p w:rsidR="00FF3125" w:rsidRDefault="00FF3125" w:rsidP="00FF3125">
            <w:pPr>
              <w:pStyle w:val="ListParagraph"/>
              <w:ind w:left="0"/>
            </w:pPr>
            <w:r>
              <w:t>CSO Domestic Violence</w:t>
            </w:r>
          </w:p>
        </w:tc>
        <w:tc>
          <w:tcPr>
            <w:tcW w:w="6115" w:type="dxa"/>
          </w:tcPr>
          <w:p w:rsidR="00FF3125" w:rsidRDefault="00FF3125" w:rsidP="00FF3125">
            <w:pPr>
              <w:pStyle w:val="ListParagraph"/>
              <w:numPr>
                <w:ilvl w:val="0"/>
                <w:numId w:val="3"/>
              </w:numPr>
              <w:ind w:left="252" w:hanging="180"/>
            </w:pPr>
            <w:r>
              <w:t>Adds $252K in GF Transfer to DCHS</w:t>
            </w:r>
          </w:p>
          <w:p w:rsidR="00FF3125" w:rsidRDefault="00FF3125" w:rsidP="00FF3125">
            <w:pPr>
              <w:pStyle w:val="ListParagraph"/>
              <w:numPr>
                <w:ilvl w:val="0"/>
                <w:numId w:val="3"/>
              </w:numPr>
              <w:ind w:left="252" w:hanging="180"/>
            </w:pPr>
            <w:r>
              <w:t xml:space="preserve">Adds $252K in CSO for DV with an expenditure restriction </w:t>
            </w:r>
            <w:r w:rsidRPr="00FF3125">
              <w:rPr>
                <w:b/>
              </w:rPr>
              <w:t>without</w:t>
            </w:r>
            <w:r>
              <w:t xml:space="preserve"> geographic limitation</w:t>
            </w:r>
          </w:p>
        </w:tc>
      </w:tr>
      <w:tr w:rsidR="00FF3125" w:rsidTr="0066480D">
        <w:trPr>
          <w:cantSplit/>
        </w:trPr>
        <w:tc>
          <w:tcPr>
            <w:tcW w:w="1118" w:type="dxa"/>
          </w:tcPr>
          <w:p w:rsidR="00FF3125" w:rsidRPr="009A504F"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11</w:t>
            </w:r>
          </w:p>
        </w:tc>
        <w:tc>
          <w:tcPr>
            <w:tcW w:w="1307" w:type="dxa"/>
          </w:tcPr>
          <w:p w:rsidR="00FF3125" w:rsidRDefault="00FF3125" w:rsidP="00FF3125">
            <w:pPr>
              <w:pStyle w:val="ListParagraph"/>
              <w:ind w:left="0"/>
            </w:pPr>
            <w:r>
              <w:t>Pg. 35, Line 782</w:t>
            </w:r>
          </w:p>
        </w:tc>
        <w:tc>
          <w:tcPr>
            <w:tcW w:w="1440" w:type="dxa"/>
          </w:tcPr>
          <w:p w:rsidR="00FF3125" w:rsidRDefault="00FF3125" w:rsidP="00FF3125">
            <w:pPr>
              <w:pStyle w:val="ListParagraph"/>
              <w:ind w:left="0"/>
            </w:pPr>
            <w:r>
              <w:t>Dembowski</w:t>
            </w:r>
          </w:p>
        </w:tc>
        <w:tc>
          <w:tcPr>
            <w:tcW w:w="2250" w:type="dxa"/>
          </w:tcPr>
          <w:p w:rsidR="00FF3125" w:rsidRDefault="00FF3125" w:rsidP="00FF3125">
            <w:pPr>
              <w:pStyle w:val="ListParagraph"/>
              <w:ind w:left="0"/>
            </w:pPr>
            <w:r>
              <w:t>HPV Add</w:t>
            </w:r>
          </w:p>
        </w:tc>
        <w:tc>
          <w:tcPr>
            <w:tcW w:w="6115" w:type="dxa"/>
          </w:tcPr>
          <w:p w:rsidR="00FF3125" w:rsidRDefault="00FF3125" w:rsidP="00FF3125">
            <w:pPr>
              <w:pStyle w:val="ListParagraph"/>
              <w:numPr>
                <w:ilvl w:val="0"/>
                <w:numId w:val="3"/>
              </w:numPr>
              <w:ind w:left="252" w:hanging="180"/>
            </w:pPr>
            <w:r>
              <w:t xml:space="preserve">$863K add to GF Transfer with ER on GF Transfer to Public Health for </w:t>
            </w:r>
            <w:r w:rsidR="004F17AB">
              <w:t>a registered nurse to help clients receiving sexual health services improve HPV vaccination rates, screening and follow up and to provide staff support for the King County Family Planning Access and Quality Committee to identify ways to support policy change at the state level related to HPV</w:t>
            </w:r>
          </w:p>
          <w:p w:rsidR="00FF3125" w:rsidRDefault="00FF3125" w:rsidP="00FF3125">
            <w:pPr>
              <w:pStyle w:val="ListParagraph"/>
              <w:numPr>
                <w:ilvl w:val="0"/>
                <w:numId w:val="3"/>
              </w:numPr>
              <w:ind w:left="252" w:hanging="180"/>
            </w:pPr>
            <w:r>
              <w:t>Add $863K and 1 FTE to Public Health with ER for additional HPV</w:t>
            </w:r>
            <w:r w:rsidR="004F17AB">
              <w:t xml:space="preserve"> as described above</w:t>
            </w:r>
          </w:p>
        </w:tc>
      </w:tr>
      <w:tr w:rsidR="00FF3125" w:rsidTr="0066480D">
        <w:trPr>
          <w:cantSplit/>
        </w:trPr>
        <w:tc>
          <w:tcPr>
            <w:tcW w:w="1118" w:type="dxa"/>
          </w:tcPr>
          <w:p w:rsidR="00FF3125" w:rsidRPr="009A504F"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12</w:t>
            </w:r>
          </w:p>
        </w:tc>
        <w:tc>
          <w:tcPr>
            <w:tcW w:w="1307" w:type="dxa"/>
          </w:tcPr>
          <w:p w:rsidR="00FF3125" w:rsidRDefault="00FF3125" w:rsidP="00C14297">
            <w:pPr>
              <w:pStyle w:val="ListParagraph"/>
              <w:ind w:left="0"/>
            </w:pPr>
            <w:r>
              <w:t>Pg. 4</w:t>
            </w:r>
            <w:r w:rsidR="00C14297">
              <w:t>6</w:t>
            </w:r>
            <w:r>
              <w:t>, after Line 10</w:t>
            </w:r>
            <w:r w:rsidR="00C14297">
              <w:t>30</w:t>
            </w:r>
            <w:bookmarkStart w:id="0" w:name="_GoBack"/>
            <w:bookmarkEnd w:id="0"/>
          </w:p>
        </w:tc>
        <w:tc>
          <w:tcPr>
            <w:tcW w:w="1440" w:type="dxa"/>
          </w:tcPr>
          <w:p w:rsidR="00FF3125" w:rsidRDefault="00FF3125" w:rsidP="00FF3125">
            <w:pPr>
              <w:pStyle w:val="ListParagraph"/>
              <w:ind w:left="0"/>
            </w:pPr>
            <w:r>
              <w:t>Balducci</w:t>
            </w:r>
          </w:p>
        </w:tc>
        <w:tc>
          <w:tcPr>
            <w:tcW w:w="2250" w:type="dxa"/>
          </w:tcPr>
          <w:p w:rsidR="00FF3125" w:rsidRDefault="00FF3125" w:rsidP="00FF3125">
            <w:pPr>
              <w:pStyle w:val="ListParagraph"/>
              <w:ind w:left="0"/>
            </w:pPr>
            <w:r>
              <w:t>DAJD Causes of OT</w:t>
            </w:r>
          </w:p>
        </w:tc>
        <w:tc>
          <w:tcPr>
            <w:tcW w:w="6115" w:type="dxa"/>
          </w:tcPr>
          <w:p w:rsidR="00FF3125" w:rsidRDefault="00FF3125" w:rsidP="00FF3125">
            <w:pPr>
              <w:pStyle w:val="ListParagraph"/>
              <w:numPr>
                <w:ilvl w:val="0"/>
                <w:numId w:val="3"/>
              </w:numPr>
              <w:ind w:left="252" w:hanging="180"/>
            </w:pPr>
            <w:r>
              <w:t>New proviso in DAJD on causes of mandatory OT</w:t>
            </w:r>
          </w:p>
        </w:tc>
      </w:tr>
      <w:tr w:rsidR="00FF3125" w:rsidTr="0066480D">
        <w:trPr>
          <w:cantSplit/>
        </w:trPr>
        <w:tc>
          <w:tcPr>
            <w:tcW w:w="1118" w:type="dxa"/>
          </w:tcPr>
          <w:p w:rsidR="00FF3125" w:rsidRPr="009A504F"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13</w:t>
            </w:r>
          </w:p>
        </w:tc>
        <w:tc>
          <w:tcPr>
            <w:tcW w:w="1307" w:type="dxa"/>
          </w:tcPr>
          <w:p w:rsidR="00FF3125" w:rsidRDefault="00FF3125" w:rsidP="00FF3125">
            <w:pPr>
              <w:pStyle w:val="ListParagraph"/>
              <w:ind w:left="0"/>
            </w:pPr>
            <w:r>
              <w:t>Pg. 58, line 1305</w:t>
            </w:r>
          </w:p>
        </w:tc>
        <w:tc>
          <w:tcPr>
            <w:tcW w:w="1440" w:type="dxa"/>
          </w:tcPr>
          <w:p w:rsidR="00FF3125" w:rsidRDefault="00FF3125" w:rsidP="00FF3125">
            <w:pPr>
              <w:pStyle w:val="ListParagraph"/>
              <w:ind w:left="0"/>
            </w:pPr>
            <w:r>
              <w:t>Kohl-Welles</w:t>
            </w:r>
          </w:p>
        </w:tc>
        <w:tc>
          <w:tcPr>
            <w:tcW w:w="2250" w:type="dxa"/>
          </w:tcPr>
          <w:p w:rsidR="00FF3125" w:rsidRDefault="00FF3125" w:rsidP="00FF3125">
            <w:pPr>
              <w:pStyle w:val="ListParagraph"/>
              <w:ind w:left="0"/>
            </w:pPr>
            <w:r>
              <w:t>Councilmanic Grants</w:t>
            </w:r>
          </w:p>
        </w:tc>
        <w:tc>
          <w:tcPr>
            <w:tcW w:w="6115" w:type="dxa"/>
          </w:tcPr>
          <w:p w:rsidR="00FF3125" w:rsidRDefault="00FF3125" w:rsidP="00FF3125">
            <w:pPr>
              <w:pStyle w:val="ListParagraph"/>
              <w:numPr>
                <w:ilvl w:val="0"/>
                <w:numId w:val="3"/>
              </w:numPr>
              <w:ind w:left="252" w:hanging="180"/>
            </w:pPr>
            <w:r>
              <w:t>CSO: FamilyWorks Family Resource Center and Food Banks ($2,000)</w:t>
            </w:r>
          </w:p>
          <w:p w:rsidR="00FF3125" w:rsidRDefault="00FF3125" w:rsidP="00FF3125">
            <w:pPr>
              <w:pStyle w:val="ListParagraph"/>
              <w:numPr>
                <w:ilvl w:val="0"/>
                <w:numId w:val="3"/>
              </w:numPr>
              <w:ind w:left="252" w:hanging="180"/>
            </w:pPr>
            <w:r>
              <w:t>VSHSL Grants: Outreach and Resource Services for Women Veterans ($4,000 in 2019)</w:t>
            </w:r>
          </w:p>
          <w:p w:rsidR="00FF3125" w:rsidRDefault="00FF3125" w:rsidP="00FF3125">
            <w:pPr>
              <w:pStyle w:val="ListParagraph"/>
              <w:numPr>
                <w:ilvl w:val="0"/>
                <w:numId w:val="3"/>
              </w:numPr>
              <w:ind w:left="252" w:hanging="180"/>
            </w:pPr>
            <w:r>
              <w:t>YASF: Increase Phinney Neighborhood Association from $5,000 to $10,000</w:t>
            </w:r>
          </w:p>
        </w:tc>
      </w:tr>
      <w:tr w:rsidR="00FF3125" w:rsidTr="0066480D">
        <w:trPr>
          <w:cantSplit/>
          <w:trHeight w:val="314"/>
        </w:trPr>
        <w:tc>
          <w:tcPr>
            <w:tcW w:w="1118" w:type="dxa"/>
          </w:tcPr>
          <w:p w:rsidR="00FF3125" w:rsidRPr="009A504F"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14</w:t>
            </w:r>
          </w:p>
        </w:tc>
        <w:tc>
          <w:tcPr>
            <w:tcW w:w="1307" w:type="dxa"/>
          </w:tcPr>
          <w:p w:rsidR="00FF3125" w:rsidRDefault="00FF3125" w:rsidP="00FF3125">
            <w:pPr>
              <w:pStyle w:val="ListParagraph"/>
              <w:ind w:left="0"/>
            </w:pPr>
            <w:r>
              <w:t>Pg. 95, Line 2148</w:t>
            </w:r>
          </w:p>
        </w:tc>
        <w:tc>
          <w:tcPr>
            <w:tcW w:w="1440" w:type="dxa"/>
          </w:tcPr>
          <w:p w:rsidR="00FF3125" w:rsidRDefault="00FF3125" w:rsidP="00FF3125">
            <w:pPr>
              <w:pStyle w:val="ListParagraph"/>
              <w:ind w:left="0"/>
            </w:pPr>
            <w:r>
              <w:t>Balducci</w:t>
            </w:r>
          </w:p>
        </w:tc>
        <w:tc>
          <w:tcPr>
            <w:tcW w:w="2250" w:type="dxa"/>
          </w:tcPr>
          <w:p w:rsidR="00FF3125" w:rsidRDefault="00FF3125" w:rsidP="00FF3125">
            <w:pPr>
              <w:pStyle w:val="ListParagraph"/>
              <w:ind w:left="0"/>
            </w:pPr>
            <w:r>
              <w:t>Eastside Shelter</w:t>
            </w:r>
          </w:p>
        </w:tc>
        <w:tc>
          <w:tcPr>
            <w:tcW w:w="6115" w:type="dxa"/>
          </w:tcPr>
          <w:p w:rsidR="00FF3125" w:rsidRDefault="001F1868" w:rsidP="00371A61">
            <w:pPr>
              <w:pStyle w:val="ListParagraph"/>
              <w:numPr>
                <w:ilvl w:val="0"/>
                <w:numId w:val="3"/>
              </w:numPr>
              <w:ind w:left="252" w:hanging="180"/>
            </w:pPr>
            <w:r>
              <w:t xml:space="preserve">Modify </w:t>
            </w:r>
            <w:r w:rsidR="00371A61">
              <w:t>description of</w:t>
            </w:r>
            <w:r w:rsidR="00FF3125">
              <w:t xml:space="preserve"> Eastside shelter</w:t>
            </w:r>
          </w:p>
        </w:tc>
      </w:tr>
      <w:tr w:rsidR="00FF3125" w:rsidTr="0066480D">
        <w:trPr>
          <w:cantSplit/>
          <w:trHeight w:val="314"/>
        </w:trPr>
        <w:tc>
          <w:tcPr>
            <w:tcW w:w="1118" w:type="dxa"/>
          </w:tcPr>
          <w:p w:rsidR="00FF3125" w:rsidRPr="009A504F"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15</w:t>
            </w:r>
          </w:p>
        </w:tc>
        <w:tc>
          <w:tcPr>
            <w:tcW w:w="1307" w:type="dxa"/>
          </w:tcPr>
          <w:p w:rsidR="00FF3125" w:rsidRDefault="001E4230" w:rsidP="00FF3125">
            <w:pPr>
              <w:pStyle w:val="ListParagraph"/>
              <w:ind w:left="0"/>
            </w:pPr>
            <w:r>
              <w:t>Pg. 121, L</w:t>
            </w:r>
            <w:r w:rsidR="00FF3125">
              <w:t>ine 2726</w:t>
            </w:r>
          </w:p>
        </w:tc>
        <w:tc>
          <w:tcPr>
            <w:tcW w:w="1440" w:type="dxa"/>
          </w:tcPr>
          <w:p w:rsidR="00FF3125" w:rsidRDefault="00FF3125" w:rsidP="00FF3125">
            <w:pPr>
              <w:pStyle w:val="ListParagraph"/>
              <w:ind w:left="0"/>
            </w:pPr>
            <w:r>
              <w:t>Balducci</w:t>
            </w:r>
          </w:p>
        </w:tc>
        <w:tc>
          <w:tcPr>
            <w:tcW w:w="2250" w:type="dxa"/>
          </w:tcPr>
          <w:p w:rsidR="00FF3125" w:rsidRDefault="00FF3125" w:rsidP="00FF3125">
            <w:pPr>
              <w:pStyle w:val="ListParagraph"/>
              <w:ind w:left="0"/>
            </w:pPr>
            <w:r>
              <w:t>25,000 Service Hours</w:t>
            </w:r>
          </w:p>
        </w:tc>
        <w:tc>
          <w:tcPr>
            <w:tcW w:w="6115" w:type="dxa"/>
          </w:tcPr>
          <w:p w:rsidR="00FF3125" w:rsidRDefault="00FF3125" w:rsidP="00FF3125">
            <w:pPr>
              <w:pStyle w:val="ListParagraph"/>
              <w:numPr>
                <w:ilvl w:val="0"/>
                <w:numId w:val="3"/>
              </w:numPr>
              <w:ind w:left="252" w:hanging="180"/>
            </w:pPr>
            <w:r>
              <w:t>Increases Metro by $2.189M and 11 FTEs</w:t>
            </w:r>
          </w:p>
          <w:p w:rsidR="00FF3125" w:rsidRDefault="00FF3125" w:rsidP="00FF3125">
            <w:pPr>
              <w:pStyle w:val="ListParagraph"/>
              <w:numPr>
                <w:ilvl w:val="0"/>
                <w:numId w:val="3"/>
              </w:numPr>
              <w:ind w:left="252" w:hanging="180"/>
            </w:pPr>
            <w:r>
              <w:t xml:space="preserve">Expenditure restriction to provide 25,000 add'l service hours for fixed routes with one end-point outside Seattle </w:t>
            </w:r>
          </w:p>
        </w:tc>
      </w:tr>
      <w:tr w:rsidR="001E4230" w:rsidTr="0066480D">
        <w:trPr>
          <w:cantSplit/>
          <w:trHeight w:val="314"/>
        </w:trPr>
        <w:tc>
          <w:tcPr>
            <w:tcW w:w="1118" w:type="dxa"/>
          </w:tcPr>
          <w:p w:rsidR="001E4230" w:rsidRDefault="009C29A8" w:rsidP="00FF3125">
            <w:pPr>
              <w:pStyle w:val="ListParagraph"/>
              <w:ind w:left="0"/>
              <w:jc w:val="center"/>
              <w:rPr>
                <w:rFonts w:asciiTheme="majorHAnsi" w:hAnsiTheme="majorHAnsi"/>
                <w:b/>
                <w:sz w:val="40"/>
                <w:szCs w:val="40"/>
              </w:rPr>
            </w:pPr>
            <w:r>
              <w:rPr>
                <w:rFonts w:asciiTheme="majorHAnsi" w:hAnsiTheme="majorHAnsi"/>
                <w:b/>
                <w:sz w:val="40"/>
                <w:szCs w:val="40"/>
              </w:rPr>
              <w:t>16</w:t>
            </w:r>
          </w:p>
        </w:tc>
        <w:tc>
          <w:tcPr>
            <w:tcW w:w="1307" w:type="dxa"/>
          </w:tcPr>
          <w:p w:rsidR="001E4230" w:rsidRDefault="001E4230" w:rsidP="00FF3125">
            <w:pPr>
              <w:pStyle w:val="ListParagraph"/>
              <w:ind w:left="0"/>
            </w:pPr>
            <w:r>
              <w:t>Pg. 130, Line 2940</w:t>
            </w:r>
          </w:p>
        </w:tc>
        <w:tc>
          <w:tcPr>
            <w:tcW w:w="1440" w:type="dxa"/>
          </w:tcPr>
          <w:p w:rsidR="001E4230" w:rsidRDefault="001E4230" w:rsidP="00FF3125">
            <w:pPr>
              <w:pStyle w:val="ListParagraph"/>
              <w:ind w:left="0"/>
            </w:pPr>
            <w:r>
              <w:t>Balducci</w:t>
            </w:r>
          </w:p>
        </w:tc>
        <w:tc>
          <w:tcPr>
            <w:tcW w:w="2250" w:type="dxa"/>
          </w:tcPr>
          <w:p w:rsidR="001E4230" w:rsidRDefault="001E4230" w:rsidP="00FF3125">
            <w:pPr>
              <w:pStyle w:val="ListParagraph"/>
              <w:ind w:left="0"/>
            </w:pPr>
            <w:r>
              <w:t>Reporting on Parking</w:t>
            </w:r>
          </w:p>
        </w:tc>
        <w:tc>
          <w:tcPr>
            <w:tcW w:w="6115" w:type="dxa"/>
          </w:tcPr>
          <w:p w:rsidR="001E4230" w:rsidRDefault="001E4230" w:rsidP="00FF3125">
            <w:pPr>
              <w:pStyle w:val="ListParagraph"/>
              <w:numPr>
                <w:ilvl w:val="0"/>
                <w:numId w:val="3"/>
              </w:numPr>
              <w:ind w:left="252" w:hanging="180"/>
            </w:pPr>
            <w:r>
              <w:t>Proviso for two reports on parking facilities user fee rules</w:t>
            </w:r>
          </w:p>
        </w:tc>
      </w:tr>
    </w:tbl>
    <w:p w:rsidR="00E45F47" w:rsidRDefault="00E45F47" w:rsidP="00E45F47">
      <w:pPr>
        <w:pStyle w:val="ListParagraph"/>
      </w:pPr>
    </w:p>
    <w:sectPr w:rsidR="00E45F47" w:rsidSect="00E45F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49" w:rsidRDefault="00A81649" w:rsidP="00A81649">
      <w:r>
        <w:separator/>
      </w:r>
    </w:p>
  </w:endnote>
  <w:endnote w:type="continuationSeparator" w:id="0">
    <w:p w:rsidR="00A81649" w:rsidRDefault="00A81649" w:rsidP="00A8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49" w:rsidRDefault="00A81649" w:rsidP="00A81649">
      <w:r>
        <w:separator/>
      </w:r>
    </w:p>
  </w:footnote>
  <w:footnote w:type="continuationSeparator" w:id="0">
    <w:p w:rsidR="00A81649" w:rsidRDefault="00A81649" w:rsidP="00A8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74C"/>
    <w:multiLevelType w:val="hybridMultilevel"/>
    <w:tmpl w:val="3938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E10E9D"/>
    <w:multiLevelType w:val="hybridMultilevel"/>
    <w:tmpl w:val="A21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47"/>
    <w:rsid w:val="00022A02"/>
    <w:rsid w:val="00040514"/>
    <w:rsid w:val="000A1C5C"/>
    <w:rsid w:val="000B5A74"/>
    <w:rsid w:val="001031EF"/>
    <w:rsid w:val="00131B8C"/>
    <w:rsid w:val="001679FA"/>
    <w:rsid w:val="001E4230"/>
    <w:rsid w:val="001F1868"/>
    <w:rsid w:val="00216837"/>
    <w:rsid w:val="002939DD"/>
    <w:rsid w:val="002B2D38"/>
    <w:rsid w:val="00300D14"/>
    <w:rsid w:val="00371A61"/>
    <w:rsid w:val="00445ABE"/>
    <w:rsid w:val="004528CB"/>
    <w:rsid w:val="004665A5"/>
    <w:rsid w:val="004C08B5"/>
    <w:rsid w:val="004C4357"/>
    <w:rsid w:val="004F17AB"/>
    <w:rsid w:val="005430A9"/>
    <w:rsid w:val="00594D20"/>
    <w:rsid w:val="00606C1E"/>
    <w:rsid w:val="0061507C"/>
    <w:rsid w:val="00662E1E"/>
    <w:rsid w:val="0066480D"/>
    <w:rsid w:val="00696582"/>
    <w:rsid w:val="006D0559"/>
    <w:rsid w:val="007B2A48"/>
    <w:rsid w:val="00831448"/>
    <w:rsid w:val="00884574"/>
    <w:rsid w:val="008C53CE"/>
    <w:rsid w:val="009367DE"/>
    <w:rsid w:val="00973473"/>
    <w:rsid w:val="009A504F"/>
    <w:rsid w:val="009C29A8"/>
    <w:rsid w:val="009D7595"/>
    <w:rsid w:val="00A81649"/>
    <w:rsid w:val="00A93264"/>
    <w:rsid w:val="00B56D45"/>
    <w:rsid w:val="00BA4467"/>
    <w:rsid w:val="00C14297"/>
    <w:rsid w:val="00C50741"/>
    <w:rsid w:val="00C77C6D"/>
    <w:rsid w:val="00D16D63"/>
    <w:rsid w:val="00D3507D"/>
    <w:rsid w:val="00D456D8"/>
    <w:rsid w:val="00D63623"/>
    <w:rsid w:val="00D90B90"/>
    <w:rsid w:val="00DA4631"/>
    <w:rsid w:val="00DB4EC6"/>
    <w:rsid w:val="00E40600"/>
    <w:rsid w:val="00E4432C"/>
    <w:rsid w:val="00E45F47"/>
    <w:rsid w:val="00E6233B"/>
    <w:rsid w:val="00EA32F7"/>
    <w:rsid w:val="00EB244E"/>
    <w:rsid w:val="00F15087"/>
    <w:rsid w:val="00F57D3A"/>
    <w:rsid w:val="00FF31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C7667-53D6-48CB-BAA1-3B578D8F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47"/>
    <w:pPr>
      <w:ind w:left="720"/>
    </w:pPr>
    <w:rPr>
      <w:rFonts w:ascii="Calibri" w:hAnsi="Calibri" w:cs="Times New Roman"/>
      <w:sz w:val="22"/>
    </w:rPr>
  </w:style>
  <w:style w:type="table" w:styleId="TableGrid">
    <w:name w:val="Table Grid"/>
    <w:basedOn w:val="TableNormal"/>
    <w:uiPriority w:val="39"/>
    <w:rsid w:val="00E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3A"/>
    <w:rPr>
      <w:rFonts w:ascii="Segoe UI" w:hAnsi="Segoe UI" w:cs="Segoe UI"/>
      <w:sz w:val="18"/>
      <w:szCs w:val="18"/>
    </w:rPr>
  </w:style>
  <w:style w:type="paragraph" w:styleId="FootnoteText">
    <w:name w:val="footnote text"/>
    <w:basedOn w:val="Normal"/>
    <w:link w:val="FootnoteTextChar"/>
    <w:uiPriority w:val="99"/>
    <w:semiHidden/>
    <w:unhideWhenUsed/>
    <w:rsid w:val="00A81649"/>
    <w:rPr>
      <w:sz w:val="20"/>
      <w:szCs w:val="20"/>
    </w:rPr>
  </w:style>
  <w:style w:type="character" w:customStyle="1" w:styleId="FootnoteTextChar">
    <w:name w:val="Footnote Text Char"/>
    <w:basedOn w:val="DefaultParagraphFont"/>
    <w:link w:val="FootnoteText"/>
    <w:uiPriority w:val="99"/>
    <w:semiHidden/>
    <w:rsid w:val="00A81649"/>
    <w:rPr>
      <w:sz w:val="20"/>
      <w:szCs w:val="20"/>
    </w:rPr>
  </w:style>
  <w:style w:type="character" w:styleId="FootnoteReference">
    <w:name w:val="footnote reference"/>
    <w:basedOn w:val="DefaultParagraphFont"/>
    <w:uiPriority w:val="99"/>
    <w:semiHidden/>
    <w:unhideWhenUsed/>
    <w:rsid w:val="00A81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38B0-6742-4FF8-94FB-1B0D7C40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Soohoo, Wendy</cp:lastModifiedBy>
  <cp:revision>54</cp:revision>
  <cp:lastPrinted>2018-11-08T15:19:00Z</cp:lastPrinted>
  <dcterms:created xsi:type="dcterms:W3CDTF">2018-11-06T20:06:00Z</dcterms:created>
  <dcterms:modified xsi:type="dcterms:W3CDTF">2018-11-08T16:25:00Z</dcterms:modified>
</cp:coreProperties>
</file>