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45A8" w14:textId="77777777" w:rsidR="00833942" w:rsidRPr="00196D48" w:rsidRDefault="00833942" w:rsidP="00833942">
      <w:pPr>
        <w:widowControl/>
        <w:jc w:val="center"/>
        <w:rPr>
          <w:rFonts w:ascii="Times New Roman" w:eastAsia="Times New Roman" w:hAnsi="Times New Roman" w:cs="Times New Roman"/>
          <w:sz w:val="24"/>
          <w:szCs w:val="24"/>
        </w:rPr>
      </w:pPr>
      <w:r w:rsidRPr="00196D48">
        <w:rPr>
          <w:rFonts w:ascii="Times New Roman" w:eastAsia="Times New Roman" w:hAnsi="Times New Roman" w:cs="Times New Roman"/>
          <w:noProof/>
          <w:sz w:val="24"/>
          <w:szCs w:val="24"/>
        </w:rPr>
        <w:drawing>
          <wp:inline distT="0" distB="0" distL="0" distR="0" wp14:anchorId="41B756C0" wp14:editId="3187D6E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6261A92" w14:textId="77777777" w:rsidR="00833942" w:rsidRPr="00196D48" w:rsidRDefault="00833942" w:rsidP="00833942">
      <w:pPr>
        <w:widowControl/>
        <w:jc w:val="center"/>
        <w:rPr>
          <w:rFonts w:ascii="Arial" w:eastAsia="Times New Roman" w:hAnsi="Arial" w:cs="Times New Roman"/>
          <w:sz w:val="24"/>
          <w:szCs w:val="24"/>
        </w:rPr>
      </w:pPr>
    </w:p>
    <w:p w14:paraId="4ED61307" w14:textId="77777777" w:rsidR="00196D48" w:rsidRPr="00833942" w:rsidRDefault="00196D48" w:rsidP="00196D48">
      <w:pPr>
        <w:widowControl/>
        <w:jc w:val="center"/>
        <w:rPr>
          <w:rFonts w:ascii="Verdana" w:eastAsia="Times New Roman" w:hAnsi="Verdana" w:cs="Times New Roman"/>
          <w:b/>
          <w:sz w:val="28"/>
          <w:szCs w:val="28"/>
        </w:rPr>
      </w:pPr>
      <w:r w:rsidRPr="00833942">
        <w:rPr>
          <w:rFonts w:ascii="Verdana" w:eastAsia="Times New Roman" w:hAnsi="Verdana" w:cs="Times New Roman"/>
          <w:b/>
          <w:sz w:val="28"/>
          <w:szCs w:val="28"/>
        </w:rPr>
        <w:t>Metropolitan King County Council</w:t>
      </w:r>
    </w:p>
    <w:p w14:paraId="05A4D208" w14:textId="77777777" w:rsidR="00196D48" w:rsidRPr="00833942" w:rsidRDefault="00196D48" w:rsidP="00196D48">
      <w:pPr>
        <w:widowControl/>
        <w:jc w:val="center"/>
        <w:rPr>
          <w:rFonts w:ascii="Verdana" w:eastAsia="Times New Roman" w:hAnsi="Verdana" w:cs="Times New Roman"/>
          <w:b/>
          <w:sz w:val="28"/>
          <w:szCs w:val="28"/>
        </w:rPr>
      </w:pPr>
      <w:r w:rsidRPr="00833942">
        <w:rPr>
          <w:rFonts w:ascii="Verdana" w:eastAsia="Times New Roman" w:hAnsi="Verdana" w:cs="Times New Roman"/>
          <w:b/>
          <w:sz w:val="28"/>
          <w:szCs w:val="28"/>
        </w:rPr>
        <w:t>Law &amp; Justice Committee</w:t>
      </w:r>
    </w:p>
    <w:p w14:paraId="1F1A3242" w14:textId="77777777" w:rsidR="00833942" w:rsidRPr="00196D48" w:rsidRDefault="00833942" w:rsidP="00833942">
      <w:pPr>
        <w:keepNext/>
        <w:widowControl/>
        <w:jc w:val="center"/>
        <w:outlineLvl w:val="1"/>
        <w:rPr>
          <w:rFonts w:ascii="Times New Roman" w:eastAsia="Times New Roman" w:hAnsi="Times New Roman" w:cs="Times New Roman"/>
          <w:sz w:val="24"/>
          <w:szCs w:val="24"/>
        </w:rPr>
      </w:pPr>
    </w:p>
    <w:p w14:paraId="4B06CE0A" w14:textId="2D9B7589" w:rsidR="00833942" w:rsidRPr="00196D48" w:rsidRDefault="0021267E" w:rsidP="00833942">
      <w:pPr>
        <w:keepNext/>
        <w:widowControl/>
        <w:jc w:val="center"/>
        <w:outlineLvl w:val="1"/>
        <w:rPr>
          <w:rFonts w:ascii="Arial" w:eastAsia="Times New Roman" w:hAnsi="Arial" w:cs="Arial"/>
          <w:b/>
          <w:sz w:val="24"/>
          <w:szCs w:val="24"/>
          <w:u w:val="single"/>
        </w:rPr>
      </w:pPr>
      <w:r>
        <w:rPr>
          <w:rFonts w:ascii="Arial" w:eastAsia="Times New Roman" w:hAnsi="Arial" w:cs="Arial"/>
          <w:b/>
          <w:sz w:val="24"/>
          <w:szCs w:val="24"/>
          <w:u w:val="single"/>
        </w:rPr>
        <w:t xml:space="preserve">REVISED </w:t>
      </w:r>
      <w:r w:rsidR="00833942" w:rsidRPr="00196D48">
        <w:rPr>
          <w:rFonts w:ascii="Arial" w:eastAsia="Times New Roman" w:hAnsi="Arial" w:cs="Arial"/>
          <w:b/>
          <w:sz w:val="24"/>
          <w:szCs w:val="24"/>
          <w:u w:val="single"/>
        </w:rPr>
        <w:t>STAFF REPORT</w:t>
      </w:r>
    </w:p>
    <w:p w14:paraId="5F1B3B16" w14:textId="77777777" w:rsidR="00833942" w:rsidRPr="00196D48" w:rsidRDefault="00833942" w:rsidP="00833942">
      <w:pPr>
        <w:widowControl/>
        <w:jc w:val="center"/>
        <w:rPr>
          <w:rFonts w:ascii="Times New Roman" w:eastAsia="Times New Roman" w:hAnsi="Times New Roman" w:cs="Times New Roman"/>
          <w:sz w:val="24"/>
          <w:szCs w:val="24"/>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833942" w:rsidRPr="00196D48" w14:paraId="338C4686" w14:textId="77777777" w:rsidTr="000D5D4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B69296" w14:textId="77777777" w:rsidR="00833942" w:rsidRPr="00196D48" w:rsidRDefault="00833942" w:rsidP="00833942">
            <w:pPr>
              <w:widowControl/>
              <w:spacing w:before="40" w:after="40"/>
              <w:rPr>
                <w:rFonts w:ascii="Arial" w:eastAsia="Times New Roman" w:hAnsi="Arial" w:cs="Arial"/>
                <w:b/>
                <w:sz w:val="24"/>
                <w:szCs w:val="24"/>
              </w:rPr>
            </w:pPr>
            <w:r w:rsidRPr="00196D48">
              <w:rPr>
                <w:rFonts w:ascii="Arial" w:eastAsia="Times New Roman" w:hAnsi="Arial" w:cs="Arial"/>
                <w:b/>
                <w:sz w:val="24"/>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12244EF" w14:textId="7F83B1E5" w:rsidR="00833942" w:rsidRPr="00196D48" w:rsidRDefault="00833942" w:rsidP="00833942">
            <w:pPr>
              <w:widowControl/>
              <w:spacing w:before="40" w:after="40"/>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BB4065" w14:textId="77777777" w:rsidR="00833942" w:rsidRPr="00196D48" w:rsidRDefault="00833942" w:rsidP="00833942">
            <w:pPr>
              <w:widowControl/>
              <w:spacing w:before="40" w:after="40"/>
              <w:rPr>
                <w:rFonts w:ascii="Arial" w:eastAsia="Times New Roman" w:hAnsi="Arial" w:cs="Arial"/>
                <w:b/>
                <w:sz w:val="24"/>
                <w:szCs w:val="24"/>
              </w:rPr>
            </w:pPr>
            <w:r w:rsidRPr="00196D48">
              <w:rPr>
                <w:rFonts w:ascii="Arial" w:eastAsia="Times New Roman" w:hAnsi="Arial" w:cs="Arial"/>
                <w:b/>
                <w:sz w:val="24"/>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CA225AE" w14:textId="77777777" w:rsidR="00833942" w:rsidRPr="00196D48" w:rsidRDefault="002B1E57" w:rsidP="00833942">
            <w:pPr>
              <w:widowControl/>
              <w:spacing w:before="40" w:after="40"/>
              <w:rPr>
                <w:rFonts w:ascii="Arial" w:eastAsia="Times New Roman" w:hAnsi="Arial" w:cs="Arial"/>
                <w:sz w:val="24"/>
                <w:szCs w:val="24"/>
              </w:rPr>
            </w:pPr>
            <w:r w:rsidRPr="00196D48">
              <w:rPr>
                <w:rFonts w:ascii="Arial" w:eastAsia="Times New Roman" w:hAnsi="Arial" w:cs="Arial"/>
                <w:sz w:val="24"/>
                <w:szCs w:val="24"/>
              </w:rPr>
              <w:t>Andrew Kim</w:t>
            </w:r>
          </w:p>
        </w:tc>
      </w:tr>
      <w:tr w:rsidR="00833942" w:rsidRPr="00196D48" w14:paraId="17C8826C" w14:textId="77777777" w:rsidTr="000D5D4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7A5301" w14:textId="77777777" w:rsidR="00833942" w:rsidRPr="00196D48" w:rsidRDefault="00833942" w:rsidP="00833942">
            <w:pPr>
              <w:widowControl/>
              <w:spacing w:before="40" w:after="40"/>
              <w:rPr>
                <w:rFonts w:ascii="Arial" w:eastAsia="Times New Roman" w:hAnsi="Arial" w:cs="Arial"/>
                <w:sz w:val="24"/>
                <w:szCs w:val="24"/>
              </w:rPr>
            </w:pPr>
            <w:r w:rsidRPr="00196D48">
              <w:rPr>
                <w:rFonts w:ascii="Arial" w:eastAsia="Times New Roman" w:hAnsi="Arial" w:cs="Arial"/>
                <w:b/>
                <w:sz w:val="24"/>
                <w:szCs w:val="24"/>
              </w:rPr>
              <w:t>Proposed No</w:t>
            </w:r>
            <w:r w:rsidRPr="00196D48">
              <w:rPr>
                <w:rFonts w:ascii="Arial" w:eastAsia="Times New Roman" w:hAnsi="Arial" w:cs="Arial"/>
                <w:sz w:val="24"/>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1ACF1C6A" w14:textId="77777777" w:rsidR="00833942" w:rsidRPr="00196D48" w:rsidRDefault="0083531C" w:rsidP="00833942">
            <w:pPr>
              <w:widowControl/>
              <w:spacing w:before="40" w:after="40"/>
              <w:rPr>
                <w:rFonts w:ascii="Arial" w:eastAsia="Times New Roman" w:hAnsi="Arial" w:cs="Arial"/>
                <w:sz w:val="24"/>
                <w:szCs w:val="24"/>
              </w:rPr>
            </w:pPr>
            <w:r w:rsidRPr="00196D48">
              <w:rPr>
                <w:rFonts w:ascii="Arial" w:eastAsia="Times New Roman" w:hAnsi="Arial" w:cs="Arial"/>
                <w:sz w:val="24"/>
                <w:szCs w:val="24"/>
              </w:rPr>
              <w:t>2018-0373</w:t>
            </w:r>
          </w:p>
        </w:tc>
        <w:tc>
          <w:tcPr>
            <w:tcW w:w="1170" w:type="dxa"/>
            <w:tcBorders>
              <w:top w:val="single" w:sz="4" w:space="0" w:color="auto"/>
              <w:left w:val="single" w:sz="4" w:space="0" w:color="auto"/>
              <w:bottom w:val="single" w:sz="4" w:space="0" w:color="auto"/>
              <w:right w:val="single" w:sz="4" w:space="0" w:color="auto"/>
            </w:tcBorders>
            <w:vAlign w:val="center"/>
          </w:tcPr>
          <w:p w14:paraId="1681DA30" w14:textId="77777777" w:rsidR="00833942" w:rsidRPr="00196D48" w:rsidRDefault="00833942" w:rsidP="00833942">
            <w:pPr>
              <w:widowControl/>
              <w:spacing w:before="40" w:after="40"/>
              <w:ind w:right="-108"/>
              <w:rPr>
                <w:rFonts w:ascii="Arial" w:eastAsia="Times New Roman" w:hAnsi="Arial" w:cs="Arial"/>
                <w:sz w:val="24"/>
                <w:szCs w:val="24"/>
              </w:rPr>
            </w:pPr>
            <w:r w:rsidRPr="00196D48">
              <w:rPr>
                <w:rFonts w:ascii="Arial" w:eastAsia="Times New Roman" w:hAnsi="Arial" w:cs="Arial"/>
                <w:b/>
                <w:sz w:val="24"/>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E9C2873" w14:textId="77777777" w:rsidR="00833942" w:rsidRPr="00196D48" w:rsidRDefault="00BA66C8" w:rsidP="009951E1">
            <w:pPr>
              <w:widowControl/>
              <w:spacing w:before="40" w:after="40"/>
              <w:rPr>
                <w:rFonts w:ascii="Arial" w:eastAsia="Times New Roman" w:hAnsi="Arial" w:cs="Arial"/>
                <w:sz w:val="24"/>
                <w:szCs w:val="24"/>
              </w:rPr>
            </w:pPr>
            <w:r w:rsidRPr="00196D48">
              <w:rPr>
                <w:rFonts w:ascii="Arial" w:eastAsia="Times New Roman" w:hAnsi="Arial" w:cs="Arial"/>
                <w:sz w:val="24"/>
                <w:szCs w:val="24"/>
              </w:rPr>
              <w:t>September 11</w:t>
            </w:r>
            <w:r w:rsidR="00833942" w:rsidRPr="00196D48">
              <w:rPr>
                <w:rFonts w:ascii="Arial" w:eastAsia="Times New Roman" w:hAnsi="Arial" w:cs="Arial"/>
                <w:sz w:val="24"/>
                <w:szCs w:val="24"/>
              </w:rPr>
              <w:t>, 2018</w:t>
            </w:r>
          </w:p>
        </w:tc>
      </w:tr>
    </w:tbl>
    <w:p w14:paraId="02401705" w14:textId="77777777" w:rsidR="00833942" w:rsidRPr="00196D48" w:rsidRDefault="00833942" w:rsidP="00833942">
      <w:pPr>
        <w:widowControl/>
        <w:rPr>
          <w:rFonts w:ascii="Arial" w:eastAsia="Times New Roman" w:hAnsi="Arial" w:cs="Arial"/>
          <w:b/>
          <w:smallCaps/>
          <w:sz w:val="24"/>
          <w:szCs w:val="24"/>
          <w:u w:val="single"/>
        </w:rPr>
      </w:pPr>
    </w:p>
    <w:p w14:paraId="12E0C421" w14:textId="77777777" w:rsidR="006F2148" w:rsidRDefault="006F2148" w:rsidP="006F2148">
      <w:pPr>
        <w:rPr>
          <w:rFonts w:ascii="Arial" w:hAnsi="Arial" w:cs="Arial"/>
          <w:b/>
          <w:smallCaps/>
          <w:szCs w:val="24"/>
          <w:u w:val="single"/>
        </w:rPr>
      </w:pPr>
      <w:r>
        <w:rPr>
          <w:rFonts w:ascii="Arial" w:hAnsi="Arial" w:cs="Arial"/>
          <w:b/>
          <w:smallCaps/>
          <w:szCs w:val="24"/>
          <w:u w:val="single"/>
        </w:rPr>
        <w:t>COMMITTEE ACTION</w:t>
      </w:r>
    </w:p>
    <w:p w14:paraId="53D0F3C3" w14:textId="77777777" w:rsidR="006F2148" w:rsidRDefault="006F2148" w:rsidP="006F2148">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6F2148" w:rsidRPr="006F2148" w14:paraId="056FA6F4" w14:textId="77777777" w:rsidTr="00970D2B">
        <w:tc>
          <w:tcPr>
            <w:tcW w:w="9535" w:type="dxa"/>
          </w:tcPr>
          <w:p w14:paraId="12246E83" w14:textId="0BA81671" w:rsidR="006F2148" w:rsidRPr="006F2148" w:rsidRDefault="006F2148" w:rsidP="00970D2B">
            <w:pPr>
              <w:jc w:val="both"/>
              <w:rPr>
                <w:rFonts w:ascii="Arial" w:hAnsi="Arial" w:cs="Arial"/>
                <w:b/>
                <w:i/>
                <w:sz w:val="24"/>
                <w:szCs w:val="24"/>
              </w:rPr>
            </w:pPr>
          </w:p>
          <w:p w14:paraId="7F4B6D2B" w14:textId="77777777" w:rsidR="006F2148" w:rsidRDefault="006F2148" w:rsidP="006F2148">
            <w:pPr>
              <w:jc w:val="both"/>
              <w:rPr>
                <w:rFonts w:ascii="Arial" w:hAnsi="Arial" w:cs="Arial"/>
                <w:b/>
                <w:i/>
                <w:sz w:val="24"/>
                <w:szCs w:val="24"/>
              </w:rPr>
            </w:pPr>
            <w:r w:rsidRPr="006F2148">
              <w:rPr>
                <w:rFonts w:ascii="Arial" w:hAnsi="Arial" w:cs="Arial"/>
                <w:b/>
                <w:i/>
                <w:sz w:val="24"/>
                <w:szCs w:val="24"/>
              </w:rPr>
              <w:t>Propose</w:t>
            </w:r>
            <w:r>
              <w:rPr>
                <w:rFonts w:ascii="Arial" w:hAnsi="Arial" w:cs="Arial"/>
                <w:b/>
                <w:i/>
                <w:sz w:val="24"/>
                <w:szCs w:val="24"/>
              </w:rPr>
              <w:t>d Substitute Ordinance 2018-0373</w:t>
            </w:r>
            <w:r w:rsidRPr="006F2148">
              <w:rPr>
                <w:rFonts w:ascii="Arial" w:hAnsi="Arial" w:cs="Arial"/>
                <w:b/>
                <w:i/>
                <w:sz w:val="24"/>
                <w:szCs w:val="24"/>
              </w:rPr>
              <w:t>.2 which would make it unlawful for any person in unincorporated King County to keep a firearm, whether loaded or unloaded with ammunition, within any premise unless the firearm is safely stored in or using a secure firearm storage or safety device, passed</w:t>
            </w:r>
            <w:r>
              <w:rPr>
                <w:rFonts w:ascii="Arial" w:hAnsi="Arial" w:cs="Arial"/>
                <w:b/>
                <w:i/>
                <w:sz w:val="24"/>
                <w:szCs w:val="24"/>
              </w:rPr>
              <w:t xml:space="preserve"> out of committee on September 11</w:t>
            </w:r>
            <w:r w:rsidRPr="006F2148">
              <w:rPr>
                <w:rFonts w:ascii="Arial" w:hAnsi="Arial" w:cs="Arial"/>
                <w:b/>
                <w:i/>
                <w:sz w:val="24"/>
                <w:szCs w:val="24"/>
              </w:rPr>
              <w:t xml:space="preserve">, 2018, with a “Do Pass Substitute” recommendation. The Ordinance was amended in committee </w:t>
            </w:r>
            <w:r>
              <w:rPr>
                <w:rFonts w:ascii="Arial" w:hAnsi="Arial" w:cs="Arial"/>
                <w:b/>
                <w:i/>
                <w:sz w:val="24"/>
                <w:szCs w:val="24"/>
              </w:rPr>
              <w:t>to modify the penalty from a criminal infraction to a civil infraction, allow fifteen day gap between the initial warning and the first civil infraction citation, allow the court to waive the penalty if a violator shows evidence that a secure firearm storage or security device was obtained, and require the law enforcement officer to inform the violator (after the citation is issued) that providing evidence to the court that a secure firearm storage or security device was obtained would waive the penalty.</w:t>
            </w:r>
          </w:p>
          <w:p w14:paraId="7AED8762" w14:textId="4508D7CB" w:rsidR="006F2148" w:rsidRPr="006F2148" w:rsidRDefault="006F2148" w:rsidP="006F2148">
            <w:pPr>
              <w:jc w:val="both"/>
              <w:rPr>
                <w:rFonts w:ascii="Arial" w:hAnsi="Arial" w:cs="Arial"/>
                <w:b/>
                <w:i/>
                <w:sz w:val="24"/>
                <w:szCs w:val="24"/>
              </w:rPr>
            </w:pPr>
          </w:p>
        </w:tc>
      </w:tr>
    </w:tbl>
    <w:p w14:paraId="63962A47" w14:textId="77777777" w:rsidR="006F2148" w:rsidRDefault="006F2148" w:rsidP="003A3CE9">
      <w:pPr>
        <w:spacing w:before="71"/>
        <w:ind w:right="110"/>
        <w:rPr>
          <w:rFonts w:ascii="Arial"/>
          <w:b/>
          <w:sz w:val="24"/>
          <w:szCs w:val="24"/>
          <w:u w:val="thick" w:color="000000"/>
        </w:rPr>
      </w:pPr>
    </w:p>
    <w:p w14:paraId="6FBFCD9D" w14:textId="77777777" w:rsidR="003228A7" w:rsidRPr="00196D48" w:rsidRDefault="004C7418" w:rsidP="003A3CE9">
      <w:pPr>
        <w:spacing w:before="71"/>
        <w:ind w:right="110"/>
        <w:rPr>
          <w:rFonts w:ascii="Arial" w:eastAsia="Arial" w:hAnsi="Arial" w:cs="Arial"/>
          <w:sz w:val="24"/>
          <w:szCs w:val="24"/>
        </w:rPr>
      </w:pPr>
      <w:r w:rsidRPr="00196D48">
        <w:rPr>
          <w:rFonts w:ascii="Arial"/>
          <w:b/>
          <w:sz w:val="24"/>
          <w:szCs w:val="24"/>
          <w:u w:val="thick" w:color="000000"/>
        </w:rPr>
        <w:t>SUBJECT</w:t>
      </w:r>
    </w:p>
    <w:p w14:paraId="2C400616" w14:textId="77777777" w:rsidR="003228A7" w:rsidRPr="00196D48" w:rsidRDefault="003228A7" w:rsidP="003A3CE9">
      <w:pPr>
        <w:spacing w:before="5"/>
        <w:rPr>
          <w:rFonts w:ascii="Arial" w:eastAsia="Arial" w:hAnsi="Arial" w:cs="Arial"/>
          <w:b/>
          <w:bCs/>
          <w:sz w:val="24"/>
          <w:szCs w:val="24"/>
        </w:rPr>
      </w:pPr>
    </w:p>
    <w:p w14:paraId="2F3642C0" w14:textId="77777777" w:rsidR="003228A7" w:rsidRPr="00196D48" w:rsidRDefault="0083531C" w:rsidP="003A3CE9">
      <w:pPr>
        <w:spacing w:before="71"/>
        <w:ind w:right="-350"/>
        <w:jc w:val="both"/>
        <w:rPr>
          <w:rFonts w:ascii="Arial" w:eastAsia="Arial" w:hAnsi="Arial" w:cs="Arial"/>
          <w:sz w:val="24"/>
          <w:szCs w:val="24"/>
        </w:rPr>
      </w:pPr>
      <w:r w:rsidRPr="00196D48">
        <w:rPr>
          <w:rFonts w:ascii="Arial" w:eastAsia="Arial" w:hAnsi="Arial" w:cs="Arial"/>
          <w:sz w:val="24"/>
          <w:szCs w:val="24"/>
        </w:rPr>
        <w:t>An ordinance</w:t>
      </w:r>
      <w:r w:rsidR="004F202A" w:rsidRPr="00196D48">
        <w:rPr>
          <w:rFonts w:ascii="Arial" w:eastAsia="Arial" w:hAnsi="Arial" w:cs="Arial"/>
          <w:sz w:val="24"/>
          <w:szCs w:val="24"/>
        </w:rPr>
        <w:t xml:space="preserve"> </w:t>
      </w:r>
      <w:r w:rsidRPr="00196D48">
        <w:rPr>
          <w:rFonts w:ascii="Arial" w:hAnsi="Arial" w:cs="Arial"/>
          <w:sz w:val="24"/>
          <w:szCs w:val="24"/>
        </w:rPr>
        <w:t>relating to the secure storage of firearms</w:t>
      </w:r>
      <w:r w:rsidR="005F337B">
        <w:rPr>
          <w:rFonts w:ascii="Arial" w:hAnsi="Arial" w:cs="Arial"/>
          <w:sz w:val="24"/>
          <w:szCs w:val="24"/>
        </w:rPr>
        <w:t xml:space="preserve"> </w:t>
      </w:r>
      <w:r w:rsidRPr="00196D48">
        <w:rPr>
          <w:rFonts w:ascii="Arial" w:hAnsi="Arial" w:cs="Arial"/>
          <w:sz w:val="24"/>
          <w:szCs w:val="24"/>
        </w:rPr>
        <w:t>and adding a new chapter to K.C.C. Title 12 and prescribing penalties</w:t>
      </w:r>
      <w:r w:rsidR="00110752" w:rsidRPr="00196D48">
        <w:rPr>
          <w:rFonts w:ascii="Arial" w:hAnsi="Arial" w:cs="Arial"/>
          <w:sz w:val="24"/>
          <w:szCs w:val="24"/>
        </w:rPr>
        <w:t>.</w:t>
      </w:r>
    </w:p>
    <w:p w14:paraId="4FAB8189" w14:textId="77777777" w:rsidR="003228A7" w:rsidRPr="00196D48" w:rsidRDefault="003228A7" w:rsidP="003A3CE9">
      <w:pPr>
        <w:rPr>
          <w:rFonts w:ascii="Arial" w:eastAsia="Arial" w:hAnsi="Arial" w:cs="Arial"/>
          <w:color w:val="0070C0"/>
          <w:sz w:val="24"/>
          <w:szCs w:val="24"/>
        </w:rPr>
      </w:pPr>
    </w:p>
    <w:p w14:paraId="0195510C" w14:textId="77777777" w:rsidR="003228A7" w:rsidRPr="00196D48" w:rsidRDefault="004C7418" w:rsidP="003A3CE9">
      <w:pPr>
        <w:jc w:val="both"/>
        <w:rPr>
          <w:rFonts w:ascii="Arial" w:eastAsia="Arial" w:hAnsi="Arial" w:cs="Arial"/>
          <w:sz w:val="24"/>
          <w:szCs w:val="24"/>
        </w:rPr>
      </w:pPr>
      <w:r w:rsidRPr="00196D48">
        <w:rPr>
          <w:rFonts w:ascii="Arial"/>
          <w:b/>
          <w:sz w:val="24"/>
          <w:szCs w:val="24"/>
          <w:u w:val="thick" w:color="000000"/>
        </w:rPr>
        <w:t>SUMMARY</w:t>
      </w:r>
    </w:p>
    <w:p w14:paraId="5852D887" w14:textId="77777777" w:rsidR="003228A7" w:rsidRPr="00196D48" w:rsidRDefault="003228A7">
      <w:pPr>
        <w:spacing w:before="6"/>
        <w:rPr>
          <w:rFonts w:ascii="Arial" w:eastAsia="Arial" w:hAnsi="Arial" w:cs="Arial"/>
          <w:b/>
          <w:bCs/>
          <w:color w:val="0070C0"/>
          <w:sz w:val="24"/>
          <w:szCs w:val="24"/>
        </w:rPr>
      </w:pPr>
    </w:p>
    <w:p w14:paraId="7D49A276" w14:textId="77777777" w:rsidR="00D07AD8" w:rsidRDefault="007E25DF"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sidRPr="00196D48">
        <w:rPr>
          <w:rFonts w:ascii="Arial" w:eastAsia="Arial" w:hAnsi="Arial" w:cs="Arial"/>
          <w:sz w:val="24"/>
          <w:szCs w:val="24"/>
        </w:rPr>
        <w:t>Propos</w:t>
      </w:r>
      <w:r w:rsidR="00A94BED" w:rsidRPr="00196D48">
        <w:rPr>
          <w:rFonts w:ascii="Arial" w:eastAsia="Arial" w:hAnsi="Arial" w:cs="Arial"/>
          <w:sz w:val="24"/>
          <w:szCs w:val="24"/>
        </w:rPr>
        <w:t xml:space="preserve">ed Ordinance </w:t>
      </w:r>
      <w:r w:rsidR="009E0D16">
        <w:rPr>
          <w:rFonts w:ascii="Arial" w:eastAsia="Arial" w:hAnsi="Arial" w:cs="Arial"/>
          <w:sz w:val="24"/>
          <w:szCs w:val="24"/>
        </w:rPr>
        <w:t>2018</w:t>
      </w:r>
      <w:r w:rsidR="00D07AD8">
        <w:rPr>
          <w:rFonts w:ascii="Arial" w:eastAsia="Arial" w:hAnsi="Arial" w:cs="Arial"/>
          <w:sz w:val="24"/>
          <w:szCs w:val="24"/>
        </w:rPr>
        <w:t>-0373</w:t>
      </w:r>
      <w:r w:rsidR="001322F0" w:rsidRPr="00196D48">
        <w:rPr>
          <w:rFonts w:ascii="Arial" w:eastAsia="Arial" w:hAnsi="Arial" w:cs="Arial"/>
          <w:sz w:val="24"/>
          <w:szCs w:val="24"/>
        </w:rPr>
        <w:t xml:space="preserve"> </w:t>
      </w:r>
      <w:r w:rsidR="000707EA" w:rsidRPr="00196D48">
        <w:rPr>
          <w:rFonts w:ascii="Arial" w:eastAsia="Arial" w:hAnsi="Arial" w:cs="Arial"/>
          <w:sz w:val="24"/>
          <w:szCs w:val="24"/>
        </w:rPr>
        <w:t xml:space="preserve">would </w:t>
      </w:r>
      <w:r w:rsidR="00D07AD8">
        <w:rPr>
          <w:rFonts w:ascii="Arial" w:eastAsia="Arial" w:hAnsi="Arial" w:cs="Arial"/>
          <w:sz w:val="24"/>
          <w:szCs w:val="24"/>
        </w:rPr>
        <w:t>make it</w:t>
      </w:r>
      <w:r w:rsidR="00D07AD8" w:rsidRPr="00D07AD8">
        <w:rPr>
          <w:rFonts w:ascii="Arial" w:eastAsia="Arial" w:hAnsi="Arial" w:cs="Arial"/>
          <w:sz w:val="24"/>
          <w:szCs w:val="24"/>
        </w:rPr>
        <w:t xml:space="preserve"> unlawful for any person in </w:t>
      </w:r>
      <w:r w:rsidR="00D07AD8">
        <w:rPr>
          <w:rFonts w:ascii="Arial" w:eastAsia="Arial" w:hAnsi="Arial" w:cs="Arial"/>
          <w:sz w:val="24"/>
          <w:szCs w:val="24"/>
        </w:rPr>
        <w:t xml:space="preserve">unincorporated </w:t>
      </w:r>
      <w:r w:rsidR="00D07AD8" w:rsidRPr="00D07AD8">
        <w:rPr>
          <w:rFonts w:ascii="Arial" w:eastAsia="Arial" w:hAnsi="Arial" w:cs="Arial"/>
          <w:sz w:val="24"/>
          <w:szCs w:val="24"/>
        </w:rPr>
        <w:t>King County</w:t>
      </w:r>
      <w:r w:rsidR="00D07AD8">
        <w:rPr>
          <w:rFonts w:ascii="Arial" w:eastAsia="Arial" w:hAnsi="Arial" w:cs="Arial"/>
          <w:sz w:val="24"/>
          <w:szCs w:val="24"/>
        </w:rPr>
        <w:t xml:space="preserve"> </w:t>
      </w:r>
      <w:r w:rsidR="00D07AD8" w:rsidRPr="00D07AD8">
        <w:rPr>
          <w:rFonts w:ascii="Arial" w:eastAsia="Arial" w:hAnsi="Arial" w:cs="Arial"/>
          <w:sz w:val="24"/>
          <w:szCs w:val="24"/>
        </w:rPr>
        <w:t>to keep a firearm, whether loaded or unloaded with ammunition, within any premise unless the firearm is safely stored in or using a secure f</w:t>
      </w:r>
      <w:r w:rsidR="00D07AD8">
        <w:rPr>
          <w:rFonts w:ascii="Arial" w:eastAsia="Arial" w:hAnsi="Arial" w:cs="Arial"/>
          <w:sz w:val="24"/>
          <w:szCs w:val="24"/>
        </w:rPr>
        <w:t xml:space="preserve">irearm storage or safety device. </w:t>
      </w:r>
      <w:r w:rsidR="00B14168">
        <w:rPr>
          <w:rFonts w:ascii="Arial" w:eastAsia="Arial" w:hAnsi="Arial" w:cs="Arial"/>
          <w:sz w:val="24"/>
          <w:szCs w:val="24"/>
        </w:rPr>
        <w:t>A violation would result in a misdemeanor with a</w:t>
      </w:r>
      <w:r w:rsidR="00B14168" w:rsidRPr="00B14168">
        <w:rPr>
          <w:rFonts w:ascii="Arial" w:eastAsia="Arial" w:hAnsi="Arial" w:cs="Arial"/>
          <w:sz w:val="24"/>
          <w:szCs w:val="24"/>
        </w:rPr>
        <w:t xml:space="preserve"> fine of not more than one thousand dollars </w:t>
      </w:r>
      <w:r w:rsidR="00BD717E">
        <w:rPr>
          <w:rFonts w:ascii="Arial" w:eastAsia="Arial" w:hAnsi="Arial" w:cs="Arial"/>
          <w:sz w:val="24"/>
          <w:szCs w:val="24"/>
        </w:rPr>
        <w:t>and</w:t>
      </w:r>
      <w:r w:rsidR="00B14168" w:rsidRPr="00B14168">
        <w:rPr>
          <w:rFonts w:ascii="Arial" w:eastAsia="Arial" w:hAnsi="Arial" w:cs="Arial"/>
          <w:sz w:val="24"/>
          <w:szCs w:val="24"/>
        </w:rPr>
        <w:t xml:space="preserve"> imprisonment in the county jail for not more than ninety days.</w:t>
      </w:r>
      <w:r w:rsidR="0061082D">
        <w:rPr>
          <w:rFonts w:ascii="Arial" w:eastAsia="Arial" w:hAnsi="Arial" w:cs="Arial"/>
          <w:sz w:val="24"/>
          <w:szCs w:val="24"/>
        </w:rPr>
        <w:t xml:space="preserve"> Law enforcement officers of the King County Sheriff’s Office </w:t>
      </w:r>
      <w:r w:rsidR="000D089A">
        <w:rPr>
          <w:rFonts w:ascii="Arial" w:eastAsia="Arial" w:hAnsi="Arial" w:cs="Arial"/>
          <w:sz w:val="24"/>
          <w:szCs w:val="24"/>
        </w:rPr>
        <w:t xml:space="preserve">(KCSO) </w:t>
      </w:r>
      <w:r w:rsidR="0061082D">
        <w:rPr>
          <w:rFonts w:ascii="Arial" w:eastAsia="Arial" w:hAnsi="Arial" w:cs="Arial"/>
          <w:sz w:val="24"/>
          <w:szCs w:val="24"/>
        </w:rPr>
        <w:t xml:space="preserve">would enforce the proposed ordinance and would </w:t>
      </w:r>
      <w:r w:rsidR="00340006">
        <w:rPr>
          <w:rFonts w:ascii="Arial" w:eastAsia="Arial" w:hAnsi="Arial" w:cs="Arial"/>
          <w:sz w:val="24"/>
          <w:szCs w:val="24"/>
        </w:rPr>
        <w:t>require officers to</w:t>
      </w:r>
      <w:r w:rsidR="0061082D">
        <w:rPr>
          <w:rFonts w:ascii="Arial" w:eastAsia="Arial" w:hAnsi="Arial" w:cs="Arial"/>
          <w:sz w:val="24"/>
          <w:szCs w:val="24"/>
        </w:rPr>
        <w:t xml:space="preserve"> provide an initial written warning to first-time violators along with information of nearby facilities </w:t>
      </w:r>
      <w:r w:rsidR="00191586">
        <w:rPr>
          <w:rFonts w:ascii="Arial" w:eastAsia="Arial" w:hAnsi="Arial" w:cs="Arial"/>
          <w:sz w:val="24"/>
          <w:szCs w:val="24"/>
        </w:rPr>
        <w:t>where</w:t>
      </w:r>
      <w:r w:rsidR="0061082D">
        <w:rPr>
          <w:rFonts w:ascii="Arial" w:eastAsia="Arial" w:hAnsi="Arial" w:cs="Arial"/>
          <w:sz w:val="24"/>
          <w:szCs w:val="24"/>
        </w:rPr>
        <w:t xml:space="preserve"> </w:t>
      </w:r>
      <w:r w:rsidR="0061082D" w:rsidRPr="0061082D">
        <w:rPr>
          <w:rFonts w:ascii="Arial" w:eastAsia="Arial" w:hAnsi="Arial" w:cs="Arial"/>
          <w:sz w:val="24"/>
          <w:szCs w:val="24"/>
        </w:rPr>
        <w:t>secure firearm storage</w:t>
      </w:r>
      <w:r w:rsidR="0061082D">
        <w:rPr>
          <w:rFonts w:ascii="Arial" w:eastAsia="Arial" w:hAnsi="Arial" w:cs="Arial"/>
          <w:sz w:val="24"/>
          <w:szCs w:val="24"/>
        </w:rPr>
        <w:t xml:space="preserve"> </w:t>
      </w:r>
      <w:r w:rsidR="00191586">
        <w:rPr>
          <w:rFonts w:ascii="Arial" w:eastAsia="Arial" w:hAnsi="Arial" w:cs="Arial"/>
          <w:sz w:val="24"/>
          <w:szCs w:val="24"/>
        </w:rPr>
        <w:t xml:space="preserve">or </w:t>
      </w:r>
      <w:r w:rsidR="0061082D" w:rsidRPr="0061082D">
        <w:rPr>
          <w:rFonts w:ascii="Arial" w:eastAsia="Arial" w:hAnsi="Arial" w:cs="Arial"/>
          <w:sz w:val="24"/>
          <w:szCs w:val="24"/>
        </w:rPr>
        <w:t>safety device</w:t>
      </w:r>
      <w:r w:rsidR="00191586">
        <w:rPr>
          <w:rFonts w:ascii="Arial" w:eastAsia="Arial" w:hAnsi="Arial" w:cs="Arial"/>
          <w:sz w:val="24"/>
          <w:szCs w:val="24"/>
        </w:rPr>
        <w:t>s may be purchased.</w:t>
      </w:r>
    </w:p>
    <w:p w14:paraId="0CEA71FF" w14:textId="77777777" w:rsidR="0061082D" w:rsidRDefault="0061082D"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14:paraId="1923F11F" w14:textId="2CD41CCC" w:rsidR="00AD1965" w:rsidRDefault="00676CCF"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KCSO staff state</w:t>
      </w:r>
      <w:r w:rsidR="00D77C96">
        <w:rPr>
          <w:rFonts w:ascii="Arial" w:eastAsia="Arial" w:hAnsi="Arial" w:cs="Arial"/>
          <w:sz w:val="24"/>
          <w:szCs w:val="24"/>
        </w:rPr>
        <w:t xml:space="preserve"> that </w:t>
      </w:r>
      <w:r>
        <w:rPr>
          <w:rFonts w:ascii="Arial" w:eastAsia="Arial" w:hAnsi="Arial" w:cs="Arial"/>
          <w:sz w:val="24"/>
          <w:szCs w:val="24"/>
        </w:rPr>
        <w:t>they would require an additional 2</w:t>
      </w:r>
      <w:r w:rsidR="00760839">
        <w:rPr>
          <w:rFonts w:ascii="Arial" w:eastAsia="Arial" w:hAnsi="Arial" w:cs="Arial"/>
          <w:sz w:val="24"/>
          <w:szCs w:val="24"/>
        </w:rPr>
        <w:t>.0</w:t>
      </w:r>
      <w:r>
        <w:rPr>
          <w:rFonts w:ascii="Arial" w:eastAsia="Arial" w:hAnsi="Arial" w:cs="Arial"/>
          <w:sz w:val="24"/>
          <w:szCs w:val="24"/>
        </w:rPr>
        <w:t xml:space="preserve"> to 5</w:t>
      </w:r>
      <w:r w:rsidR="00760839">
        <w:rPr>
          <w:rFonts w:ascii="Arial" w:eastAsia="Arial" w:hAnsi="Arial" w:cs="Arial"/>
          <w:sz w:val="24"/>
          <w:szCs w:val="24"/>
        </w:rPr>
        <w:t>.0</w:t>
      </w:r>
      <w:r>
        <w:rPr>
          <w:rFonts w:ascii="Arial" w:eastAsia="Arial" w:hAnsi="Arial" w:cs="Arial"/>
          <w:sz w:val="24"/>
          <w:szCs w:val="24"/>
        </w:rPr>
        <w:t xml:space="preserve"> FTEs, </w:t>
      </w:r>
      <w:r w:rsidR="008F4CC0">
        <w:rPr>
          <w:rFonts w:ascii="Arial" w:eastAsia="Arial" w:hAnsi="Arial" w:cs="Arial"/>
          <w:sz w:val="24"/>
          <w:szCs w:val="24"/>
        </w:rPr>
        <w:t xml:space="preserve">depending on the enforcement approach, </w:t>
      </w:r>
      <w:r>
        <w:rPr>
          <w:rFonts w:ascii="Arial" w:eastAsia="Arial" w:hAnsi="Arial" w:cs="Arial"/>
          <w:sz w:val="24"/>
          <w:szCs w:val="24"/>
        </w:rPr>
        <w:t xml:space="preserve">to </w:t>
      </w:r>
      <w:r w:rsidR="00506248">
        <w:rPr>
          <w:rFonts w:ascii="Arial" w:eastAsia="Arial" w:hAnsi="Arial" w:cs="Arial"/>
          <w:sz w:val="24"/>
          <w:szCs w:val="24"/>
        </w:rPr>
        <w:t xml:space="preserve">enforce the proposed ordinance. </w:t>
      </w:r>
      <w:r>
        <w:rPr>
          <w:rFonts w:ascii="Arial" w:eastAsia="Arial" w:hAnsi="Arial" w:cs="Arial"/>
          <w:sz w:val="24"/>
          <w:szCs w:val="24"/>
        </w:rPr>
        <w:t xml:space="preserve">The Prosecuting Attorney’s Office (PAO) staff state that given the limited scope of the proposed ordinance to unincorporated King County, </w:t>
      </w:r>
      <w:r w:rsidR="00B16BB4">
        <w:rPr>
          <w:rFonts w:ascii="Arial" w:eastAsia="Arial" w:hAnsi="Arial" w:cs="Arial"/>
          <w:sz w:val="24"/>
          <w:szCs w:val="24"/>
        </w:rPr>
        <w:t xml:space="preserve">the </w:t>
      </w:r>
      <w:r>
        <w:rPr>
          <w:rFonts w:ascii="Arial" w:eastAsia="Arial" w:hAnsi="Arial" w:cs="Arial"/>
          <w:sz w:val="24"/>
          <w:szCs w:val="24"/>
        </w:rPr>
        <w:t>number of cases</w:t>
      </w:r>
      <w:r w:rsidR="00560037">
        <w:rPr>
          <w:rFonts w:ascii="Arial" w:eastAsia="Arial" w:hAnsi="Arial" w:cs="Arial"/>
          <w:sz w:val="24"/>
          <w:szCs w:val="24"/>
        </w:rPr>
        <w:t xml:space="preserve"> generated</w:t>
      </w:r>
      <w:r>
        <w:rPr>
          <w:rFonts w:ascii="Arial" w:eastAsia="Arial" w:hAnsi="Arial" w:cs="Arial"/>
          <w:sz w:val="24"/>
          <w:szCs w:val="24"/>
        </w:rPr>
        <w:t xml:space="preserve"> would </w:t>
      </w:r>
      <w:r w:rsidR="00560037">
        <w:rPr>
          <w:rFonts w:ascii="Arial" w:eastAsia="Arial" w:hAnsi="Arial" w:cs="Arial"/>
          <w:sz w:val="24"/>
          <w:szCs w:val="24"/>
        </w:rPr>
        <w:t xml:space="preserve">not require additional resources for </w:t>
      </w:r>
      <w:r w:rsidR="00B16BB4">
        <w:rPr>
          <w:rFonts w:ascii="Arial" w:eastAsia="Arial" w:hAnsi="Arial" w:cs="Arial"/>
          <w:sz w:val="24"/>
          <w:szCs w:val="24"/>
        </w:rPr>
        <w:t>the department</w:t>
      </w:r>
      <w:r w:rsidR="00560037">
        <w:rPr>
          <w:rFonts w:ascii="Arial" w:eastAsia="Arial" w:hAnsi="Arial" w:cs="Arial"/>
          <w:sz w:val="24"/>
          <w:szCs w:val="24"/>
        </w:rPr>
        <w:t>.</w:t>
      </w:r>
      <w:r w:rsidR="00506248">
        <w:rPr>
          <w:rFonts w:ascii="Arial" w:eastAsia="Arial" w:hAnsi="Arial" w:cs="Arial"/>
          <w:sz w:val="24"/>
          <w:szCs w:val="24"/>
        </w:rPr>
        <w:t xml:space="preserve"> </w:t>
      </w:r>
    </w:p>
    <w:p w14:paraId="12E5EF8E" w14:textId="77777777" w:rsidR="00AD1965" w:rsidRDefault="00AD1965"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14:paraId="1A23E465" w14:textId="4CF6A3C8" w:rsidR="00506248" w:rsidRDefault="008F4CC0"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 xml:space="preserve">KSCO staff also state that the proposed ordinance may have disproportionate negative impacts to low-income individuals and persons of color due to costs associated with the proposed ordinance. </w:t>
      </w:r>
      <w:r w:rsidR="00262096">
        <w:rPr>
          <w:rFonts w:ascii="Arial" w:eastAsia="Arial" w:hAnsi="Arial" w:cs="Arial"/>
          <w:sz w:val="24"/>
          <w:szCs w:val="24"/>
        </w:rPr>
        <w:t>Moreover, s</w:t>
      </w:r>
      <w:r w:rsidR="00506248">
        <w:rPr>
          <w:rFonts w:ascii="Arial" w:eastAsia="Arial" w:hAnsi="Arial" w:cs="Arial"/>
          <w:sz w:val="24"/>
          <w:szCs w:val="24"/>
        </w:rPr>
        <w:t>tudies indicate f</w:t>
      </w:r>
      <w:r w:rsidR="00506248" w:rsidRPr="00506248">
        <w:rPr>
          <w:rFonts w:ascii="Arial" w:eastAsia="Arial" w:hAnsi="Arial" w:cs="Arial"/>
          <w:sz w:val="24"/>
          <w:szCs w:val="24"/>
        </w:rPr>
        <w:t xml:space="preserve">irearm </w:t>
      </w:r>
      <w:r w:rsidR="00506248">
        <w:rPr>
          <w:rFonts w:ascii="Arial" w:eastAsia="Arial" w:hAnsi="Arial" w:cs="Arial"/>
          <w:sz w:val="24"/>
          <w:szCs w:val="24"/>
        </w:rPr>
        <w:t>violence from homicide</w:t>
      </w:r>
      <w:r w:rsidR="00506248" w:rsidRPr="00506248">
        <w:rPr>
          <w:rFonts w:ascii="Arial" w:eastAsia="Arial" w:hAnsi="Arial" w:cs="Arial"/>
          <w:sz w:val="24"/>
          <w:szCs w:val="24"/>
        </w:rPr>
        <w:t xml:space="preserve"> disproportionate</w:t>
      </w:r>
      <w:r>
        <w:rPr>
          <w:rFonts w:ascii="Arial" w:eastAsia="Arial" w:hAnsi="Arial" w:cs="Arial"/>
          <w:sz w:val="24"/>
          <w:szCs w:val="24"/>
        </w:rPr>
        <w:t>ly</w:t>
      </w:r>
      <w:r w:rsidR="00506248" w:rsidRPr="00506248">
        <w:rPr>
          <w:rFonts w:ascii="Arial" w:eastAsia="Arial" w:hAnsi="Arial" w:cs="Arial"/>
          <w:sz w:val="24"/>
          <w:szCs w:val="24"/>
        </w:rPr>
        <w:t xml:space="preserve"> impact communities of color and children of color</w:t>
      </w:r>
      <w:r w:rsidR="00506248">
        <w:rPr>
          <w:rFonts w:ascii="Arial" w:eastAsia="Arial" w:hAnsi="Arial" w:cs="Arial"/>
          <w:sz w:val="24"/>
          <w:szCs w:val="24"/>
        </w:rPr>
        <w:t>. Relatedly, the King County Determinants of Equity report states that</w:t>
      </w:r>
      <w:r w:rsidR="00AD1965">
        <w:rPr>
          <w:rFonts w:ascii="Arial" w:eastAsia="Arial" w:hAnsi="Arial" w:cs="Arial"/>
          <w:sz w:val="24"/>
          <w:szCs w:val="24"/>
        </w:rPr>
        <w:t xml:space="preserve"> in King County, </w:t>
      </w:r>
      <w:r w:rsidR="00506248">
        <w:rPr>
          <w:rFonts w:ascii="Arial" w:eastAsia="Arial" w:hAnsi="Arial" w:cs="Arial"/>
          <w:sz w:val="24"/>
          <w:szCs w:val="24"/>
        </w:rPr>
        <w:t>incarcerations rates are disproportionately higher for Black</w:t>
      </w:r>
      <w:r w:rsidR="00AD1965">
        <w:rPr>
          <w:rFonts w:ascii="Arial" w:eastAsia="Arial" w:hAnsi="Arial" w:cs="Arial"/>
          <w:sz w:val="24"/>
          <w:szCs w:val="24"/>
        </w:rPr>
        <w:t>/African American</w:t>
      </w:r>
      <w:r w:rsidR="00506248">
        <w:rPr>
          <w:rFonts w:ascii="Arial" w:eastAsia="Arial" w:hAnsi="Arial" w:cs="Arial"/>
          <w:sz w:val="24"/>
          <w:szCs w:val="24"/>
        </w:rPr>
        <w:t xml:space="preserve"> adults and youth</w:t>
      </w:r>
      <w:r w:rsidR="00AD1965">
        <w:rPr>
          <w:rFonts w:ascii="Arial" w:eastAsia="Arial" w:hAnsi="Arial" w:cs="Arial"/>
          <w:sz w:val="24"/>
          <w:szCs w:val="24"/>
        </w:rPr>
        <w:t>s</w:t>
      </w:r>
      <w:r w:rsidR="00506248">
        <w:rPr>
          <w:rFonts w:ascii="Arial" w:eastAsia="Arial" w:hAnsi="Arial" w:cs="Arial"/>
          <w:sz w:val="24"/>
          <w:szCs w:val="24"/>
        </w:rPr>
        <w:t>.</w:t>
      </w:r>
    </w:p>
    <w:p w14:paraId="6DFDA6F1" w14:textId="77777777" w:rsidR="00506248" w:rsidRDefault="00506248"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14:paraId="36FA6ADB" w14:textId="77777777" w:rsidR="00676CCF" w:rsidRDefault="00676CCF" w:rsidP="00D07AD8">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 xml:space="preserve">Amendment 1 has been </w:t>
      </w:r>
      <w:r w:rsidR="00560037">
        <w:rPr>
          <w:rFonts w:ascii="Arial" w:eastAsia="Arial" w:hAnsi="Arial" w:cs="Arial"/>
          <w:sz w:val="24"/>
          <w:szCs w:val="24"/>
        </w:rPr>
        <w:t xml:space="preserve">prepared to correct an ambiguity in </w:t>
      </w:r>
      <w:r w:rsidR="00560037" w:rsidRPr="00560037">
        <w:rPr>
          <w:rFonts w:ascii="Arial" w:eastAsia="Arial" w:hAnsi="Arial" w:cs="Arial"/>
          <w:sz w:val="24"/>
          <w:szCs w:val="24"/>
        </w:rPr>
        <w:t>secti</w:t>
      </w:r>
      <w:r w:rsidR="00560037">
        <w:rPr>
          <w:rFonts w:ascii="Arial" w:eastAsia="Arial" w:hAnsi="Arial" w:cs="Arial"/>
          <w:sz w:val="24"/>
          <w:szCs w:val="24"/>
        </w:rPr>
        <w:t xml:space="preserve">on 4 of the proposed ordinance </w:t>
      </w:r>
      <w:r w:rsidR="00560037" w:rsidRPr="00560037">
        <w:rPr>
          <w:rFonts w:ascii="Arial" w:eastAsia="Arial" w:hAnsi="Arial" w:cs="Arial"/>
          <w:sz w:val="24"/>
          <w:szCs w:val="24"/>
        </w:rPr>
        <w:t xml:space="preserve">to state that a violation would result in a fine </w:t>
      </w:r>
      <w:r w:rsidR="00560037" w:rsidRPr="00560037">
        <w:rPr>
          <w:rFonts w:ascii="Arial" w:eastAsia="Arial" w:hAnsi="Arial" w:cs="Arial"/>
          <w:sz w:val="24"/>
          <w:szCs w:val="24"/>
          <w:u w:val="single"/>
        </w:rPr>
        <w:t>or</w:t>
      </w:r>
      <w:r w:rsidR="00947760">
        <w:rPr>
          <w:rFonts w:ascii="Arial" w:eastAsia="Arial" w:hAnsi="Arial" w:cs="Arial"/>
          <w:sz w:val="24"/>
          <w:szCs w:val="24"/>
        </w:rPr>
        <w:t xml:space="preserve"> imprisonment or both, which </w:t>
      </w:r>
      <w:r w:rsidR="004152FF">
        <w:rPr>
          <w:rFonts w:ascii="Arial" w:eastAsia="Arial" w:hAnsi="Arial" w:cs="Arial"/>
          <w:sz w:val="24"/>
          <w:szCs w:val="24"/>
        </w:rPr>
        <w:t>would align with</w:t>
      </w:r>
      <w:r w:rsidR="00560037" w:rsidRPr="00560037">
        <w:rPr>
          <w:rFonts w:ascii="Arial" w:eastAsia="Arial" w:hAnsi="Arial" w:cs="Arial"/>
          <w:sz w:val="24"/>
          <w:szCs w:val="24"/>
        </w:rPr>
        <w:t xml:space="preserve"> the sponsor’s intent of the proposed ordinance.</w:t>
      </w:r>
    </w:p>
    <w:p w14:paraId="3FE21E6A" w14:textId="77777777" w:rsidR="00506248" w:rsidRDefault="00506248" w:rsidP="00340006">
      <w:pPr>
        <w:jc w:val="both"/>
        <w:rPr>
          <w:rFonts w:ascii="Arial" w:hAnsi="Arial" w:cs="Arial"/>
          <w:b/>
          <w:smallCaps/>
          <w:sz w:val="24"/>
          <w:szCs w:val="24"/>
          <w:u w:val="single"/>
        </w:rPr>
      </w:pPr>
    </w:p>
    <w:p w14:paraId="60B58D97" w14:textId="77777777" w:rsidR="00271050" w:rsidRDefault="00506248" w:rsidP="00340006">
      <w:pPr>
        <w:jc w:val="both"/>
        <w:rPr>
          <w:rFonts w:ascii="Arial" w:hAnsi="Arial" w:cs="Arial"/>
          <w:b/>
          <w:smallCaps/>
          <w:sz w:val="24"/>
          <w:szCs w:val="24"/>
          <w:u w:val="single"/>
        </w:rPr>
      </w:pPr>
      <w:r>
        <w:rPr>
          <w:rFonts w:ascii="Arial" w:hAnsi="Arial" w:cs="Arial"/>
          <w:b/>
          <w:smallCaps/>
          <w:sz w:val="24"/>
          <w:szCs w:val="24"/>
          <w:u w:val="single"/>
        </w:rPr>
        <w:t>BACKGROUND</w:t>
      </w:r>
    </w:p>
    <w:p w14:paraId="3005C5D4" w14:textId="77777777" w:rsidR="00340006" w:rsidRPr="00340006" w:rsidRDefault="00340006" w:rsidP="00340006">
      <w:pPr>
        <w:jc w:val="both"/>
        <w:rPr>
          <w:rFonts w:ascii="Arial" w:hAnsi="Arial" w:cs="Arial"/>
          <w:b/>
          <w:smallCaps/>
          <w:sz w:val="24"/>
          <w:szCs w:val="24"/>
          <w:u w:val="single"/>
        </w:rPr>
      </w:pPr>
    </w:p>
    <w:p w14:paraId="68832609" w14:textId="77777777" w:rsidR="00271050" w:rsidRPr="00A63381" w:rsidRDefault="004D7768" w:rsidP="00271050">
      <w:pPr>
        <w:tabs>
          <w:tab w:val="left" w:pos="720"/>
          <w:tab w:val="left" w:pos="1440"/>
          <w:tab w:val="left" w:pos="2160"/>
          <w:tab w:val="left" w:pos="2880"/>
          <w:tab w:val="left" w:pos="3600"/>
          <w:tab w:val="left" w:pos="4320"/>
          <w:tab w:val="left" w:pos="5040"/>
          <w:tab w:val="left" w:pos="5760"/>
        </w:tabs>
        <w:jc w:val="both"/>
        <w:rPr>
          <w:rFonts w:ascii="Arial" w:hAnsi="Arial" w:cs="Arial"/>
          <w:b/>
          <w:i/>
          <w:sz w:val="24"/>
          <w:szCs w:val="24"/>
        </w:rPr>
      </w:pPr>
      <w:r>
        <w:rPr>
          <w:rFonts w:ascii="Arial" w:hAnsi="Arial" w:cs="Arial"/>
          <w:b/>
          <w:i/>
          <w:sz w:val="24"/>
          <w:szCs w:val="24"/>
        </w:rPr>
        <w:t xml:space="preserve">Firearm Death and </w:t>
      </w:r>
      <w:r w:rsidR="00D95549">
        <w:rPr>
          <w:rFonts w:ascii="Arial" w:hAnsi="Arial" w:cs="Arial"/>
          <w:b/>
          <w:i/>
          <w:sz w:val="24"/>
          <w:szCs w:val="24"/>
        </w:rPr>
        <w:t>Injuries</w:t>
      </w:r>
    </w:p>
    <w:p w14:paraId="0A57272D" w14:textId="77777777" w:rsidR="00271050" w:rsidRDefault="00271050" w:rsidP="00271050">
      <w:pPr>
        <w:autoSpaceDE w:val="0"/>
        <w:autoSpaceDN w:val="0"/>
        <w:adjustRightInd w:val="0"/>
        <w:jc w:val="both"/>
        <w:rPr>
          <w:rFonts w:ascii="Arial" w:hAnsi="Arial" w:cs="Arial"/>
          <w:sz w:val="24"/>
          <w:szCs w:val="24"/>
        </w:rPr>
      </w:pPr>
      <w:r w:rsidRPr="00196D48">
        <w:rPr>
          <w:rFonts w:ascii="Arial" w:hAnsi="Arial" w:cs="Arial"/>
          <w:sz w:val="24"/>
          <w:szCs w:val="24"/>
        </w:rPr>
        <w:t>In 2018, through August</w:t>
      </w:r>
      <w:r w:rsidR="00850A06">
        <w:rPr>
          <w:rFonts w:ascii="Arial" w:hAnsi="Arial" w:cs="Arial"/>
          <w:sz w:val="24"/>
          <w:szCs w:val="24"/>
        </w:rPr>
        <w:t xml:space="preserve"> </w:t>
      </w:r>
      <w:r w:rsidRPr="00196D48">
        <w:rPr>
          <w:rFonts w:ascii="Arial" w:hAnsi="Arial" w:cs="Arial"/>
          <w:sz w:val="24"/>
          <w:szCs w:val="24"/>
        </w:rPr>
        <w:t xml:space="preserve">2018, there have been 39,436 incidents of gun violence nationally, including 9,882 firearms related deaths in the United States, which averages to about </w:t>
      </w:r>
      <w:r>
        <w:rPr>
          <w:rFonts w:ascii="Arial" w:hAnsi="Arial" w:cs="Arial"/>
          <w:sz w:val="24"/>
          <w:szCs w:val="24"/>
        </w:rPr>
        <w:t>40</w:t>
      </w:r>
      <w:r w:rsidRPr="00196D48">
        <w:rPr>
          <w:rFonts w:ascii="Arial" w:hAnsi="Arial" w:cs="Arial"/>
          <w:sz w:val="24"/>
          <w:szCs w:val="24"/>
        </w:rPr>
        <w:t xml:space="preserve"> gun related deaths per day.</w:t>
      </w:r>
      <w:r w:rsidRPr="00196D48">
        <w:rPr>
          <w:rStyle w:val="FootnoteReference"/>
          <w:rFonts w:ascii="Arial" w:hAnsi="Arial" w:cs="Arial"/>
          <w:sz w:val="24"/>
          <w:szCs w:val="24"/>
        </w:rPr>
        <w:footnoteReference w:id="1"/>
      </w:r>
      <w:r>
        <w:rPr>
          <w:rFonts w:ascii="Arial" w:hAnsi="Arial" w:cs="Arial"/>
          <w:sz w:val="24"/>
          <w:szCs w:val="24"/>
        </w:rPr>
        <w:t xml:space="preserve"> </w:t>
      </w:r>
      <w:r w:rsidRPr="00196D48">
        <w:rPr>
          <w:rFonts w:ascii="Arial" w:hAnsi="Arial" w:cs="Arial"/>
          <w:sz w:val="24"/>
          <w:szCs w:val="24"/>
        </w:rPr>
        <w:t>Since January 2013, there have been 25 mass shootings that have occurred in Washington State, that have resulted in 47 persons being killed and 71</w:t>
      </w:r>
      <w:r>
        <w:rPr>
          <w:rFonts w:ascii="Arial" w:hAnsi="Arial" w:cs="Arial"/>
          <w:sz w:val="24"/>
          <w:szCs w:val="24"/>
        </w:rPr>
        <w:t xml:space="preserve"> being wounded</w:t>
      </w:r>
      <w:r w:rsidRPr="00196D48">
        <w:rPr>
          <w:rFonts w:ascii="Arial" w:hAnsi="Arial" w:cs="Arial"/>
          <w:sz w:val="24"/>
          <w:szCs w:val="24"/>
        </w:rPr>
        <w:t>.</w:t>
      </w:r>
      <w:r w:rsidRPr="00196D48">
        <w:rPr>
          <w:rStyle w:val="FootnoteReference"/>
          <w:rFonts w:ascii="Arial" w:hAnsi="Arial" w:cs="Arial"/>
          <w:sz w:val="24"/>
          <w:szCs w:val="24"/>
        </w:rPr>
        <w:t xml:space="preserve"> </w:t>
      </w:r>
      <w:r w:rsidRPr="00196D48">
        <w:rPr>
          <w:rStyle w:val="FootnoteReference"/>
          <w:rFonts w:ascii="Arial" w:hAnsi="Arial" w:cs="Arial"/>
          <w:sz w:val="24"/>
          <w:szCs w:val="24"/>
        </w:rPr>
        <w:footnoteReference w:id="2"/>
      </w:r>
    </w:p>
    <w:p w14:paraId="4C869F25" w14:textId="77777777" w:rsidR="00271050" w:rsidRDefault="00271050" w:rsidP="00271050">
      <w:pPr>
        <w:autoSpaceDE w:val="0"/>
        <w:autoSpaceDN w:val="0"/>
        <w:adjustRightInd w:val="0"/>
        <w:jc w:val="both"/>
        <w:rPr>
          <w:rFonts w:ascii="Arial" w:hAnsi="Arial" w:cs="Arial"/>
          <w:sz w:val="24"/>
          <w:szCs w:val="24"/>
        </w:rPr>
      </w:pPr>
    </w:p>
    <w:p w14:paraId="63943850" w14:textId="278CA531" w:rsidR="00271050" w:rsidRDefault="00271050" w:rsidP="00271050">
      <w:pPr>
        <w:autoSpaceDE w:val="0"/>
        <w:autoSpaceDN w:val="0"/>
        <w:adjustRightInd w:val="0"/>
        <w:jc w:val="both"/>
        <w:rPr>
          <w:rFonts w:ascii="Arial" w:hAnsi="Arial" w:cs="Arial"/>
          <w:sz w:val="24"/>
          <w:szCs w:val="24"/>
        </w:rPr>
      </w:pPr>
      <w:r w:rsidRPr="00A63381">
        <w:rPr>
          <w:rFonts w:ascii="Arial" w:hAnsi="Arial" w:cs="Arial"/>
          <w:sz w:val="24"/>
          <w:szCs w:val="24"/>
        </w:rPr>
        <w:t>T</w:t>
      </w:r>
      <w:r w:rsidR="00850A06">
        <w:rPr>
          <w:rFonts w:ascii="Arial" w:hAnsi="Arial" w:cs="Arial"/>
          <w:sz w:val="24"/>
          <w:szCs w:val="24"/>
        </w:rPr>
        <w:t xml:space="preserve">he </w:t>
      </w:r>
      <w:r w:rsidR="00033AEA">
        <w:rPr>
          <w:rFonts w:ascii="Arial" w:hAnsi="Arial" w:cs="Arial"/>
          <w:sz w:val="24"/>
          <w:szCs w:val="24"/>
        </w:rPr>
        <w:t xml:space="preserve">latest </w:t>
      </w:r>
      <w:r w:rsidR="00850A06">
        <w:rPr>
          <w:rFonts w:ascii="Arial" w:hAnsi="Arial" w:cs="Arial"/>
          <w:sz w:val="24"/>
          <w:szCs w:val="24"/>
        </w:rPr>
        <w:t>Washington S</w:t>
      </w:r>
      <w:r w:rsidRPr="00A63381">
        <w:rPr>
          <w:rFonts w:ascii="Arial" w:hAnsi="Arial" w:cs="Arial"/>
          <w:sz w:val="24"/>
          <w:szCs w:val="24"/>
        </w:rPr>
        <w:t xml:space="preserve">tate Department of Health </w:t>
      </w:r>
      <w:r w:rsidR="00850A06">
        <w:rPr>
          <w:rFonts w:ascii="Arial" w:hAnsi="Arial" w:cs="Arial"/>
          <w:sz w:val="24"/>
          <w:szCs w:val="24"/>
        </w:rPr>
        <w:t xml:space="preserve">(WSDOH) </w:t>
      </w:r>
      <w:r w:rsidRPr="00A63381">
        <w:rPr>
          <w:rFonts w:ascii="Arial" w:hAnsi="Arial" w:cs="Arial"/>
          <w:sz w:val="24"/>
          <w:szCs w:val="24"/>
        </w:rPr>
        <w:t xml:space="preserve">data show that in 2015, firearms were the third leading cause of injury-related death in </w:t>
      </w:r>
      <w:r>
        <w:rPr>
          <w:rFonts w:ascii="Arial" w:hAnsi="Arial" w:cs="Arial"/>
          <w:sz w:val="24"/>
          <w:szCs w:val="24"/>
        </w:rPr>
        <w:t>the</w:t>
      </w:r>
      <w:r w:rsidRPr="00A63381">
        <w:rPr>
          <w:rFonts w:ascii="Arial" w:hAnsi="Arial" w:cs="Arial"/>
          <w:sz w:val="24"/>
          <w:szCs w:val="24"/>
        </w:rPr>
        <w:t xml:space="preserve"> state, killing approximately </w:t>
      </w:r>
      <w:r>
        <w:rPr>
          <w:rFonts w:ascii="Arial" w:hAnsi="Arial" w:cs="Arial"/>
          <w:sz w:val="24"/>
          <w:szCs w:val="24"/>
        </w:rPr>
        <w:t xml:space="preserve">714 Washington residents. </w:t>
      </w:r>
      <w:r w:rsidRPr="00A63381">
        <w:rPr>
          <w:rFonts w:ascii="Arial" w:hAnsi="Arial" w:cs="Arial"/>
          <w:sz w:val="24"/>
          <w:szCs w:val="24"/>
        </w:rPr>
        <w:t xml:space="preserve">Of these firearm deaths, </w:t>
      </w:r>
      <w:r>
        <w:rPr>
          <w:rFonts w:ascii="Arial" w:hAnsi="Arial" w:cs="Arial"/>
          <w:sz w:val="24"/>
          <w:szCs w:val="24"/>
        </w:rPr>
        <w:t>75</w:t>
      </w:r>
      <w:r w:rsidRPr="00A63381">
        <w:rPr>
          <w:rFonts w:ascii="Arial" w:hAnsi="Arial" w:cs="Arial"/>
          <w:sz w:val="24"/>
          <w:szCs w:val="24"/>
        </w:rPr>
        <w:t xml:space="preserve"> percent were suicides and firearm suicides accounted for </w:t>
      </w:r>
      <w:r>
        <w:rPr>
          <w:rFonts w:ascii="Arial" w:hAnsi="Arial" w:cs="Arial"/>
          <w:sz w:val="24"/>
          <w:szCs w:val="24"/>
        </w:rPr>
        <w:t>47</w:t>
      </w:r>
      <w:r w:rsidRPr="00A63381">
        <w:rPr>
          <w:rFonts w:ascii="Arial" w:hAnsi="Arial" w:cs="Arial"/>
          <w:sz w:val="24"/>
          <w:szCs w:val="24"/>
        </w:rPr>
        <w:t xml:space="preserve"> percent of all suicide</w:t>
      </w:r>
      <w:r>
        <w:rPr>
          <w:rFonts w:ascii="Arial" w:hAnsi="Arial" w:cs="Arial"/>
          <w:sz w:val="24"/>
          <w:szCs w:val="24"/>
        </w:rPr>
        <w:t xml:space="preserve">s in the state in 2015. </w:t>
      </w:r>
      <w:r w:rsidRPr="00A63381">
        <w:rPr>
          <w:rFonts w:ascii="Arial" w:hAnsi="Arial" w:cs="Arial"/>
          <w:sz w:val="24"/>
          <w:szCs w:val="24"/>
        </w:rPr>
        <w:t xml:space="preserve">During the same period, </w:t>
      </w:r>
      <w:r>
        <w:rPr>
          <w:rFonts w:ascii="Arial" w:hAnsi="Arial" w:cs="Arial"/>
          <w:sz w:val="24"/>
          <w:szCs w:val="24"/>
        </w:rPr>
        <w:t>146</w:t>
      </w:r>
      <w:r w:rsidRPr="00A63381">
        <w:rPr>
          <w:rFonts w:ascii="Arial" w:hAnsi="Arial" w:cs="Arial"/>
          <w:sz w:val="24"/>
          <w:szCs w:val="24"/>
        </w:rPr>
        <w:t xml:space="preserve"> King County residents died from a firearm injury, including </w:t>
      </w:r>
      <w:r>
        <w:rPr>
          <w:rFonts w:ascii="Arial" w:hAnsi="Arial" w:cs="Arial"/>
          <w:sz w:val="24"/>
          <w:szCs w:val="24"/>
        </w:rPr>
        <w:t>6</w:t>
      </w:r>
      <w:r w:rsidRPr="00A63381">
        <w:rPr>
          <w:rFonts w:ascii="Arial" w:hAnsi="Arial" w:cs="Arial"/>
          <w:sz w:val="24"/>
          <w:szCs w:val="24"/>
        </w:rPr>
        <w:t xml:space="preserve"> youth </w:t>
      </w:r>
      <w:r w:rsidR="00850A06">
        <w:rPr>
          <w:rFonts w:ascii="Arial" w:hAnsi="Arial" w:cs="Arial"/>
          <w:sz w:val="24"/>
          <w:szCs w:val="24"/>
        </w:rPr>
        <w:t xml:space="preserve">ranging in </w:t>
      </w:r>
      <w:r w:rsidRPr="00A63381">
        <w:rPr>
          <w:rFonts w:ascii="Arial" w:hAnsi="Arial" w:cs="Arial"/>
          <w:sz w:val="24"/>
          <w:szCs w:val="24"/>
        </w:rPr>
        <w:t xml:space="preserve">age </w:t>
      </w:r>
      <w:r w:rsidR="00850A06">
        <w:rPr>
          <w:rFonts w:ascii="Arial" w:hAnsi="Arial" w:cs="Arial"/>
          <w:sz w:val="24"/>
          <w:szCs w:val="24"/>
        </w:rPr>
        <w:t xml:space="preserve">of </w:t>
      </w:r>
      <w:r w:rsidRPr="00A63381">
        <w:rPr>
          <w:rFonts w:ascii="Arial" w:hAnsi="Arial" w:cs="Arial"/>
          <w:sz w:val="24"/>
          <w:szCs w:val="24"/>
        </w:rPr>
        <w:t>seventeen and younger.</w:t>
      </w:r>
      <w:r>
        <w:rPr>
          <w:rFonts w:ascii="Arial" w:hAnsi="Arial" w:cs="Arial"/>
          <w:sz w:val="24"/>
          <w:szCs w:val="24"/>
        </w:rPr>
        <w:t xml:space="preserve"> </w:t>
      </w:r>
      <w:r w:rsidR="00850A06">
        <w:rPr>
          <w:rFonts w:ascii="Arial" w:hAnsi="Arial" w:cs="Arial"/>
          <w:sz w:val="24"/>
          <w:szCs w:val="24"/>
        </w:rPr>
        <w:t>In addition, a</w:t>
      </w:r>
      <w:r w:rsidRPr="00A63381">
        <w:rPr>
          <w:rFonts w:ascii="Arial" w:hAnsi="Arial" w:cs="Arial"/>
          <w:sz w:val="24"/>
          <w:szCs w:val="24"/>
        </w:rPr>
        <w:t xml:space="preserve">ccording to the 2015 Washington Association of Sheriffs and Police Chiefs Annual Report, </w:t>
      </w:r>
      <w:r>
        <w:rPr>
          <w:rFonts w:ascii="Arial" w:hAnsi="Arial" w:cs="Arial"/>
          <w:sz w:val="24"/>
          <w:szCs w:val="24"/>
        </w:rPr>
        <w:t>62</w:t>
      </w:r>
      <w:r w:rsidRPr="00A63381">
        <w:rPr>
          <w:rFonts w:ascii="Arial" w:hAnsi="Arial" w:cs="Arial"/>
          <w:sz w:val="24"/>
          <w:szCs w:val="24"/>
        </w:rPr>
        <w:t xml:space="preserve"> perc</w:t>
      </w:r>
      <w:r w:rsidR="00850A06">
        <w:rPr>
          <w:rFonts w:ascii="Arial" w:hAnsi="Arial" w:cs="Arial"/>
          <w:sz w:val="24"/>
          <w:szCs w:val="24"/>
        </w:rPr>
        <w:t>ent of homicides in Washington S</w:t>
      </w:r>
      <w:r w:rsidRPr="00A63381">
        <w:rPr>
          <w:rFonts w:ascii="Arial" w:hAnsi="Arial" w:cs="Arial"/>
          <w:sz w:val="24"/>
          <w:szCs w:val="24"/>
        </w:rPr>
        <w:t>tate were committed with firearms.</w:t>
      </w:r>
      <w:r w:rsidR="00E02ADC">
        <w:rPr>
          <w:rStyle w:val="FootnoteReference"/>
          <w:rFonts w:ascii="Arial" w:hAnsi="Arial" w:cs="Arial"/>
          <w:sz w:val="24"/>
          <w:szCs w:val="24"/>
        </w:rPr>
        <w:footnoteReference w:id="3"/>
      </w:r>
    </w:p>
    <w:p w14:paraId="48414827" w14:textId="77777777" w:rsidR="005A66FF" w:rsidRDefault="005A66FF" w:rsidP="005A66FF">
      <w:pPr>
        <w:autoSpaceDE w:val="0"/>
        <w:autoSpaceDN w:val="0"/>
        <w:adjustRightInd w:val="0"/>
        <w:jc w:val="both"/>
        <w:rPr>
          <w:rFonts w:ascii="Arial" w:hAnsi="Arial" w:cs="Arial"/>
          <w:sz w:val="24"/>
          <w:szCs w:val="24"/>
        </w:rPr>
      </w:pPr>
    </w:p>
    <w:p w14:paraId="0B79DA03" w14:textId="77777777" w:rsidR="005A66FF" w:rsidRDefault="005A66FF" w:rsidP="005A66FF">
      <w:pPr>
        <w:autoSpaceDE w:val="0"/>
        <w:autoSpaceDN w:val="0"/>
        <w:adjustRightInd w:val="0"/>
        <w:jc w:val="both"/>
        <w:rPr>
          <w:rFonts w:ascii="Arial" w:hAnsi="Arial" w:cs="Arial"/>
          <w:sz w:val="24"/>
          <w:szCs w:val="24"/>
        </w:rPr>
      </w:pPr>
      <w:r w:rsidRPr="00196D48">
        <w:rPr>
          <w:rFonts w:ascii="Arial" w:hAnsi="Arial" w:cs="Arial"/>
          <w:sz w:val="24"/>
          <w:szCs w:val="24"/>
        </w:rPr>
        <w:t xml:space="preserve">According to the Pacific Northwest Suicide Resource Center, firearms were the leading method of suicide for both males and females in the </w:t>
      </w:r>
      <w:r>
        <w:rPr>
          <w:rFonts w:ascii="Arial" w:hAnsi="Arial" w:cs="Arial"/>
          <w:sz w:val="24"/>
          <w:szCs w:val="24"/>
        </w:rPr>
        <w:t>United States</w:t>
      </w:r>
      <w:r w:rsidRPr="00196D48">
        <w:rPr>
          <w:rFonts w:ascii="Arial" w:hAnsi="Arial" w:cs="Arial"/>
          <w:sz w:val="24"/>
          <w:szCs w:val="24"/>
        </w:rPr>
        <w:t xml:space="preserve"> and, despite having a much lower suicide rate overall, the firearm </w:t>
      </w:r>
      <w:r>
        <w:rPr>
          <w:rFonts w:ascii="Arial" w:hAnsi="Arial" w:cs="Arial"/>
          <w:sz w:val="24"/>
          <w:szCs w:val="24"/>
        </w:rPr>
        <w:t>suicide rate in the United States</w:t>
      </w:r>
      <w:r w:rsidRPr="00196D48">
        <w:rPr>
          <w:rFonts w:ascii="Arial" w:hAnsi="Arial" w:cs="Arial"/>
          <w:sz w:val="24"/>
          <w:szCs w:val="24"/>
        </w:rPr>
        <w:t xml:space="preserve"> is six times that o</w:t>
      </w:r>
      <w:r>
        <w:rPr>
          <w:rFonts w:ascii="Arial" w:hAnsi="Arial" w:cs="Arial"/>
          <w:sz w:val="24"/>
          <w:szCs w:val="24"/>
        </w:rPr>
        <w:t xml:space="preserve">f other high-income countries. </w:t>
      </w:r>
      <w:r w:rsidRPr="00196D48">
        <w:rPr>
          <w:rFonts w:ascii="Arial" w:hAnsi="Arial" w:cs="Arial"/>
          <w:sz w:val="24"/>
          <w:szCs w:val="24"/>
        </w:rPr>
        <w:t>The Center also notes that the King County suicide</w:t>
      </w:r>
      <w:r>
        <w:rPr>
          <w:rFonts w:ascii="Arial" w:hAnsi="Arial" w:cs="Arial"/>
          <w:sz w:val="24"/>
          <w:szCs w:val="24"/>
        </w:rPr>
        <w:t xml:space="preserve"> rate has increased by about 18 percent</w:t>
      </w:r>
      <w:r w:rsidRPr="00196D48">
        <w:rPr>
          <w:rFonts w:ascii="Arial" w:hAnsi="Arial" w:cs="Arial"/>
          <w:sz w:val="24"/>
          <w:szCs w:val="24"/>
        </w:rPr>
        <w:t xml:space="preserve"> in the last decade.</w:t>
      </w:r>
      <w:r w:rsidRPr="00196D48">
        <w:rPr>
          <w:rStyle w:val="FootnoteReference"/>
          <w:rFonts w:ascii="Arial" w:hAnsi="Arial" w:cs="Arial"/>
          <w:sz w:val="24"/>
          <w:szCs w:val="24"/>
        </w:rPr>
        <w:footnoteReference w:id="4"/>
      </w:r>
    </w:p>
    <w:p w14:paraId="5CAD5066" w14:textId="77777777" w:rsidR="002B23CB" w:rsidRDefault="002B23CB" w:rsidP="002B23CB">
      <w:pPr>
        <w:autoSpaceDE w:val="0"/>
        <w:autoSpaceDN w:val="0"/>
        <w:adjustRightInd w:val="0"/>
        <w:jc w:val="both"/>
        <w:rPr>
          <w:rFonts w:ascii="Arial" w:hAnsi="Arial" w:cs="Arial"/>
          <w:sz w:val="24"/>
          <w:szCs w:val="24"/>
        </w:rPr>
      </w:pPr>
    </w:p>
    <w:p w14:paraId="7FF23271" w14:textId="77777777" w:rsidR="002B23CB" w:rsidRPr="00196D48" w:rsidRDefault="002B23CB" w:rsidP="005A66FF">
      <w:pPr>
        <w:autoSpaceDE w:val="0"/>
        <w:autoSpaceDN w:val="0"/>
        <w:adjustRightInd w:val="0"/>
        <w:jc w:val="both"/>
        <w:rPr>
          <w:rFonts w:ascii="Arial" w:hAnsi="Arial" w:cs="Arial"/>
          <w:sz w:val="24"/>
          <w:szCs w:val="24"/>
        </w:rPr>
      </w:pPr>
      <w:r w:rsidRPr="00850A06">
        <w:rPr>
          <w:rFonts w:ascii="Arial" w:hAnsi="Arial" w:cs="Arial"/>
          <w:sz w:val="24"/>
          <w:szCs w:val="24"/>
        </w:rPr>
        <w:lastRenderedPageBreak/>
        <w:t xml:space="preserve">The </w:t>
      </w:r>
      <w:r>
        <w:rPr>
          <w:rFonts w:ascii="Arial" w:hAnsi="Arial" w:cs="Arial"/>
          <w:sz w:val="24"/>
          <w:szCs w:val="24"/>
        </w:rPr>
        <w:t>WSDOH</w:t>
      </w:r>
      <w:r w:rsidRPr="00850A06">
        <w:rPr>
          <w:rFonts w:ascii="Arial" w:hAnsi="Arial" w:cs="Arial"/>
          <w:sz w:val="24"/>
          <w:szCs w:val="24"/>
        </w:rPr>
        <w:t xml:space="preserve"> data also indicate that </w:t>
      </w:r>
      <w:r>
        <w:rPr>
          <w:rFonts w:ascii="Arial" w:hAnsi="Arial" w:cs="Arial"/>
          <w:sz w:val="24"/>
          <w:szCs w:val="24"/>
        </w:rPr>
        <w:t>308 Washington S</w:t>
      </w:r>
      <w:r w:rsidRPr="00850A06">
        <w:rPr>
          <w:rFonts w:ascii="Arial" w:hAnsi="Arial" w:cs="Arial"/>
          <w:sz w:val="24"/>
          <w:szCs w:val="24"/>
        </w:rPr>
        <w:t xml:space="preserve">tate residents were hospitalized for nonfatal firearm injuries in 2015, including </w:t>
      </w:r>
      <w:r>
        <w:rPr>
          <w:rFonts w:ascii="Arial" w:hAnsi="Arial" w:cs="Arial"/>
          <w:sz w:val="24"/>
          <w:szCs w:val="24"/>
        </w:rPr>
        <w:t>30</w:t>
      </w:r>
      <w:r w:rsidRPr="00850A06">
        <w:rPr>
          <w:rFonts w:ascii="Arial" w:hAnsi="Arial" w:cs="Arial"/>
          <w:sz w:val="24"/>
          <w:szCs w:val="24"/>
        </w:rPr>
        <w:t xml:space="preserve"> youth</w:t>
      </w:r>
      <w:r>
        <w:rPr>
          <w:rFonts w:ascii="Arial" w:hAnsi="Arial" w:cs="Arial"/>
          <w:sz w:val="24"/>
          <w:szCs w:val="24"/>
        </w:rPr>
        <w:t>s</w:t>
      </w:r>
      <w:r w:rsidRPr="00850A06">
        <w:rPr>
          <w:rFonts w:ascii="Arial" w:hAnsi="Arial" w:cs="Arial"/>
          <w:sz w:val="24"/>
          <w:szCs w:val="24"/>
        </w:rPr>
        <w:t xml:space="preserve"> </w:t>
      </w:r>
      <w:r>
        <w:rPr>
          <w:rFonts w:ascii="Arial" w:hAnsi="Arial" w:cs="Arial"/>
          <w:sz w:val="24"/>
          <w:szCs w:val="24"/>
        </w:rPr>
        <w:t xml:space="preserve">ranging in </w:t>
      </w:r>
      <w:r w:rsidRPr="00850A06">
        <w:rPr>
          <w:rFonts w:ascii="Arial" w:hAnsi="Arial" w:cs="Arial"/>
          <w:sz w:val="24"/>
          <w:szCs w:val="24"/>
        </w:rPr>
        <w:t xml:space="preserve">age </w:t>
      </w:r>
      <w:r>
        <w:rPr>
          <w:rFonts w:ascii="Arial" w:hAnsi="Arial" w:cs="Arial"/>
          <w:sz w:val="24"/>
          <w:szCs w:val="24"/>
        </w:rPr>
        <w:t xml:space="preserve">of seventeen and younger. </w:t>
      </w:r>
      <w:r w:rsidRPr="00850A06">
        <w:rPr>
          <w:rFonts w:ascii="Arial" w:hAnsi="Arial" w:cs="Arial"/>
          <w:sz w:val="24"/>
          <w:szCs w:val="24"/>
        </w:rPr>
        <w:t xml:space="preserve">During that same period, </w:t>
      </w:r>
      <w:r>
        <w:rPr>
          <w:rFonts w:ascii="Arial" w:hAnsi="Arial" w:cs="Arial"/>
          <w:sz w:val="24"/>
          <w:szCs w:val="24"/>
        </w:rPr>
        <w:t>95</w:t>
      </w:r>
      <w:r w:rsidRPr="00850A06">
        <w:rPr>
          <w:rFonts w:ascii="Arial" w:hAnsi="Arial" w:cs="Arial"/>
          <w:sz w:val="24"/>
          <w:szCs w:val="24"/>
        </w:rPr>
        <w:t xml:space="preserve"> King County residents were hospitalized for nonfatal firearm injuries, including </w:t>
      </w:r>
      <w:r>
        <w:rPr>
          <w:rFonts w:ascii="Arial" w:hAnsi="Arial" w:cs="Arial"/>
          <w:sz w:val="24"/>
          <w:szCs w:val="24"/>
        </w:rPr>
        <w:t>9</w:t>
      </w:r>
      <w:r w:rsidRPr="00850A06">
        <w:rPr>
          <w:rFonts w:ascii="Arial" w:hAnsi="Arial" w:cs="Arial"/>
          <w:sz w:val="24"/>
          <w:szCs w:val="24"/>
        </w:rPr>
        <w:t xml:space="preserve"> youth.</w:t>
      </w:r>
      <w:r>
        <w:rPr>
          <w:rStyle w:val="FootnoteReference"/>
          <w:rFonts w:ascii="Arial" w:hAnsi="Arial" w:cs="Arial"/>
          <w:sz w:val="24"/>
          <w:szCs w:val="24"/>
        </w:rPr>
        <w:footnoteReference w:id="5"/>
      </w:r>
    </w:p>
    <w:p w14:paraId="09860DA5" w14:textId="77777777" w:rsidR="005A66FF" w:rsidRDefault="005A66FF" w:rsidP="00271050">
      <w:pPr>
        <w:autoSpaceDE w:val="0"/>
        <w:autoSpaceDN w:val="0"/>
        <w:adjustRightInd w:val="0"/>
        <w:jc w:val="both"/>
        <w:rPr>
          <w:rFonts w:ascii="Arial" w:hAnsi="Arial" w:cs="Arial"/>
          <w:sz w:val="24"/>
          <w:szCs w:val="24"/>
        </w:rPr>
      </w:pPr>
    </w:p>
    <w:p w14:paraId="76C61854" w14:textId="77777777" w:rsidR="00F82A3C" w:rsidRDefault="00F82A3C" w:rsidP="00F82A3C">
      <w:pPr>
        <w:autoSpaceDE w:val="0"/>
        <w:autoSpaceDN w:val="0"/>
        <w:adjustRightInd w:val="0"/>
        <w:jc w:val="both"/>
        <w:rPr>
          <w:rFonts w:ascii="Arial" w:hAnsi="Arial" w:cs="Arial"/>
          <w:sz w:val="24"/>
          <w:szCs w:val="24"/>
        </w:rPr>
      </w:pPr>
      <w:r w:rsidRPr="00850A06">
        <w:rPr>
          <w:rFonts w:ascii="Arial" w:hAnsi="Arial" w:cs="Arial"/>
          <w:sz w:val="24"/>
          <w:szCs w:val="24"/>
        </w:rPr>
        <w:t>The January 21, 2014 Annals of Internal Medicine report finds that adolescents, between the ages of ten and nineteen years, with access to firearms are 2.6 times as likely to die by suicide as adolescents without access to firearms.</w:t>
      </w:r>
      <w:r>
        <w:rPr>
          <w:rFonts w:ascii="Arial" w:hAnsi="Arial" w:cs="Arial"/>
          <w:sz w:val="24"/>
          <w:szCs w:val="24"/>
        </w:rPr>
        <w:t xml:space="preserve"> </w:t>
      </w:r>
      <w:r w:rsidRPr="00850A06">
        <w:rPr>
          <w:rFonts w:ascii="Arial" w:hAnsi="Arial" w:cs="Arial"/>
          <w:sz w:val="24"/>
          <w:szCs w:val="24"/>
        </w:rPr>
        <w:t>The December 2008 Journal of Adolescent Health study of adolescent (between the ages of ten and nineteen years) suicides by firearm found that over half were carried out with firea</w:t>
      </w:r>
      <w:r>
        <w:rPr>
          <w:rFonts w:ascii="Arial" w:hAnsi="Arial" w:cs="Arial"/>
          <w:sz w:val="24"/>
          <w:szCs w:val="24"/>
        </w:rPr>
        <w:t>rms from the adolescent's home.</w:t>
      </w:r>
      <w:r w:rsidRPr="00850A06">
        <w:rPr>
          <w:rFonts w:ascii="Arial" w:hAnsi="Arial" w:cs="Arial"/>
          <w:sz w:val="24"/>
          <w:szCs w:val="24"/>
        </w:rPr>
        <w:t xml:space="preserve"> More than </w:t>
      </w:r>
      <w:r>
        <w:rPr>
          <w:rFonts w:ascii="Arial" w:hAnsi="Arial" w:cs="Arial"/>
          <w:sz w:val="24"/>
          <w:szCs w:val="24"/>
        </w:rPr>
        <w:t>75</w:t>
      </w:r>
      <w:r w:rsidRPr="00850A06">
        <w:rPr>
          <w:rFonts w:ascii="Arial" w:hAnsi="Arial" w:cs="Arial"/>
          <w:sz w:val="24"/>
          <w:szCs w:val="24"/>
        </w:rPr>
        <w:t xml:space="preserve"> percent of firearms used in suicide attempts and unintentional injuries were stored in the residence of the victim, a relative, or friend.</w:t>
      </w:r>
      <w:r>
        <w:rPr>
          <w:rStyle w:val="FootnoteReference"/>
          <w:rFonts w:ascii="Arial" w:hAnsi="Arial" w:cs="Arial"/>
          <w:sz w:val="24"/>
          <w:szCs w:val="24"/>
        </w:rPr>
        <w:footnoteReference w:id="6"/>
      </w:r>
    </w:p>
    <w:p w14:paraId="26E4F298" w14:textId="77777777" w:rsidR="00754974" w:rsidRDefault="00754974" w:rsidP="00271050">
      <w:pPr>
        <w:autoSpaceDE w:val="0"/>
        <w:autoSpaceDN w:val="0"/>
        <w:adjustRightInd w:val="0"/>
        <w:jc w:val="both"/>
        <w:rPr>
          <w:rFonts w:ascii="Arial" w:hAnsi="Arial" w:cs="Arial"/>
          <w:sz w:val="24"/>
          <w:szCs w:val="24"/>
        </w:rPr>
      </w:pPr>
    </w:p>
    <w:p w14:paraId="383B6D50" w14:textId="77777777" w:rsidR="005A66FF" w:rsidRPr="005A66FF" w:rsidRDefault="005A66FF" w:rsidP="00271050">
      <w:pPr>
        <w:autoSpaceDE w:val="0"/>
        <w:autoSpaceDN w:val="0"/>
        <w:adjustRightInd w:val="0"/>
        <w:jc w:val="both"/>
        <w:rPr>
          <w:rFonts w:ascii="Arial" w:hAnsi="Arial" w:cs="Arial"/>
          <w:b/>
          <w:i/>
          <w:sz w:val="24"/>
          <w:szCs w:val="24"/>
        </w:rPr>
      </w:pPr>
      <w:r w:rsidRPr="005A66FF">
        <w:rPr>
          <w:rFonts w:ascii="Arial" w:hAnsi="Arial" w:cs="Arial"/>
          <w:b/>
          <w:i/>
          <w:sz w:val="24"/>
          <w:szCs w:val="24"/>
        </w:rPr>
        <w:t>Firearm Violence</w:t>
      </w:r>
      <w:r w:rsidR="004D7768">
        <w:rPr>
          <w:rFonts w:ascii="Arial" w:hAnsi="Arial" w:cs="Arial"/>
          <w:b/>
          <w:i/>
          <w:sz w:val="24"/>
          <w:szCs w:val="24"/>
        </w:rPr>
        <w:t xml:space="preserve"> and Race</w:t>
      </w:r>
    </w:p>
    <w:p w14:paraId="5ADD6376" w14:textId="49024407" w:rsidR="005A66FF" w:rsidRPr="000C5D0D" w:rsidRDefault="005A66FF" w:rsidP="005A66FF">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r w:rsidRPr="00FB7763">
        <w:rPr>
          <w:rFonts w:ascii="Arial" w:hAnsi="Arial" w:cs="Arial"/>
          <w:sz w:val="24"/>
          <w:szCs w:val="24"/>
        </w:rPr>
        <w:t>Accor</w:t>
      </w:r>
      <w:r w:rsidR="004B3DBD">
        <w:rPr>
          <w:rFonts w:ascii="Arial" w:hAnsi="Arial" w:cs="Arial"/>
          <w:sz w:val="24"/>
          <w:szCs w:val="24"/>
        </w:rPr>
        <w:t xml:space="preserve">ding to various Public Health – </w:t>
      </w:r>
      <w:r w:rsidRPr="00FB7763">
        <w:rPr>
          <w:rFonts w:ascii="Arial" w:hAnsi="Arial" w:cs="Arial"/>
          <w:sz w:val="24"/>
          <w:szCs w:val="24"/>
        </w:rPr>
        <w:t>Seattle &amp; King County analysis on firearm violence in King County, firearm violence has a disproportionate impact on communities of color and children of color are victims of homicide by firearms at a higher rate than white children in King County.</w:t>
      </w:r>
      <w:r>
        <w:rPr>
          <w:rStyle w:val="FootnoteReference"/>
          <w:rFonts w:ascii="Arial" w:hAnsi="Arial" w:cs="Arial"/>
          <w:sz w:val="24"/>
          <w:szCs w:val="24"/>
        </w:rPr>
        <w:footnoteReference w:id="7"/>
      </w:r>
      <w:r>
        <w:rPr>
          <w:rFonts w:ascii="Arial" w:hAnsi="Arial" w:cs="Arial"/>
          <w:sz w:val="24"/>
          <w:szCs w:val="24"/>
        </w:rPr>
        <w:t xml:space="preserve"> According to a Washington State Office of Financial Management’s 2013 Research Brief, </w:t>
      </w:r>
      <w:r>
        <w:rPr>
          <w:rFonts w:ascii="Arial" w:eastAsia="Arial" w:hAnsi="Arial" w:cs="Arial"/>
          <w:sz w:val="24"/>
          <w:szCs w:val="24"/>
        </w:rPr>
        <w:t>there were</w:t>
      </w:r>
      <w:r w:rsidRPr="000C5D0D">
        <w:rPr>
          <w:rFonts w:ascii="Arial" w:eastAsia="Arial" w:hAnsi="Arial" w:cs="Arial"/>
          <w:sz w:val="24"/>
          <w:szCs w:val="24"/>
        </w:rPr>
        <w:t xml:space="preserve"> proportionately mo</w:t>
      </w:r>
      <w:r>
        <w:rPr>
          <w:rFonts w:ascii="Arial" w:eastAsia="Arial" w:hAnsi="Arial" w:cs="Arial"/>
          <w:sz w:val="24"/>
          <w:szCs w:val="24"/>
        </w:rPr>
        <w:t>re firearm suicides among White</w:t>
      </w:r>
      <w:r w:rsidR="00267B72">
        <w:rPr>
          <w:rFonts w:ascii="Arial" w:eastAsia="Arial" w:hAnsi="Arial" w:cs="Arial"/>
          <w:sz w:val="24"/>
          <w:szCs w:val="24"/>
        </w:rPr>
        <w:t>s</w:t>
      </w:r>
      <w:r w:rsidRPr="000C5D0D">
        <w:rPr>
          <w:rFonts w:ascii="Arial" w:eastAsia="Arial" w:hAnsi="Arial" w:cs="Arial"/>
          <w:sz w:val="24"/>
          <w:szCs w:val="24"/>
        </w:rPr>
        <w:t xml:space="preserve"> and</w:t>
      </w:r>
      <w:r>
        <w:rPr>
          <w:rFonts w:ascii="Arial" w:eastAsia="Arial" w:hAnsi="Arial" w:cs="Arial"/>
          <w:sz w:val="24"/>
          <w:szCs w:val="24"/>
        </w:rPr>
        <w:t xml:space="preserve"> </w:t>
      </w:r>
      <w:r w:rsidRPr="00FB7763">
        <w:rPr>
          <w:rFonts w:ascii="Arial" w:eastAsia="Arial" w:hAnsi="Arial" w:cs="Arial"/>
          <w:sz w:val="24"/>
          <w:szCs w:val="24"/>
        </w:rPr>
        <w:t>American Indian &amp; Alaska Native</w:t>
      </w:r>
      <w:r w:rsidR="00267B72">
        <w:rPr>
          <w:rFonts w:ascii="Arial" w:eastAsia="Arial" w:hAnsi="Arial" w:cs="Arial"/>
          <w:sz w:val="24"/>
          <w:szCs w:val="24"/>
        </w:rPr>
        <w:t>s</w:t>
      </w:r>
      <w:r>
        <w:rPr>
          <w:rFonts w:ascii="Arial" w:eastAsia="Arial" w:hAnsi="Arial" w:cs="Arial"/>
          <w:sz w:val="24"/>
          <w:szCs w:val="24"/>
        </w:rPr>
        <w:t xml:space="preserve">, however, </w:t>
      </w:r>
      <w:r w:rsidRPr="000C5D0D">
        <w:rPr>
          <w:rFonts w:ascii="Arial" w:eastAsia="Arial" w:hAnsi="Arial" w:cs="Arial"/>
          <w:sz w:val="24"/>
          <w:szCs w:val="24"/>
        </w:rPr>
        <w:t>more</w:t>
      </w:r>
      <w:r>
        <w:rPr>
          <w:rFonts w:ascii="Arial" w:eastAsia="Arial" w:hAnsi="Arial" w:cs="Arial"/>
          <w:sz w:val="24"/>
          <w:szCs w:val="24"/>
        </w:rPr>
        <w:t xml:space="preserve"> firearm homicides among Black</w:t>
      </w:r>
      <w:r w:rsidR="00267B72">
        <w:rPr>
          <w:rFonts w:ascii="Arial" w:eastAsia="Arial" w:hAnsi="Arial" w:cs="Arial"/>
          <w:sz w:val="24"/>
          <w:szCs w:val="24"/>
        </w:rPr>
        <w:t>s</w:t>
      </w:r>
      <w:r w:rsidR="00592409">
        <w:rPr>
          <w:rFonts w:ascii="Arial" w:eastAsia="Arial" w:hAnsi="Arial" w:cs="Arial"/>
          <w:sz w:val="24"/>
          <w:szCs w:val="24"/>
        </w:rPr>
        <w:t xml:space="preserve"> and Latinx</w:t>
      </w:r>
      <w:r w:rsidR="00267B72">
        <w:rPr>
          <w:rFonts w:ascii="Arial" w:eastAsia="Arial" w:hAnsi="Arial" w:cs="Arial"/>
          <w:sz w:val="24"/>
          <w:szCs w:val="24"/>
        </w:rPr>
        <w:t>s</w:t>
      </w:r>
      <w:r>
        <w:rPr>
          <w:rFonts w:ascii="Arial" w:eastAsia="Arial" w:hAnsi="Arial" w:cs="Arial"/>
          <w:sz w:val="24"/>
          <w:szCs w:val="24"/>
        </w:rPr>
        <w:t xml:space="preserve">; and essentially an even </w:t>
      </w:r>
      <w:r w:rsidRPr="000C5D0D">
        <w:rPr>
          <w:rFonts w:ascii="Arial" w:eastAsia="Arial" w:hAnsi="Arial" w:cs="Arial"/>
          <w:sz w:val="24"/>
          <w:szCs w:val="24"/>
        </w:rPr>
        <w:t>divide between firearm homicides and suicides amo</w:t>
      </w:r>
      <w:r>
        <w:rPr>
          <w:rFonts w:ascii="Arial" w:eastAsia="Arial" w:hAnsi="Arial" w:cs="Arial"/>
          <w:sz w:val="24"/>
          <w:szCs w:val="24"/>
        </w:rPr>
        <w:t>ng Asian</w:t>
      </w:r>
      <w:r w:rsidR="00F70A9D">
        <w:rPr>
          <w:rFonts w:ascii="Arial" w:eastAsia="Arial" w:hAnsi="Arial" w:cs="Arial"/>
          <w:sz w:val="24"/>
          <w:szCs w:val="24"/>
        </w:rPr>
        <w:t>-American</w:t>
      </w:r>
      <w:r w:rsidR="00267B72">
        <w:rPr>
          <w:rFonts w:ascii="Arial" w:eastAsia="Arial" w:hAnsi="Arial" w:cs="Arial"/>
          <w:sz w:val="24"/>
          <w:szCs w:val="24"/>
        </w:rPr>
        <w:t>s</w:t>
      </w:r>
      <w:r>
        <w:rPr>
          <w:rFonts w:ascii="Arial" w:eastAsia="Arial" w:hAnsi="Arial" w:cs="Arial"/>
          <w:sz w:val="24"/>
          <w:szCs w:val="24"/>
        </w:rPr>
        <w:t>.</w:t>
      </w:r>
      <w:r>
        <w:rPr>
          <w:rStyle w:val="FootnoteReference"/>
          <w:rFonts w:ascii="Arial" w:eastAsia="Arial" w:hAnsi="Arial" w:cs="Arial"/>
          <w:sz w:val="24"/>
          <w:szCs w:val="24"/>
        </w:rPr>
        <w:footnoteReference w:id="8"/>
      </w:r>
    </w:p>
    <w:p w14:paraId="7A3D980E" w14:textId="77777777" w:rsidR="005A66FF" w:rsidRDefault="005A66FF" w:rsidP="00271050">
      <w:pPr>
        <w:autoSpaceDE w:val="0"/>
        <w:autoSpaceDN w:val="0"/>
        <w:adjustRightInd w:val="0"/>
        <w:jc w:val="both"/>
        <w:rPr>
          <w:rFonts w:ascii="Arial" w:hAnsi="Arial" w:cs="Arial"/>
          <w:sz w:val="24"/>
          <w:szCs w:val="24"/>
        </w:rPr>
      </w:pPr>
    </w:p>
    <w:p w14:paraId="27FF4A66" w14:textId="77777777" w:rsidR="005A66FF" w:rsidRPr="005A66FF" w:rsidRDefault="005A66FF" w:rsidP="00271050">
      <w:pPr>
        <w:autoSpaceDE w:val="0"/>
        <w:autoSpaceDN w:val="0"/>
        <w:adjustRightInd w:val="0"/>
        <w:jc w:val="both"/>
        <w:rPr>
          <w:rFonts w:ascii="Arial" w:hAnsi="Arial" w:cs="Arial"/>
          <w:b/>
          <w:i/>
          <w:sz w:val="24"/>
          <w:szCs w:val="24"/>
        </w:rPr>
      </w:pPr>
      <w:r w:rsidRPr="005A66FF">
        <w:rPr>
          <w:rFonts w:ascii="Arial" w:hAnsi="Arial" w:cs="Arial"/>
          <w:b/>
          <w:i/>
          <w:sz w:val="24"/>
          <w:szCs w:val="24"/>
        </w:rPr>
        <w:t xml:space="preserve">Firearm </w:t>
      </w:r>
      <w:r w:rsidR="00296A78">
        <w:rPr>
          <w:rFonts w:ascii="Arial" w:hAnsi="Arial" w:cs="Arial"/>
          <w:b/>
          <w:i/>
          <w:sz w:val="24"/>
          <w:szCs w:val="24"/>
        </w:rPr>
        <w:t>Secure Storage</w:t>
      </w:r>
    </w:p>
    <w:p w14:paraId="07D5E188" w14:textId="77777777" w:rsidR="00281F4A" w:rsidRDefault="00271050" w:rsidP="00271050">
      <w:pPr>
        <w:autoSpaceDE w:val="0"/>
        <w:autoSpaceDN w:val="0"/>
        <w:adjustRightInd w:val="0"/>
        <w:jc w:val="both"/>
        <w:rPr>
          <w:rFonts w:ascii="Arial" w:hAnsi="Arial" w:cs="Arial"/>
          <w:sz w:val="24"/>
          <w:szCs w:val="24"/>
        </w:rPr>
      </w:pPr>
      <w:r w:rsidRPr="00196D48">
        <w:rPr>
          <w:rFonts w:ascii="Arial" w:hAnsi="Arial" w:cs="Arial"/>
          <w:sz w:val="24"/>
          <w:szCs w:val="24"/>
        </w:rPr>
        <w:t xml:space="preserve">A 2018 study, published by the American Journal of Public Health, </w:t>
      </w:r>
      <w:r w:rsidR="005014B2">
        <w:rPr>
          <w:rFonts w:ascii="Arial" w:hAnsi="Arial" w:cs="Arial"/>
          <w:sz w:val="24"/>
          <w:szCs w:val="24"/>
        </w:rPr>
        <w:t>evaluated the 2015 Washington S</w:t>
      </w:r>
      <w:r w:rsidR="005014B2" w:rsidRPr="005014B2">
        <w:rPr>
          <w:rFonts w:ascii="Arial" w:hAnsi="Arial" w:cs="Arial"/>
          <w:sz w:val="24"/>
          <w:szCs w:val="24"/>
        </w:rPr>
        <w:t xml:space="preserve">tate Behavioral Risk Factor Surveillance System </w:t>
      </w:r>
      <w:r w:rsidR="005014B2">
        <w:rPr>
          <w:rFonts w:ascii="Arial" w:hAnsi="Arial" w:cs="Arial"/>
          <w:sz w:val="24"/>
          <w:szCs w:val="24"/>
        </w:rPr>
        <w:t>data</w:t>
      </w:r>
      <w:r w:rsidR="00DB7D29">
        <w:rPr>
          <w:rFonts w:ascii="Arial" w:hAnsi="Arial" w:cs="Arial"/>
          <w:sz w:val="24"/>
          <w:szCs w:val="24"/>
        </w:rPr>
        <w:t xml:space="preserve"> which </w:t>
      </w:r>
      <w:r w:rsidRPr="00196D48">
        <w:rPr>
          <w:rFonts w:ascii="Arial" w:hAnsi="Arial" w:cs="Arial"/>
          <w:sz w:val="24"/>
          <w:szCs w:val="24"/>
        </w:rPr>
        <w:t xml:space="preserve">included a broad survey of Washington </w:t>
      </w:r>
      <w:r w:rsidR="005014B2">
        <w:rPr>
          <w:rFonts w:ascii="Arial" w:hAnsi="Arial" w:cs="Arial"/>
          <w:sz w:val="24"/>
          <w:szCs w:val="24"/>
        </w:rPr>
        <w:t xml:space="preserve">State </w:t>
      </w:r>
      <w:r w:rsidRPr="00196D48">
        <w:rPr>
          <w:rFonts w:ascii="Arial" w:hAnsi="Arial" w:cs="Arial"/>
          <w:sz w:val="24"/>
          <w:szCs w:val="24"/>
        </w:rPr>
        <w:t>residents</w:t>
      </w:r>
      <w:r w:rsidR="00281F4A">
        <w:rPr>
          <w:rFonts w:ascii="Arial" w:hAnsi="Arial" w:cs="Arial"/>
          <w:sz w:val="24"/>
          <w:szCs w:val="24"/>
        </w:rPr>
        <w:t>,</w:t>
      </w:r>
      <w:r w:rsidRPr="00196D48">
        <w:rPr>
          <w:rFonts w:ascii="Arial" w:hAnsi="Arial" w:cs="Arial"/>
          <w:sz w:val="24"/>
          <w:szCs w:val="24"/>
        </w:rPr>
        <w:t xml:space="preserve"> </w:t>
      </w:r>
      <w:r w:rsidR="005014B2">
        <w:rPr>
          <w:rFonts w:ascii="Arial" w:hAnsi="Arial" w:cs="Arial"/>
          <w:sz w:val="24"/>
          <w:szCs w:val="24"/>
        </w:rPr>
        <w:t>and</w:t>
      </w:r>
      <w:r w:rsidRPr="00196D48">
        <w:rPr>
          <w:rFonts w:ascii="Arial" w:hAnsi="Arial" w:cs="Arial"/>
          <w:sz w:val="24"/>
          <w:szCs w:val="24"/>
        </w:rPr>
        <w:t xml:space="preserve"> found that 34 percent of adults surveyed reported having a firearm in their households, of which, almost one-in-five reported that the firearms were not stored</w:t>
      </w:r>
      <w:r w:rsidR="00281F4A">
        <w:rPr>
          <w:rFonts w:ascii="Arial" w:hAnsi="Arial" w:cs="Arial"/>
          <w:sz w:val="24"/>
          <w:szCs w:val="24"/>
        </w:rPr>
        <w:t xml:space="preserve"> in a safe manner even when </w:t>
      </w:r>
      <w:r w:rsidR="005014B2">
        <w:rPr>
          <w:rFonts w:ascii="Arial" w:hAnsi="Arial" w:cs="Arial"/>
          <w:sz w:val="24"/>
          <w:szCs w:val="24"/>
        </w:rPr>
        <w:t xml:space="preserve">children </w:t>
      </w:r>
      <w:r w:rsidR="00281F4A">
        <w:rPr>
          <w:rFonts w:ascii="Arial" w:hAnsi="Arial" w:cs="Arial"/>
          <w:sz w:val="24"/>
          <w:szCs w:val="24"/>
        </w:rPr>
        <w:t xml:space="preserve">were </w:t>
      </w:r>
      <w:r w:rsidR="005014B2">
        <w:rPr>
          <w:rFonts w:ascii="Arial" w:hAnsi="Arial" w:cs="Arial"/>
          <w:sz w:val="24"/>
          <w:szCs w:val="24"/>
        </w:rPr>
        <w:t xml:space="preserve">in the homes and </w:t>
      </w:r>
      <w:r w:rsidRPr="00196D48">
        <w:rPr>
          <w:rFonts w:ascii="Arial" w:hAnsi="Arial" w:cs="Arial"/>
          <w:sz w:val="24"/>
          <w:szCs w:val="24"/>
        </w:rPr>
        <w:t>the respondents suffered from depression and suicidal thoughts or</w:t>
      </w:r>
      <w:r w:rsidR="00E02ADC">
        <w:rPr>
          <w:rFonts w:ascii="Arial" w:hAnsi="Arial" w:cs="Arial"/>
          <w:sz w:val="24"/>
          <w:szCs w:val="24"/>
        </w:rPr>
        <w:t xml:space="preserve"> </w:t>
      </w:r>
      <w:r w:rsidRPr="00196D48">
        <w:rPr>
          <w:rFonts w:ascii="Arial" w:hAnsi="Arial" w:cs="Arial"/>
          <w:sz w:val="24"/>
          <w:szCs w:val="24"/>
        </w:rPr>
        <w:t>were engaged in the significant consumption of alcohol.</w:t>
      </w:r>
      <w:r w:rsidRPr="00196D48">
        <w:rPr>
          <w:rStyle w:val="FootnoteReference"/>
          <w:rFonts w:ascii="Arial" w:hAnsi="Arial" w:cs="Arial"/>
          <w:sz w:val="24"/>
          <w:szCs w:val="24"/>
        </w:rPr>
        <w:footnoteReference w:id="9"/>
      </w:r>
      <w:r>
        <w:rPr>
          <w:rFonts w:ascii="Arial" w:hAnsi="Arial" w:cs="Arial"/>
          <w:sz w:val="24"/>
          <w:szCs w:val="24"/>
        </w:rPr>
        <w:t xml:space="preserve"> </w:t>
      </w:r>
      <w:r w:rsidR="00E02ADC">
        <w:rPr>
          <w:rFonts w:ascii="Arial" w:hAnsi="Arial" w:cs="Arial"/>
          <w:sz w:val="24"/>
          <w:szCs w:val="24"/>
        </w:rPr>
        <w:t>The Washington S</w:t>
      </w:r>
      <w:r w:rsidR="00E02ADC" w:rsidRPr="00E02ADC">
        <w:rPr>
          <w:rFonts w:ascii="Arial" w:hAnsi="Arial" w:cs="Arial"/>
          <w:sz w:val="24"/>
          <w:szCs w:val="24"/>
        </w:rPr>
        <w:t xml:space="preserve">tate Behavioral Risk Factor Surveillance System </w:t>
      </w:r>
      <w:r w:rsidR="00DB7D29">
        <w:rPr>
          <w:rFonts w:ascii="Arial" w:hAnsi="Arial" w:cs="Arial"/>
          <w:sz w:val="24"/>
          <w:szCs w:val="24"/>
        </w:rPr>
        <w:t xml:space="preserve">data also finds that </w:t>
      </w:r>
      <w:r w:rsidR="00E02ADC" w:rsidRPr="00E02ADC">
        <w:rPr>
          <w:rFonts w:ascii="Arial" w:hAnsi="Arial" w:cs="Arial"/>
          <w:sz w:val="24"/>
          <w:szCs w:val="24"/>
        </w:rPr>
        <w:t xml:space="preserve">approximately </w:t>
      </w:r>
      <w:r w:rsidR="00E02ADC">
        <w:rPr>
          <w:rFonts w:ascii="Arial" w:hAnsi="Arial" w:cs="Arial"/>
          <w:sz w:val="24"/>
          <w:szCs w:val="24"/>
        </w:rPr>
        <w:t>21</w:t>
      </w:r>
      <w:r w:rsidR="00E02ADC" w:rsidRPr="00E02ADC">
        <w:rPr>
          <w:rFonts w:ascii="Arial" w:hAnsi="Arial" w:cs="Arial"/>
          <w:sz w:val="24"/>
          <w:szCs w:val="24"/>
        </w:rPr>
        <w:t xml:space="preserve"> p</w:t>
      </w:r>
      <w:r w:rsidR="00E02ADC">
        <w:rPr>
          <w:rFonts w:ascii="Arial" w:hAnsi="Arial" w:cs="Arial"/>
          <w:sz w:val="24"/>
          <w:szCs w:val="24"/>
        </w:rPr>
        <w:t xml:space="preserve">ercent of King County adults </w:t>
      </w:r>
      <w:r w:rsidR="00E02ADC" w:rsidRPr="00E02ADC">
        <w:rPr>
          <w:rFonts w:ascii="Arial" w:hAnsi="Arial" w:cs="Arial"/>
          <w:sz w:val="24"/>
          <w:szCs w:val="24"/>
        </w:rPr>
        <w:t xml:space="preserve">reported firearms present in or around their homes.  Among those adults, an estimated </w:t>
      </w:r>
      <w:r w:rsidR="00E02ADC">
        <w:rPr>
          <w:rFonts w:ascii="Arial" w:hAnsi="Arial" w:cs="Arial"/>
          <w:sz w:val="24"/>
          <w:szCs w:val="24"/>
        </w:rPr>
        <w:t xml:space="preserve">31 percent </w:t>
      </w:r>
      <w:r w:rsidR="00E02ADC" w:rsidRPr="00E02ADC">
        <w:rPr>
          <w:rFonts w:ascii="Arial" w:hAnsi="Arial" w:cs="Arial"/>
          <w:sz w:val="24"/>
          <w:szCs w:val="24"/>
        </w:rPr>
        <w:t xml:space="preserve">stored their firearms loaded and an estimated </w:t>
      </w:r>
      <w:r w:rsidR="00E02ADC">
        <w:rPr>
          <w:rFonts w:ascii="Arial" w:hAnsi="Arial" w:cs="Arial"/>
          <w:sz w:val="24"/>
          <w:szCs w:val="24"/>
        </w:rPr>
        <w:t xml:space="preserve">43 percent </w:t>
      </w:r>
      <w:r w:rsidR="00E02ADC" w:rsidRPr="00E02ADC">
        <w:rPr>
          <w:rFonts w:ascii="Arial" w:hAnsi="Arial" w:cs="Arial"/>
          <w:sz w:val="24"/>
          <w:szCs w:val="24"/>
        </w:rPr>
        <w:t xml:space="preserve">stored their firearms unlocked and not stored in a way to render them safe.  </w:t>
      </w:r>
      <w:r w:rsidR="00E02ADC">
        <w:rPr>
          <w:rFonts w:ascii="Arial" w:hAnsi="Arial" w:cs="Arial"/>
          <w:sz w:val="24"/>
          <w:szCs w:val="24"/>
        </w:rPr>
        <w:t>Moreover, a</w:t>
      </w:r>
      <w:r w:rsidR="00E02ADC" w:rsidRPr="00E02ADC">
        <w:rPr>
          <w:rFonts w:ascii="Arial" w:hAnsi="Arial" w:cs="Arial"/>
          <w:sz w:val="24"/>
          <w:szCs w:val="24"/>
        </w:rPr>
        <w:t xml:space="preserve">pproximately </w:t>
      </w:r>
      <w:r w:rsidR="00E02ADC">
        <w:rPr>
          <w:rFonts w:ascii="Arial" w:hAnsi="Arial" w:cs="Arial"/>
          <w:sz w:val="24"/>
          <w:szCs w:val="24"/>
        </w:rPr>
        <w:t xml:space="preserve">15 percent </w:t>
      </w:r>
      <w:r w:rsidR="00E02ADC" w:rsidRPr="00E02ADC">
        <w:rPr>
          <w:rFonts w:ascii="Arial" w:hAnsi="Arial" w:cs="Arial"/>
          <w:sz w:val="24"/>
          <w:szCs w:val="24"/>
        </w:rPr>
        <w:t>of firearm owners reported storing them loaded and unlocked.</w:t>
      </w:r>
      <w:r w:rsidR="00E02ADC">
        <w:rPr>
          <w:rStyle w:val="FootnoteReference"/>
          <w:rFonts w:ascii="Arial" w:hAnsi="Arial" w:cs="Arial"/>
          <w:sz w:val="24"/>
          <w:szCs w:val="24"/>
        </w:rPr>
        <w:footnoteReference w:id="10"/>
      </w:r>
    </w:p>
    <w:p w14:paraId="3339D3E8" w14:textId="77777777" w:rsidR="00271050" w:rsidRDefault="00271050" w:rsidP="00271050">
      <w:pPr>
        <w:autoSpaceDE w:val="0"/>
        <w:autoSpaceDN w:val="0"/>
        <w:adjustRightInd w:val="0"/>
        <w:jc w:val="both"/>
        <w:rPr>
          <w:rFonts w:ascii="Arial" w:hAnsi="Arial" w:cs="Arial"/>
          <w:sz w:val="24"/>
          <w:szCs w:val="24"/>
        </w:rPr>
      </w:pPr>
    </w:p>
    <w:p w14:paraId="4C833948" w14:textId="77777777" w:rsidR="00790042" w:rsidRDefault="00790042" w:rsidP="00271050">
      <w:pPr>
        <w:autoSpaceDE w:val="0"/>
        <w:autoSpaceDN w:val="0"/>
        <w:adjustRightInd w:val="0"/>
        <w:jc w:val="both"/>
        <w:rPr>
          <w:rFonts w:ascii="Arial" w:hAnsi="Arial" w:cs="Arial"/>
          <w:sz w:val="24"/>
          <w:szCs w:val="24"/>
        </w:rPr>
      </w:pPr>
      <w:r w:rsidRPr="00790042">
        <w:rPr>
          <w:rFonts w:ascii="Arial" w:hAnsi="Arial" w:cs="Arial"/>
          <w:sz w:val="24"/>
          <w:szCs w:val="24"/>
        </w:rPr>
        <w:t>A June 2004 study from the American Journal of Epidemiology concluded that those persons with guns in the home were at greater risk than those without guns in the home of dying from homicide, firearm homicide, suicide and firearm suicide.</w:t>
      </w:r>
      <w:r w:rsidR="009F7361">
        <w:rPr>
          <w:rStyle w:val="FootnoteReference"/>
          <w:rFonts w:ascii="Arial" w:hAnsi="Arial" w:cs="Arial"/>
          <w:sz w:val="24"/>
          <w:szCs w:val="24"/>
        </w:rPr>
        <w:footnoteReference w:id="11"/>
      </w:r>
      <w:r>
        <w:rPr>
          <w:rFonts w:ascii="Arial" w:hAnsi="Arial" w:cs="Arial"/>
          <w:sz w:val="24"/>
          <w:szCs w:val="24"/>
        </w:rPr>
        <w:t xml:space="preserve"> </w:t>
      </w:r>
      <w:r w:rsidRPr="00790042">
        <w:rPr>
          <w:rFonts w:ascii="Arial" w:hAnsi="Arial" w:cs="Arial"/>
          <w:sz w:val="24"/>
          <w:szCs w:val="24"/>
        </w:rPr>
        <w:t>According to a February 2005 Journal of the American Medical Association study, locked guns can reduce the odds of accidental death or suicide by seventy-three percent.</w:t>
      </w:r>
      <w:r w:rsidR="009F7361">
        <w:rPr>
          <w:rStyle w:val="FootnoteReference"/>
          <w:rFonts w:ascii="Arial" w:hAnsi="Arial" w:cs="Arial"/>
          <w:sz w:val="24"/>
          <w:szCs w:val="24"/>
        </w:rPr>
        <w:footnoteReference w:id="12"/>
      </w:r>
    </w:p>
    <w:p w14:paraId="27898674" w14:textId="77777777" w:rsidR="00275740" w:rsidRDefault="00275740" w:rsidP="00271050">
      <w:pPr>
        <w:autoSpaceDE w:val="0"/>
        <w:autoSpaceDN w:val="0"/>
        <w:adjustRightInd w:val="0"/>
        <w:jc w:val="both"/>
        <w:rPr>
          <w:rFonts w:ascii="Arial" w:hAnsi="Arial" w:cs="Arial"/>
          <w:sz w:val="24"/>
          <w:szCs w:val="24"/>
        </w:rPr>
      </w:pPr>
    </w:p>
    <w:p w14:paraId="70995A7C" w14:textId="77777777" w:rsidR="00D95549" w:rsidRPr="00D95549" w:rsidRDefault="00D95549" w:rsidP="00271050">
      <w:pPr>
        <w:autoSpaceDE w:val="0"/>
        <w:autoSpaceDN w:val="0"/>
        <w:adjustRightInd w:val="0"/>
        <w:jc w:val="both"/>
        <w:rPr>
          <w:rFonts w:ascii="Arial" w:hAnsi="Arial" w:cs="Arial"/>
          <w:b/>
          <w:i/>
          <w:sz w:val="24"/>
          <w:szCs w:val="24"/>
        </w:rPr>
      </w:pPr>
      <w:r w:rsidRPr="00D95549">
        <w:rPr>
          <w:rFonts w:ascii="Arial" w:hAnsi="Arial" w:cs="Arial"/>
          <w:b/>
          <w:i/>
          <w:sz w:val="24"/>
          <w:szCs w:val="24"/>
        </w:rPr>
        <w:t>King County Activities Regarding Firearms</w:t>
      </w:r>
    </w:p>
    <w:p w14:paraId="46314D2B" w14:textId="77777777" w:rsidR="00A52EDA" w:rsidRDefault="002C2C6F" w:rsidP="00271050">
      <w:pPr>
        <w:autoSpaceDE w:val="0"/>
        <w:autoSpaceDN w:val="0"/>
        <w:adjustRightInd w:val="0"/>
        <w:jc w:val="both"/>
        <w:rPr>
          <w:rFonts w:ascii="Arial" w:hAnsi="Arial" w:cs="Arial"/>
          <w:sz w:val="24"/>
          <w:szCs w:val="24"/>
        </w:rPr>
      </w:pPr>
      <w:r>
        <w:rPr>
          <w:rFonts w:ascii="Arial" w:hAnsi="Arial" w:cs="Arial"/>
          <w:sz w:val="24"/>
          <w:szCs w:val="24"/>
        </w:rPr>
        <w:t>The Violence and Injury Prevention Unit of the Public Health – Seattle &amp; King County is tasked with taking a</w:t>
      </w:r>
      <w:r w:rsidRPr="002C2C6F">
        <w:rPr>
          <w:rFonts w:ascii="Arial" w:hAnsi="Arial" w:cs="Arial"/>
          <w:sz w:val="24"/>
          <w:szCs w:val="24"/>
        </w:rPr>
        <w:t xml:space="preserve"> public health approach </w:t>
      </w:r>
      <w:r>
        <w:rPr>
          <w:rFonts w:ascii="Arial" w:hAnsi="Arial" w:cs="Arial"/>
          <w:sz w:val="24"/>
          <w:szCs w:val="24"/>
        </w:rPr>
        <w:t xml:space="preserve">to help </w:t>
      </w:r>
      <w:r w:rsidR="000C6177">
        <w:rPr>
          <w:rFonts w:ascii="Arial" w:hAnsi="Arial" w:cs="Arial"/>
          <w:sz w:val="24"/>
          <w:szCs w:val="24"/>
        </w:rPr>
        <w:t xml:space="preserve">residents </w:t>
      </w:r>
      <w:r w:rsidRPr="002C2C6F">
        <w:rPr>
          <w:rFonts w:ascii="Arial" w:hAnsi="Arial" w:cs="Arial"/>
          <w:sz w:val="24"/>
          <w:szCs w:val="24"/>
        </w:rPr>
        <w:t xml:space="preserve">better understand how and when </w:t>
      </w:r>
      <w:r w:rsidR="00D333D5">
        <w:rPr>
          <w:rFonts w:ascii="Arial" w:hAnsi="Arial" w:cs="Arial"/>
          <w:sz w:val="24"/>
          <w:szCs w:val="24"/>
        </w:rPr>
        <w:t>firearms</w:t>
      </w:r>
      <w:r w:rsidRPr="002C2C6F">
        <w:rPr>
          <w:rFonts w:ascii="Arial" w:hAnsi="Arial" w:cs="Arial"/>
          <w:sz w:val="24"/>
          <w:szCs w:val="24"/>
        </w:rPr>
        <w:t xml:space="preserve"> are used unsafely, and then develop solutions that put an end to these preventable injuries and losses.</w:t>
      </w:r>
      <w:r w:rsidR="00A52EDA">
        <w:rPr>
          <w:rFonts w:ascii="Arial" w:hAnsi="Arial" w:cs="Arial"/>
          <w:sz w:val="24"/>
          <w:szCs w:val="24"/>
        </w:rPr>
        <w:t xml:space="preserve"> </w:t>
      </w:r>
      <w:r w:rsidR="003C012C">
        <w:rPr>
          <w:rFonts w:ascii="Arial" w:hAnsi="Arial" w:cs="Arial"/>
          <w:sz w:val="24"/>
          <w:szCs w:val="24"/>
        </w:rPr>
        <w:t xml:space="preserve">The unit’s primary </w:t>
      </w:r>
      <w:r w:rsidR="00D333D5">
        <w:rPr>
          <w:rFonts w:ascii="Arial" w:hAnsi="Arial" w:cs="Arial"/>
          <w:sz w:val="24"/>
          <w:szCs w:val="24"/>
        </w:rPr>
        <w:t xml:space="preserve">activities </w:t>
      </w:r>
      <w:r w:rsidR="003C012C">
        <w:rPr>
          <w:rFonts w:ascii="Arial" w:hAnsi="Arial" w:cs="Arial"/>
          <w:sz w:val="24"/>
          <w:szCs w:val="24"/>
        </w:rPr>
        <w:t xml:space="preserve">include: </w:t>
      </w:r>
      <w:r w:rsidR="00D333D5">
        <w:rPr>
          <w:rFonts w:ascii="Arial" w:hAnsi="Arial" w:cs="Arial"/>
          <w:sz w:val="24"/>
          <w:szCs w:val="24"/>
        </w:rPr>
        <w:t xml:space="preserve">(1) </w:t>
      </w:r>
      <w:r>
        <w:rPr>
          <w:rFonts w:ascii="Arial" w:hAnsi="Arial" w:cs="Arial"/>
          <w:sz w:val="24"/>
          <w:szCs w:val="24"/>
        </w:rPr>
        <w:t xml:space="preserve">supporting a public </w:t>
      </w:r>
      <w:r w:rsidRPr="002C2C6F">
        <w:rPr>
          <w:rFonts w:ascii="Arial" w:hAnsi="Arial" w:cs="Arial"/>
          <w:sz w:val="24"/>
          <w:szCs w:val="24"/>
        </w:rPr>
        <w:t>awareness campai</w:t>
      </w:r>
      <w:r>
        <w:rPr>
          <w:rFonts w:ascii="Arial" w:hAnsi="Arial" w:cs="Arial"/>
          <w:sz w:val="24"/>
          <w:szCs w:val="24"/>
        </w:rPr>
        <w:t xml:space="preserve">gn around safe storage of guns, specifically through its </w:t>
      </w:r>
      <w:r w:rsidRPr="002C2C6F">
        <w:rPr>
          <w:rFonts w:ascii="Arial" w:hAnsi="Arial" w:cs="Arial"/>
          <w:sz w:val="24"/>
          <w:szCs w:val="24"/>
        </w:rPr>
        <w:t>Lok-It-Up</w:t>
      </w:r>
      <w:r>
        <w:rPr>
          <w:rFonts w:ascii="Arial" w:hAnsi="Arial" w:cs="Arial"/>
          <w:sz w:val="24"/>
          <w:szCs w:val="24"/>
        </w:rPr>
        <w:t xml:space="preserve"> program; </w:t>
      </w:r>
      <w:r w:rsidR="00D333D5">
        <w:rPr>
          <w:rFonts w:ascii="Arial" w:hAnsi="Arial" w:cs="Arial"/>
          <w:sz w:val="24"/>
          <w:szCs w:val="24"/>
        </w:rPr>
        <w:t xml:space="preserve">(2) </w:t>
      </w:r>
      <w:r>
        <w:rPr>
          <w:rFonts w:ascii="Arial" w:hAnsi="Arial" w:cs="Arial"/>
          <w:sz w:val="24"/>
          <w:szCs w:val="24"/>
        </w:rPr>
        <w:t>c</w:t>
      </w:r>
      <w:r w:rsidRPr="002C2C6F">
        <w:rPr>
          <w:rFonts w:ascii="Arial" w:hAnsi="Arial" w:cs="Arial"/>
          <w:sz w:val="24"/>
          <w:szCs w:val="24"/>
        </w:rPr>
        <w:t>ollecti</w:t>
      </w:r>
      <w:r>
        <w:rPr>
          <w:rFonts w:ascii="Arial" w:hAnsi="Arial" w:cs="Arial"/>
          <w:sz w:val="24"/>
          <w:szCs w:val="24"/>
        </w:rPr>
        <w:t xml:space="preserve">ng data and identifying trends regarding firearm violence; </w:t>
      </w:r>
      <w:r w:rsidR="00D333D5">
        <w:rPr>
          <w:rFonts w:ascii="Arial" w:hAnsi="Arial" w:cs="Arial"/>
          <w:sz w:val="24"/>
          <w:szCs w:val="24"/>
        </w:rPr>
        <w:t xml:space="preserve">and (3) </w:t>
      </w:r>
      <w:r>
        <w:rPr>
          <w:rFonts w:ascii="Arial" w:hAnsi="Arial" w:cs="Arial"/>
          <w:sz w:val="24"/>
          <w:szCs w:val="24"/>
        </w:rPr>
        <w:t xml:space="preserve">educating </w:t>
      </w:r>
      <w:r w:rsidRPr="002C2C6F">
        <w:rPr>
          <w:rFonts w:ascii="Arial" w:hAnsi="Arial" w:cs="Arial"/>
          <w:sz w:val="24"/>
          <w:szCs w:val="24"/>
        </w:rPr>
        <w:t xml:space="preserve">stakeholders about </w:t>
      </w:r>
      <w:r w:rsidR="00D333D5">
        <w:rPr>
          <w:rFonts w:ascii="Arial" w:hAnsi="Arial" w:cs="Arial"/>
          <w:sz w:val="24"/>
          <w:szCs w:val="24"/>
        </w:rPr>
        <w:t>laws in Washington and in other jurisdictions outside of Washington. Of note, in November 2017, the council appropriated an additional $100,000</w:t>
      </w:r>
      <w:r w:rsidR="00D333D5">
        <w:rPr>
          <w:rStyle w:val="FootnoteReference"/>
          <w:rFonts w:ascii="Arial" w:hAnsi="Arial" w:cs="Arial"/>
          <w:sz w:val="24"/>
          <w:szCs w:val="24"/>
        </w:rPr>
        <w:footnoteReference w:id="13"/>
      </w:r>
      <w:r w:rsidR="00D333D5">
        <w:rPr>
          <w:rFonts w:ascii="Arial" w:hAnsi="Arial" w:cs="Arial"/>
          <w:sz w:val="24"/>
          <w:szCs w:val="24"/>
        </w:rPr>
        <w:t xml:space="preserve"> to the Lok-It-Up program to support efforts to </w:t>
      </w:r>
      <w:r w:rsidR="00D333D5" w:rsidRPr="00D333D5">
        <w:rPr>
          <w:rFonts w:ascii="Arial" w:hAnsi="Arial" w:cs="Arial"/>
          <w:sz w:val="24"/>
          <w:szCs w:val="24"/>
        </w:rPr>
        <w:t>effective</w:t>
      </w:r>
      <w:r w:rsidR="00D333D5">
        <w:rPr>
          <w:rFonts w:ascii="Arial" w:hAnsi="Arial" w:cs="Arial"/>
          <w:sz w:val="24"/>
          <w:szCs w:val="24"/>
        </w:rPr>
        <w:t>ly</w:t>
      </w:r>
      <w:r w:rsidR="00296A78">
        <w:rPr>
          <w:rFonts w:ascii="Arial" w:hAnsi="Arial" w:cs="Arial"/>
          <w:sz w:val="24"/>
          <w:szCs w:val="24"/>
        </w:rPr>
        <w:t xml:space="preserve"> disseminate </w:t>
      </w:r>
      <w:r w:rsidR="00D333D5" w:rsidRPr="00D333D5">
        <w:rPr>
          <w:rFonts w:ascii="Arial" w:hAnsi="Arial" w:cs="Arial"/>
          <w:sz w:val="24"/>
          <w:szCs w:val="24"/>
        </w:rPr>
        <w:t>information on safely securing firearms in homes</w:t>
      </w:r>
      <w:r w:rsidR="00D333D5">
        <w:rPr>
          <w:rFonts w:ascii="Arial" w:hAnsi="Arial" w:cs="Arial"/>
          <w:sz w:val="24"/>
          <w:szCs w:val="24"/>
        </w:rPr>
        <w:t>.</w:t>
      </w:r>
      <w:r w:rsidR="00760839">
        <w:rPr>
          <w:rFonts w:ascii="Arial" w:hAnsi="Arial" w:cs="Arial"/>
          <w:sz w:val="24"/>
          <w:szCs w:val="24"/>
        </w:rPr>
        <w:t xml:space="preserve"> </w:t>
      </w:r>
    </w:p>
    <w:p w14:paraId="6C6A49DA" w14:textId="77777777" w:rsidR="00A52EDA" w:rsidRDefault="00A52EDA" w:rsidP="00271050">
      <w:pPr>
        <w:autoSpaceDE w:val="0"/>
        <w:autoSpaceDN w:val="0"/>
        <w:adjustRightInd w:val="0"/>
        <w:jc w:val="both"/>
        <w:rPr>
          <w:rFonts w:ascii="Arial" w:hAnsi="Arial" w:cs="Arial"/>
          <w:sz w:val="24"/>
          <w:szCs w:val="24"/>
        </w:rPr>
      </w:pPr>
    </w:p>
    <w:p w14:paraId="44A02B3A" w14:textId="77777777" w:rsidR="002C2C6F" w:rsidRDefault="00760839" w:rsidP="00271050">
      <w:pPr>
        <w:autoSpaceDE w:val="0"/>
        <w:autoSpaceDN w:val="0"/>
        <w:adjustRightInd w:val="0"/>
        <w:jc w:val="both"/>
        <w:rPr>
          <w:rFonts w:ascii="Arial" w:hAnsi="Arial" w:cs="Arial"/>
          <w:sz w:val="24"/>
          <w:szCs w:val="24"/>
        </w:rPr>
      </w:pPr>
      <w:r>
        <w:rPr>
          <w:rFonts w:ascii="Arial" w:hAnsi="Arial" w:cs="Arial"/>
          <w:sz w:val="24"/>
          <w:szCs w:val="24"/>
        </w:rPr>
        <w:t>Through the same appropriations ordinance</w:t>
      </w:r>
      <w:r w:rsidR="00A52EDA">
        <w:rPr>
          <w:rStyle w:val="FootnoteReference"/>
          <w:rFonts w:ascii="Arial" w:hAnsi="Arial" w:cs="Arial"/>
          <w:sz w:val="24"/>
          <w:szCs w:val="24"/>
        </w:rPr>
        <w:footnoteReference w:id="14"/>
      </w:r>
      <w:r>
        <w:rPr>
          <w:rFonts w:ascii="Arial" w:hAnsi="Arial" w:cs="Arial"/>
          <w:sz w:val="24"/>
          <w:szCs w:val="24"/>
        </w:rPr>
        <w:t>, the council also app</w:t>
      </w:r>
      <w:r w:rsidR="002551FE">
        <w:rPr>
          <w:rFonts w:ascii="Arial" w:hAnsi="Arial" w:cs="Arial"/>
          <w:sz w:val="24"/>
          <w:szCs w:val="24"/>
        </w:rPr>
        <w:t>ropriated $282,000 and 2.0 FTEs to the KCSO and $369,000 and 4.0 FTEs to the PAO</w:t>
      </w:r>
      <w:r w:rsidR="00A52EDA">
        <w:rPr>
          <w:rFonts w:ascii="Arial" w:hAnsi="Arial" w:cs="Arial"/>
          <w:sz w:val="24"/>
          <w:szCs w:val="24"/>
        </w:rPr>
        <w:t xml:space="preserve"> to </w:t>
      </w:r>
      <w:r w:rsidR="00A52EDA" w:rsidRPr="00A52EDA">
        <w:rPr>
          <w:rFonts w:ascii="Arial" w:hAnsi="Arial" w:cs="Arial"/>
          <w:sz w:val="24"/>
          <w:szCs w:val="24"/>
        </w:rPr>
        <w:t>address the public safety risk related to firearm relinquishment and compl</w:t>
      </w:r>
      <w:r w:rsidR="00A52EDA">
        <w:rPr>
          <w:rFonts w:ascii="Arial" w:hAnsi="Arial" w:cs="Arial"/>
          <w:sz w:val="24"/>
          <w:szCs w:val="24"/>
        </w:rPr>
        <w:t xml:space="preserve">iance in domestic violence </w:t>
      </w:r>
      <w:r w:rsidR="00A52EDA" w:rsidRPr="00A52EDA">
        <w:rPr>
          <w:rFonts w:ascii="Arial" w:hAnsi="Arial" w:cs="Arial"/>
          <w:sz w:val="24"/>
          <w:szCs w:val="24"/>
        </w:rPr>
        <w:t>and extre</w:t>
      </w:r>
      <w:r w:rsidR="00A52EDA">
        <w:rPr>
          <w:rFonts w:ascii="Arial" w:hAnsi="Arial" w:cs="Arial"/>
          <w:sz w:val="24"/>
          <w:szCs w:val="24"/>
        </w:rPr>
        <w:t xml:space="preserve">me risk protection order </w:t>
      </w:r>
      <w:r w:rsidR="00A52EDA" w:rsidRPr="00A52EDA">
        <w:rPr>
          <w:rFonts w:ascii="Arial" w:hAnsi="Arial" w:cs="Arial"/>
          <w:sz w:val="24"/>
          <w:szCs w:val="24"/>
        </w:rPr>
        <w:t>cases recommended by the Regional Team for Protection Orders and Order to Surrender Weapons.</w:t>
      </w:r>
      <w:r w:rsidR="00A52EDA">
        <w:rPr>
          <w:rFonts w:ascii="Arial" w:hAnsi="Arial" w:cs="Arial"/>
          <w:sz w:val="24"/>
          <w:szCs w:val="24"/>
        </w:rPr>
        <w:t xml:space="preserve"> Relatedly, </w:t>
      </w:r>
      <w:r w:rsidR="00432B27">
        <w:rPr>
          <w:rFonts w:ascii="Arial" w:hAnsi="Arial" w:cs="Arial"/>
          <w:sz w:val="24"/>
          <w:szCs w:val="24"/>
        </w:rPr>
        <w:t xml:space="preserve">at its June 17, 2017 meeting, </w:t>
      </w:r>
      <w:r w:rsidR="00A52EDA">
        <w:rPr>
          <w:rFonts w:ascii="Arial" w:hAnsi="Arial" w:cs="Arial"/>
          <w:sz w:val="24"/>
          <w:szCs w:val="24"/>
        </w:rPr>
        <w:t>the King County Board of Health</w:t>
      </w:r>
      <w:r w:rsidR="00432B27">
        <w:rPr>
          <w:rFonts w:ascii="Arial" w:hAnsi="Arial" w:cs="Arial"/>
          <w:sz w:val="24"/>
          <w:szCs w:val="24"/>
        </w:rPr>
        <w:t xml:space="preserve"> held a briefing </w:t>
      </w:r>
      <w:r w:rsidR="00CD421E">
        <w:rPr>
          <w:rFonts w:ascii="Arial" w:hAnsi="Arial" w:cs="Arial"/>
          <w:sz w:val="24"/>
          <w:szCs w:val="24"/>
        </w:rPr>
        <w:t>to hear recommendations from</w:t>
      </w:r>
      <w:r w:rsidR="00432B27">
        <w:rPr>
          <w:rFonts w:ascii="Arial" w:hAnsi="Arial" w:cs="Arial"/>
          <w:sz w:val="24"/>
          <w:szCs w:val="24"/>
        </w:rPr>
        <w:t xml:space="preserve"> the </w:t>
      </w:r>
      <w:r w:rsidR="00432B27" w:rsidRPr="00432B27">
        <w:rPr>
          <w:rFonts w:ascii="Arial" w:hAnsi="Arial" w:cs="Arial"/>
          <w:sz w:val="24"/>
          <w:szCs w:val="24"/>
        </w:rPr>
        <w:t>Regional Team for Protection Orders and Order to Surrender Weapons</w:t>
      </w:r>
      <w:r w:rsidR="00432B27">
        <w:rPr>
          <w:rFonts w:ascii="Arial" w:hAnsi="Arial" w:cs="Arial"/>
          <w:sz w:val="24"/>
          <w:szCs w:val="24"/>
        </w:rPr>
        <w:t>.</w:t>
      </w:r>
      <w:r w:rsidR="00504AE1">
        <w:rPr>
          <w:rStyle w:val="FootnoteReference"/>
          <w:rFonts w:ascii="Arial" w:hAnsi="Arial" w:cs="Arial"/>
          <w:sz w:val="24"/>
          <w:szCs w:val="24"/>
        </w:rPr>
        <w:footnoteReference w:id="15"/>
      </w:r>
    </w:p>
    <w:p w14:paraId="4FA733CD" w14:textId="77777777" w:rsidR="00D333D5" w:rsidRDefault="00D333D5" w:rsidP="00271050">
      <w:pPr>
        <w:autoSpaceDE w:val="0"/>
        <w:autoSpaceDN w:val="0"/>
        <w:adjustRightInd w:val="0"/>
        <w:jc w:val="both"/>
        <w:rPr>
          <w:rFonts w:ascii="Arial" w:hAnsi="Arial" w:cs="Arial"/>
          <w:sz w:val="24"/>
          <w:szCs w:val="24"/>
        </w:rPr>
      </w:pPr>
    </w:p>
    <w:p w14:paraId="5C7B103E" w14:textId="77777777" w:rsidR="00D95549" w:rsidRPr="00B64C00" w:rsidRDefault="00A52EDA" w:rsidP="00016F9E">
      <w:pPr>
        <w:autoSpaceDE w:val="0"/>
        <w:autoSpaceDN w:val="0"/>
        <w:adjustRightInd w:val="0"/>
        <w:jc w:val="both"/>
        <w:rPr>
          <w:rFonts w:ascii="Arial" w:hAnsi="Arial" w:cs="Arial"/>
          <w:sz w:val="24"/>
          <w:szCs w:val="24"/>
        </w:rPr>
      </w:pPr>
      <w:r>
        <w:rPr>
          <w:rFonts w:ascii="Arial" w:hAnsi="Arial" w:cs="Arial"/>
          <w:sz w:val="24"/>
          <w:szCs w:val="24"/>
        </w:rPr>
        <w:t xml:space="preserve">Lastly, </w:t>
      </w:r>
      <w:r w:rsidR="00CD421E">
        <w:rPr>
          <w:rFonts w:ascii="Arial" w:hAnsi="Arial" w:cs="Arial"/>
          <w:sz w:val="24"/>
          <w:szCs w:val="24"/>
        </w:rPr>
        <w:t xml:space="preserve">King County Code Chapter 12.68 </w:t>
      </w:r>
      <w:r w:rsidR="00016F9E">
        <w:rPr>
          <w:rFonts w:ascii="Arial" w:hAnsi="Arial" w:cs="Arial"/>
          <w:sz w:val="24"/>
          <w:szCs w:val="24"/>
        </w:rPr>
        <w:t>designates specific areas in unincorporated King County as “no shooting areas”, Chapter 12.78 prohibits the supplying of firearms or ammunition to those under 21 years of age in unincorporated King County, and Chapter 12.48 regulates pistol sales. However, most of these code provisions were enacted prior to 1980 and would need legal review to determine if it would comport with current state law.</w:t>
      </w:r>
    </w:p>
    <w:p w14:paraId="782B1361" w14:textId="77777777" w:rsidR="005014B2" w:rsidRPr="00196D48" w:rsidRDefault="005014B2" w:rsidP="00271050">
      <w:pPr>
        <w:autoSpaceDE w:val="0"/>
        <w:autoSpaceDN w:val="0"/>
        <w:adjustRightInd w:val="0"/>
        <w:jc w:val="both"/>
        <w:rPr>
          <w:rFonts w:ascii="Arial" w:hAnsi="Arial" w:cs="Arial"/>
          <w:sz w:val="24"/>
          <w:szCs w:val="24"/>
        </w:rPr>
      </w:pPr>
    </w:p>
    <w:p w14:paraId="27936FEB" w14:textId="77777777" w:rsidR="007315AC" w:rsidRPr="007315AC" w:rsidRDefault="00526643" w:rsidP="00110752">
      <w:pPr>
        <w:tabs>
          <w:tab w:val="left" w:pos="720"/>
          <w:tab w:val="left" w:pos="1440"/>
          <w:tab w:val="left" w:pos="2160"/>
          <w:tab w:val="left" w:pos="2880"/>
          <w:tab w:val="left" w:pos="3600"/>
          <w:tab w:val="left" w:pos="4320"/>
          <w:tab w:val="left" w:pos="5040"/>
          <w:tab w:val="left" w:pos="5760"/>
        </w:tabs>
        <w:jc w:val="both"/>
        <w:rPr>
          <w:rFonts w:ascii="Arial" w:hAnsi="Arial" w:cs="Arial"/>
          <w:b/>
          <w:i/>
          <w:sz w:val="24"/>
          <w:szCs w:val="24"/>
        </w:rPr>
      </w:pPr>
      <w:r>
        <w:rPr>
          <w:rFonts w:ascii="Arial" w:hAnsi="Arial" w:cs="Arial"/>
          <w:b/>
          <w:i/>
          <w:sz w:val="24"/>
          <w:szCs w:val="24"/>
        </w:rPr>
        <w:t>Firearm Storage Laws</w:t>
      </w:r>
      <w:r w:rsidR="007315AC" w:rsidRPr="007315AC">
        <w:rPr>
          <w:rFonts w:ascii="Arial" w:hAnsi="Arial" w:cs="Arial"/>
          <w:b/>
          <w:i/>
          <w:sz w:val="24"/>
          <w:szCs w:val="24"/>
        </w:rPr>
        <w:t xml:space="preserve"> </w:t>
      </w:r>
      <w:r>
        <w:rPr>
          <w:rFonts w:ascii="Arial" w:hAnsi="Arial" w:cs="Arial"/>
          <w:b/>
          <w:i/>
          <w:sz w:val="24"/>
          <w:szCs w:val="24"/>
        </w:rPr>
        <w:t xml:space="preserve">in </w:t>
      </w:r>
      <w:r w:rsidR="007315AC" w:rsidRPr="007315AC">
        <w:rPr>
          <w:rFonts w:ascii="Arial" w:hAnsi="Arial" w:cs="Arial"/>
          <w:b/>
          <w:i/>
          <w:sz w:val="24"/>
          <w:szCs w:val="24"/>
        </w:rPr>
        <w:t>Other Jurisdictions</w:t>
      </w:r>
      <w:r>
        <w:rPr>
          <w:rFonts w:ascii="Arial" w:hAnsi="Arial" w:cs="Arial"/>
          <w:b/>
          <w:i/>
          <w:sz w:val="24"/>
          <w:szCs w:val="24"/>
        </w:rPr>
        <w:t xml:space="preserve"> and Washington State</w:t>
      </w:r>
    </w:p>
    <w:p w14:paraId="5E3951A0" w14:textId="77777777" w:rsidR="00202CC3" w:rsidRDefault="009A5702" w:rsidP="00526643">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According to the Giffords Law Center to Prevent Gun Violence</w:t>
      </w:r>
      <w:r w:rsidR="007B05EF">
        <w:rPr>
          <w:rFonts w:ascii="Arial" w:hAnsi="Arial" w:cs="Arial"/>
          <w:sz w:val="24"/>
          <w:szCs w:val="24"/>
        </w:rPr>
        <w:t>, e</w:t>
      </w:r>
      <w:r w:rsidR="007B05EF" w:rsidRPr="007B05EF">
        <w:rPr>
          <w:rFonts w:ascii="Arial" w:hAnsi="Arial" w:cs="Arial"/>
          <w:sz w:val="24"/>
          <w:szCs w:val="24"/>
        </w:rPr>
        <w:t xml:space="preserve">leven states have laws concerning firearm locking devices. Massachusetts is the only state that generally requires that all firearms </w:t>
      </w:r>
      <w:r w:rsidR="00202CC3">
        <w:rPr>
          <w:rFonts w:ascii="Arial" w:hAnsi="Arial" w:cs="Arial"/>
          <w:sz w:val="24"/>
          <w:szCs w:val="24"/>
        </w:rPr>
        <w:t xml:space="preserve">be stored with a lock in place; and </w:t>
      </w:r>
      <w:r w:rsidR="007B05EF" w:rsidRPr="007B05EF">
        <w:rPr>
          <w:rFonts w:ascii="Arial" w:hAnsi="Arial" w:cs="Arial"/>
          <w:sz w:val="24"/>
          <w:szCs w:val="24"/>
        </w:rPr>
        <w:t xml:space="preserve">California, Connecticut, and </w:t>
      </w:r>
      <w:r w:rsidR="007B05EF" w:rsidRPr="007B05EF">
        <w:rPr>
          <w:rFonts w:ascii="Arial" w:hAnsi="Arial" w:cs="Arial"/>
          <w:sz w:val="24"/>
          <w:szCs w:val="24"/>
        </w:rPr>
        <w:lastRenderedPageBreak/>
        <w:t>New York impose this requirement in certain situations. Other state laws regarding locking devices are similar to the federal law, in that they require locking devices to accompany certain guns manufactured, sold, or transferred. Five of the eleven states also set standards for the design of locking devices or require them to be approved by a state agency for effectiveness.</w:t>
      </w:r>
      <w:r w:rsidR="007B05EF">
        <w:rPr>
          <w:rStyle w:val="FootnoteReference"/>
          <w:rFonts w:ascii="Arial" w:hAnsi="Arial" w:cs="Arial"/>
          <w:sz w:val="24"/>
          <w:szCs w:val="24"/>
        </w:rPr>
        <w:footnoteReference w:id="16"/>
      </w:r>
      <w:r w:rsidR="007B05EF">
        <w:rPr>
          <w:rFonts w:ascii="Arial" w:hAnsi="Arial" w:cs="Arial"/>
          <w:sz w:val="24"/>
          <w:szCs w:val="24"/>
        </w:rPr>
        <w:t xml:space="preserve"> The Giffords Law Center also highlight New York City, San Francisco, Sunnyvale, CA, and Albany, NY as notable local jurisdictions with laws that require safe storage and security of firearms.</w:t>
      </w:r>
      <w:r w:rsidR="007B05EF">
        <w:rPr>
          <w:rStyle w:val="FootnoteReference"/>
          <w:rFonts w:ascii="Arial" w:hAnsi="Arial" w:cs="Arial"/>
          <w:sz w:val="24"/>
          <w:szCs w:val="24"/>
        </w:rPr>
        <w:footnoteReference w:id="17"/>
      </w:r>
      <w:r w:rsidR="007B05EF">
        <w:rPr>
          <w:rFonts w:ascii="Arial" w:hAnsi="Arial" w:cs="Arial"/>
          <w:sz w:val="24"/>
          <w:szCs w:val="24"/>
        </w:rPr>
        <w:t xml:space="preserve"> </w:t>
      </w:r>
    </w:p>
    <w:p w14:paraId="57FD5D5C" w14:textId="77777777" w:rsidR="00202CC3" w:rsidRDefault="00202CC3" w:rsidP="00526643">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14:paraId="2DF38464" w14:textId="77777777" w:rsidR="00C53282" w:rsidRPr="000057EE" w:rsidRDefault="007B05EF" w:rsidP="00C5328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Washington State currently does not have any laws that require safe storage or security of firearms.</w:t>
      </w:r>
      <w:r w:rsidR="00202CC3">
        <w:rPr>
          <w:rFonts w:ascii="Arial" w:hAnsi="Arial" w:cs="Arial"/>
          <w:sz w:val="24"/>
          <w:szCs w:val="24"/>
        </w:rPr>
        <w:t xml:space="preserve"> However, i</w:t>
      </w:r>
      <w:r w:rsidR="00D010BC">
        <w:rPr>
          <w:rFonts w:ascii="Arial" w:hAnsi="Arial" w:cs="Arial"/>
          <w:sz w:val="24"/>
          <w:szCs w:val="24"/>
        </w:rPr>
        <w:t xml:space="preserve">n July 2018, the Washington Secretary of State certified </w:t>
      </w:r>
      <w:r w:rsidR="00D010BC" w:rsidRPr="00D010BC">
        <w:rPr>
          <w:rFonts w:ascii="Arial" w:hAnsi="Arial" w:cs="Arial"/>
          <w:sz w:val="24"/>
          <w:szCs w:val="24"/>
        </w:rPr>
        <w:t xml:space="preserve">Initiative 1639 for the November </w:t>
      </w:r>
      <w:r w:rsidR="00D010BC">
        <w:rPr>
          <w:rFonts w:ascii="Arial" w:hAnsi="Arial" w:cs="Arial"/>
          <w:sz w:val="24"/>
          <w:szCs w:val="24"/>
        </w:rPr>
        <w:t xml:space="preserve">2018 </w:t>
      </w:r>
      <w:r w:rsidR="00D010BC" w:rsidRPr="00D010BC">
        <w:rPr>
          <w:rFonts w:ascii="Arial" w:hAnsi="Arial" w:cs="Arial"/>
          <w:sz w:val="24"/>
          <w:szCs w:val="24"/>
        </w:rPr>
        <w:t>General Election</w:t>
      </w:r>
      <w:r w:rsidR="00D010BC">
        <w:rPr>
          <w:rFonts w:ascii="Arial" w:hAnsi="Arial" w:cs="Arial"/>
          <w:sz w:val="24"/>
          <w:szCs w:val="24"/>
        </w:rPr>
        <w:t xml:space="preserve">. The initiative would </w:t>
      </w:r>
      <w:r w:rsidR="00F964E9">
        <w:rPr>
          <w:rFonts w:ascii="Arial" w:hAnsi="Arial" w:cs="Arial"/>
          <w:sz w:val="24"/>
          <w:szCs w:val="24"/>
        </w:rPr>
        <w:t xml:space="preserve">enact new state laws to implement </w:t>
      </w:r>
      <w:r w:rsidR="00D010BC" w:rsidRPr="00D010BC">
        <w:rPr>
          <w:rFonts w:ascii="Arial" w:hAnsi="Arial" w:cs="Arial"/>
          <w:sz w:val="24"/>
          <w:szCs w:val="24"/>
        </w:rPr>
        <w:t>firearm safety measures, includin</w:t>
      </w:r>
      <w:r w:rsidR="00F964E9">
        <w:rPr>
          <w:rFonts w:ascii="Arial" w:hAnsi="Arial" w:cs="Arial"/>
          <w:sz w:val="24"/>
          <w:szCs w:val="24"/>
        </w:rPr>
        <w:t xml:space="preserve">g requiring enhanced background </w:t>
      </w:r>
      <w:r w:rsidR="00D010BC" w:rsidRPr="00D010BC">
        <w:rPr>
          <w:rFonts w:ascii="Arial" w:hAnsi="Arial" w:cs="Arial"/>
          <w:sz w:val="24"/>
          <w:szCs w:val="24"/>
        </w:rPr>
        <w:t>checks, waiting periods, and</w:t>
      </w:r>
      <w:r w:rsidR="00F964E9">
        <w:rPr>
          <w:rFonts w:ascii="Arial" w:hAnsi="Arial" w:cs="Arial"/>
          <w:sz w:val="24"/>
          <w:szCs w:val="24"/>
        </w:rPr>
        <w:t xml:space="preserve"> increased age requirements for </w:t>
      </w:r>
      <w:r w:rsidR="00D010BC" w:rsidRPr="00D010BC">
        <w:rPr>
          <w:rFonts w:ascii="Arial" w:hAnsi="Arial" w:cs="Arial"/>
          <w:sz w:val="24"/>
          <w:szCs w:val="24"/>
        </w:rPr>
        <w:t>semiautomatic assault rifles</w:t>
      </w:r>
      <w:r w:rsidR="00F964E9">
        <w:rPr>
          <w:rFonts w:ascii="Arial" w:hAnsi="Arial" w:cs="Arial"/>
          <w:sz w:val="24"/>
          <w:szCs w:val="24"/>
        </w:rPr>
        <w:t xml:space="preserve"> and secure gun storage for all </w:t>
      </w:r>
      <w:r w:rsidR="00D010BC" w:rsidRPr="00D010BC">
        <w:rPr>
          <w:rFonts w:ascii="Arial" w:hAnsi="Arial" w:cs="Arial"/>
          <w:sz w:val="24"/>
          <w:szCs w:val="24"/>
        </w:rPr>
        <w:t>firearms</w:t>
      </w:r>
      <w:r w:rsidR="00F964E9">
        <w:rPr>
          <w:rFonts w:ascii="Arial" w:hAnsi="Arial" w:cs="Arial"/>
          <w:sz w:val="24"/>
          <w:szCs w:val="24"/>
        </w:rPr>
        <w:t>.</w:t>
      </w:r>
      <w:r w:rsidR="003C3468">
        <w:rPr>
          <w:rStyle w:val="FootnoteReference"/>
          <w:rFonts w:ascii="Arial" w:hAnsi="Arial" w:cs="Arial"/>
          <w:sz w:val="24"/>
          <w:szCs w:val="24"/>
        </w:rPr>
        <w:footnoteReference w:id="18"/>
      </w:r>
      <w:r w:rsidR="001008E5">
        <w:rPr>
          <w:rFonts w:ascii="Arial" w:hAnsi="Arial" w:cs="Arial"/>
          <w:sz w:val="24"/>
          <w:szCs w:val="24"/>
        </w:rPr>
        <w:t xml:space="preserve"> </w:t>
      </w:r>
      <w:r w:rsidR="00876160">
        <w:rPr>
          <w:rFonts w:ascii="Arial" w:hAnsi="Arial" w:cs="Arial"/>
          <w:sz w:val="24"/>
          <w:szCs w:val="24"/>
        </w:rPr>
        <w:t>More specifically, t</w:t>
      </w:r>
      <w:r w:rsidR="001008E5">
        <w:rPr>
          <w:rFonts w:ascii="Arial" w:hAnsi="Arial" w:cs="Arial"/>
          <w:sz w:val="24"/>
          <w:szCs w:val="24"/>
        </w:rPr>
        <w:t xml:space="preserve">he initiative would </w:t>
      </w:r>
      <w:r w:rsidR="009600BA">
        <w:rPr>
          <w:rFonts w:ascii="Arial" w:hAnsi="Arial" w:cs="Arial"/>
          <w:sz w:val="24"/>
          <w:szCs w:val="24"/>
        </w:rPr>
        <w:t xml:space="preserve">make a gun owner </w:t>
      </w:r>
      <w:r w:rsidR="00C53282">
        <w:rPr>
          <w:rFonts w:ascii="Arial" w:hAnsi="Arial" w:cs="Arial"/>
          <w:sz w:val="24"/>
          <w:szCs w:val="24"/>
        </w:rPr>
        <w:t xml:space="preserve">face criminal prosecution </w:t>
      </w:r>
      <w:r w:rsidR="00876160">
        <w:rPr>
          <w:rFonts w:ascii="Arial" w:hAnsi="Arial" w:cs="Arial"/>
          <w:sz w:val="24"/>
          <w:szCs w:val="24"/>
        </w:rPr>
        <w:t>for unsafe storage of firearms if the firearm is accessed by a prohibited person</w:t>
      </w:r>
      <w:r w:rsidR="000057EE">
        <w:rPr>
          <w:rFonts w:ascii="Arial" w:hAnsi="Arial" w:cs="Arial"/>
          <w:sz w:val="24"/>
          <w:szCs w:val="24"/>
        </w:rPr>
        <w:t xml:space="preserve"> and the firearm is </w:t>
      </w:r>
      <w:r w:rsidR="00296A78">
        <w:rPr>
          <w:rFonts w:ascii="Arial" w:hAnsi="Arial" w:cs="Arial"/>
          <w:sz w:val="24"/>
          <w:szCs w:val="24"/>
        </w:rPr>
        <w:t xml:space="preserve">either </w:t>
      </w:r>
      <w:r w:rsidR="000057EE">
        <w:rPr>
          <w:rFonts w:ascii="Arial" w:hAnsi="Arial" w:cs="Arial"/>
          <w:sz w:val="24"/>
          <w:szCs w:val="24"/>
        </w:rPr>
        <w:t xml:space="preserve">discharged, exhibited to intimidate others, used in the commission of a crime, or </w:t>
      </w:r>
      <w:r w:rsidR="009600BA">
        <w:rPr>
          <w:rFonts w:ascii="Arial" w:hAnsi="Arial" w:cs="Arial"/>
          <w:sz w:val="24"/>
          <w:szCs w:val="24"/>
        </w:rPr>
        <w:t xml:space="preserve">used </w:t>
      </w:r>
      <w:r w:rsidR="00876160">
        <w:rPr>
          <w:rFonts w:ascii="Arial" w:hAnsi="Arial" w:cs="Arial"/>
          <w:sz w:val="24"/>
          <w:szCs w:val="24"/>
        </w:rPr>
        <w:t>to</w:t>
      </w:r>
      <w:r w:rsidR="009600BA">
        <w:rPr>
          <w:rFonts w:ascii="Arial" w:hAnsi="Arial" w:cs="Arial"/>
          <w:sz w:val="24"/>
          <w:szCs w:val="24"/>
        </w:rPr>
        <w:t xml:space="preserve"> </w:t>
      </w:r>
      <w:r w:rsidR="000057EE">
        <w:rPr>
          <w:rFonts w:ascii="Arial" w:hAnsi="Arial" w:cs="Arial"/>
          <w:sz w:val="24"/>
          <w:szCs w:val="24"/>
        </w:rPr>
        <w:t xml:space="preserve">cause personal injury or death. The initiative would also require firearm dealers to </w:t>
      </w:r>
      <w:r w:rsidR="00C53282">
        <w:rPr>
          <w:rFonts w:ascii="Arial" w:hAnsi="Arial" w:cs="Arial"/>
          <w:sz w:val="24"/>
          <w:szCs w:val="24"/>
        </w:rPr>
        <w:t xml:space="preserve">give or sell </w:t>
      </w:r>
      <w:r w:rsidR="000057EE">
        <w:rPr>
          <w:rFonts w:ascii="Arial" w:hAnsi="Arial" w:cs="Arial"/>
          <w:sz w:val="24"/>
          <w:szCs w:val="24"/>
        </w:rPr>
        <w:t xml:space="preserve">a firearm storage or safety device to purchaser/transferee at time of purchase </w:t>
      </w:r>
      <w:r w:rsidR="00C53282">
        <w:rPr>
          <w:rFonts w:ascii="Arial" w:hAnsi="Arial" w:cs="Arial"/>
          <w:sz w:val="24"/>
          <w:szCs w:val="24"/>
        </w:rPr>
        <w:t>or transfer. Lastly, the initiative would</w:t>
      </w:r>
      <w:r w:rsidR="000057EE">
        <w:rPr>
          <w:rFonts w:ascii="Arial" w:hAnsi="Arial" w:cs="Arial"/>
          <w:sz w:val="24"/>
          <w:szCs w:val="24"/>
        </w:rPr>
        <w:t xml:space="preserve"> require dealers to post </w:t>
      </w:r>
      <w:r w:rsidR="00C53282">
        <w:rPr>
          <w:rFonts w:ascii="Arial" w:hAnsi="Arial" w:cs="Arial"/>
          <w:sz w:val="24"/>
          <w:szCs w:val="24"/>
        </w:rPr>
        <w:t>a warning sign</w:t>
      </w:r>
      <w:r w:rsidR="000057EE">
        <w:rPr>
          <w:rFonts w:ascii="Arial" w:hAnsi="Arial" w:cs="Arial"/>
          <w:sz w:val="24"/>
          <w:szCs w:val="24"/>
        </w:rPr>
        <w:t xml:space="preserve"> that an individual may face criminal prosecution</w:t>
      </w:r>
      <w:r w:rsidR="00C53282">
        <w:rPr>
          <w:rFonts w:ascii="Arial" w:hAnsi="Arial" w:cs="Arial"/>
          <w:sz w:val="24"/>
          <w:szCs w:val="24"/>
        </w:rPr>
        <w:t xml:space="preserve"> if a firearm is left unsecured </w:t>
      </w:r>
      <w:r w:rsidR="00296A78">
        <w:rPr>
          <w:rFonts w:ascii="Arial" w:hAnsi="Arial" w:cs="Arial"/>
          <w:sz w:val="24"/>
          <w:szCs w:val="24"/>
        </w:rPr>
        <w:t xml:space="preserve">at a location </w:t>
      </w:r>
      <w:r w:rsidR="00C53282">
        <w:rPr>
          <w:rFonts w:ascii="Arial" w:hAnsi="Arial" w:cs="Arial"/>
          <w:sz w:val="24"/>
          <w:szCs w:val="24"/>
        </w:rPr>
        <w:t>where a person who is prohibited from possessing firearms can obtain possession.</w:t>
      </w:r>
      <w:r w:rsidR="009C6275">
        <w:rPr>
          <w:rFonts w:ascii="Arial" w:hAnsi="Arial" w:cs="Arial"/>
          <w:sz w:val="24"/>
          <w:szCs w:val="24"/>
        </w:rPr>
        <w:t xml:space="preserve"> Attachment 4</w:t>
      </w:r>
      <w:r w:rsidR="00540CC8">
        <w:rPr>
          <w:rFonts w:ascii="Arial" w:hAnsi="Arial" w:cs="Arial"/>
          <w:sz w:val="24"/>
          <w:szCs w:val="24"/>
        </w:rPr>
        <w:t xml:space="preserve"> to this staff report provides the text of Initiative 1639. </w:t>
      </w:r>
      <w:r w:rsidR="00DF105F">
        <w:rPr>
          <w:rFonts w:ascii="Arial" w:hAnsi="Arial" w:cs="Arial"/>
          <w:sz w:val="24"/>
          <w:szCs w:val="24"/>
        </w:rPr>
        <w:t xml:space="preserve">The initiative underwent legal challenges </w:t>
      </w:r>
      <w:r w:rsidR="00296A78">
        <w:rPr>
          <w:rFonts w:ascii="Arial" w:hAnsi="Arial" w:cs="Arial"/>
          <w:sz w:val="24"/>
          <w:szCs w:val="24"/>
        </w:rPr>
        <w:t>concerning</w:t>
      </w:r>
      <w:r w:rsidR="00DF105F">
        <w:rPr>
          <w:rFonts w:ascii="Arial" w:hAnsi="Arial" w:cs="Arial"/>
          <w:sz w:val="24"/>
          <w:szCs w:val="24"/>
        </w:rPr>
        <w:t xml:space="preserve"> the proper formatting of the ballot initiative. </w:t>
      </w:r>
      <w:r w:rsidR="00296A78">
        <w:rPr>
          <w:rFonts w:ascii="Arial" w:hAnsi="Arial" w:cs="Arial"/>
          <w:sz w:val="24"/>
          <w:szCs w:val="24"/>
        </w:rPr>
        <w:t>However, t</w:t>
      </w:r>
      <w:r w:rsidR="00DF105F">
        <w:rPr>
          <w:rFonts w:ascii="Arial" w:hAnsi="Arial" w:cs="Arial"/>
          <w:sz w:val="24"/>
          <w:szCs w:val="24"/>
        </w:rPr>
        <w:t>he Washington State Supreme Court gave a final ruling on August 24, 2018 to keep Initiative 1639 in the November 2018 General Election.</w:t>
      </w:r>
      <w:r w:rsidR="00DF105F">
        <w:rPr>
          <w:rStyle w:val="FootnoteReference"/>
          <w:rFonts w:ascii="Arial" w:hAnsi="Arial" w:cs="Arial"/>
          <w:sz w:val="24"/>
          <w:szCs w:val="24"/>
        </w:rPr>
        <w:footnoteReference w:id="19"/>
      </w:r>
    </w:p>
    <w:p w14:paraId="722AAE5E" w14:textId="2BF042CA" w:rsidR="000057EE" w:rsidRDefault="000057EE" w:rsidP="009600BA">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14:paraId="6A703545" w14:textId="77777777" w:rsidR="005014B2" w:rsidRDefault="00771AA8" w:rsidP="00540CC8">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In July 20, 2018, the City of Seattle enacted an ordinance related to the safe storage of and access to firearms.</w:t>
      </w:r>
      <w:r>
        <w:rPr>
          <w:rStyle w:val="FootnoteReference"/>
          <w:rFonts w:ascii="Arial" w:hAnsi="Arial" w:cs="Arial"/>
          <w:sz w:val="24"/>
          <w:szCs w:val="24"/>
        </w:rPr>
        <w:footnoteReference w:id="20"/>
      </w:r>
      <w:r>
        <w:rPr>
          <w:rFonts w:ascii="Arial" w:hAnsi="Arial" w:cs="Arial"/>
          <w:sz w:val="24"/>
          <w:szCs w:val="24"/>
        </w:rPr>
        <w:t xml:space="preserve"> The ordinance </w:t>
      </w:r>
      <w:r w:rsidR="00540CC8">
        <w:rPr>
          <w:rFonts w:ascii="Arial" w:hAnsi="Arial" w:cs="Arial"/>
          <w:sz w:val="24"/>
          <w:szCs w:val="24"/>
        </w:rPr>
        <w:t xml:space="preserve">would prohibit an individual from storing or keeping a firearm in any premises, unless the firearm is secured in a locked container, </w:t>
      </w:r>
      <w:r w:rsidRPr="00771AA8">
        <w:rPr>
          <w:rFonts w:ascii="Arial" w:hAnsi="Arial" w:cs="Arial"/>
          <w:sz w:val="24"/>
          <w:szCs w:val="24"/>
        </w:rPr>
        <w:t xml:space="preserve">properly engaged so as to render such weapon </w:t>
      </w:r>
      <w:r w:rsidR="00540CC8">
        <w:rPr>
          <w:rFonts w:ascii="Arial" w:hAnsi="Arial" w:cs="Arial"/>
          <w:sz w:val="24"/>
          <w:szCs w:val="24"/>
        </w:rPr>
        <w:t xml:space="preserve">inaccessible or unusable to any </w:t>
      </w:r>
      <w:r w:rsidRPr="00771AA8">
        <w:rPr>
          <w:rFonts w:ascii="Arial" w:hAnsi="Arial" w:cs="Arial"/>
          <w:sz w:val="24"/>
          <w:szCs w:val="24"/>
        </w:rPr>
        <w:t>person other than the owner or</w:t>
      </w:r>
      <w:r w:rsidR="00540CC8">
        <w:rPr>
          <w:rFonts w:ascii="Arial" w:hAnsi="Arial" w:cs="Arial"/>
          <w:sz w:val="24"/>
          <w:szCs w:val="24"/>
        </w:rPr>
        <w:t xml:space="preserve"> other lawfully authorized user. A violation would be a civil infraction. In addition, the ordinance would also issue a civil infraction to an individual if that individual</w:t>
      </w:r>
      <w:r w:rsidR="00540CC8" w:rsidRPr="00540CC8">
        <w:rPr>
          <w:rFonts w:ascii="Arial" w:hAnsi="Arial" w:cs="Arial"/>
          <w:sz w:val="24"/>
          <w:szCs w:val="24"/>
        </w:rPr>
        <w:t xml:space="preserve"> knows or reasonably should know that a</w:t>
      </w:r>
      <w:r w:rsidR="00540CC8">
        <w:rPr>
          <w:rFonts w:ascii="Arial" w:hAnsi="Arial" w:cs="Arial"/>
          <w:sz w:val="24"/>
          <w:szCs w:val="24"/>
        </w:rPr>
        <w:t xml:space="preserve"> minor, an at-risk person, or a </w:t>
      </w:r>
      <w:r w:rsidR="00540CC8" w:rsidRPr="00540CC8">
        <w:rPr>
          <w:rFonts w:ascii="Arial" w:hAnsi="Arial" w:cs="Arial"/>
          <w:sz w:val="24"/>
          <w:szCs w:val="24"/>
        </w:rPr>
        <w:t>prohibited perso</w:t>
      </w:r>
      <w:r w:rsidR="00540CC8">
        <w:rPr>
          <w:rFonts w:ascii="Arial" w:hAnsi="Arial" w:cs="Arial"/>
          <w:sz w:val="24"/>
          <w:szCs w:val="24"/>
        </w:rPr>
        <w:t xml:space="preserve">n is likely to gain access to the </w:t>
      </w:r>
      <w:r w:rsidR="00540CC8" w:rsidRPr="00540CC8">
        <w:rPr>
          <w:rFonts w:ascii="Arial" w:hAnsi="Arial" w:cs="Arial"/>
          <w:sz w:val="24"/>
          <w:szCs w:val="24"/>
        </w:rPr>
        <w:t>firearm</w:t>
      </w:r>
      <w:r w:rsidR="00540CC8">
        <w:rPr>
          <w:rFonts w:ascii="Arial" w:hAnsi="Arial" w:cs="Arial"/>
          <w:sz w:val="24"/>
          <w:szCs w:val="24"/>
        </w:rPr>
        <w:t xml:space="preserve">, and also </w:t>
      </w:r>
      <w:r w:rsidR="00540CC8" w:rsidRPr="00540CC8">
        <w:rPr>
          <w:rFonts w:ascii="Arial" w:hAnsi="Arial" w:cs="Arial"/>
          <w:sz w:val="24"/>
          <w:szCs w:val="24"/>
        </w:rPr>
        <w:t>obtains the firearm.</w:t>
      </w:r>
      <w:r w:rsidR="0058523B">
        <w:rPr>
          <w:rFonts w:ascii="Arial" w:hAnsi="Arial" w:cs="Arial"/>
          <w:sz w:val="24"/>
          <w:szCs w:val="24"/>
        </w:rPr>
        <w:t xml:space="preserve"> Attachment </w:t>
      </w:r>
      <w:r w:rsidR="009C6275">
        <w:rPr>
          <w:rFonts w:ascii="Arial" w:hAnsi="Arial" w:cs="Arial"/>
          <w:sz w:val="24"/>
          <w:szCs w:val="24"/>
        </w:rPr>
        <w:t>5</w:t>
      </w:r>
      <w:r w:rsidR="00DF105F">
        <w:rPr>
          <w:rFonts w:ascii="Arial" w:hAnsi="Arial" w:cs="Arial"/>
          <w:sz w:val="24"/>
          <w:szCs w:val="24"/>
        </w:rPr>
        <w:t xml:space="preserve"> includes a copy of the </w:t>
      </w:r>
      <w:r w:rsidR="00681298">
        <w:rPr>
          <w:rFonts w:ascii="Arial" w:hAnsi="Arial" w:cs="Arial"/>
          <w:sz w:val="24"/>
          <w:szCs w:val="24"/>
        </w:rPr>
        <w:t xml:space="preserve">City of Seattle </w:t>
      </w:r>
      <w:r w:rsidR="00DF105F">
        <w:rPr>
          <w:rFonts w:ascii="Arial" w:hAnsi="Arial" w:cs="Arial"/>
          <w:sz w:val="24"/>
          <w:szCs w:val="24"/>
        </w:rPr>
        <w:t>ordinance.</w:t>
      </w:r>
    </w:p>
    <w:p w14:paraId="6DB89246" w14:textId="77777777" w:rsidR="00540CC8" w:rsidRDefault="00540CC8" w:rsidP="00771AA8">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14:paraId="4A719E6E" w14:textId="77777777" w:rsidR="006F2148" w:rsidRDefault="006F2148" w:rsidP="00771AA8">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14:paraId="5CD06B15" w14:textId="77777777" w:rsidR="00B64142" w:rsidRPr="00271050" w:rsidRDefault="005F337B" w:rsidP="00271050">
      <w:pPr>
        <w:tabs>
          <w:tab w:val="left" w:pos="720"/>
          <w:tab w:val="left" w:pos="1440"/>
          <w:tab w:val="left" w:pos="2160"/>
          <w:tab w:val="left" w:pos="2880"/>
          <w:tab w:val="left" w:pos="3600"/>
          <w:tab w:val="left" w:pos="4320"/>
          <w:tab w:val="left" w:pos="5040"/>
          <w:tab w:val="left" w:pos="5760"/>
        </w:tabs>
        <w:jc w:val="both"/>
        <w:rPr>
          <w:rFonts w:ascii="Arial" w:hAnsi="Arial" w:cs="Arial"/>
          <w:b/>
          <w:i/>
          <w:sz w:val="24"/>
          <w:szCs w:val="24"/>
        </w:rPr>
      </w:pPr>
      <w:r w:rsidRPr="005F337B">
        <w:rPr>
          <w:rFonts w:ascii="Arial" w:hAnsi="Arial" w:cs="Arial"/>
          <w:b/>
          <w:i/>
          <w:sz w:val="24"/>
          <w:szCs w:val="24"/>
        </w:rPr>
        <w:lastRenderedPageBreak/>
        <w:t>Summary of Proposed Ordinance</w:t>
      </w:r>
      <w:r w:rsidR="004F5B5E">
        <w:rPr>
          <w:rFonts w:ascii="Arial" w:hAnsi="Arial" w:cs="Arial"/>
          <w:b/>
          <w:i/>
          <w:sz w:val="24"/>
          <w:szCs w:val="24"/>
        </w:rPr>
        <w:t xml:space="preserve"> 2018-0373</w:t>
      </w:r>
    </w:p>
    <w:p w14:paraId="42A8F4F2" w14:textId="77777777" w:rsidR="00110752" w:rsidRDefault="00ED170A"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The follow</w:t>
      </w:r>
      <w:r w:rsidR="004F5B5E">
        <w:rPr>
          <w:rFonts w:ascii="Arial" w:hAnsi="Arial" w:cs="Arial"/>
          <w:sz w:val="24"/>
          <w:szCs w:val="24"/>
        </w:rPr>
        <w:t xml:space="preserve">ing provides an outline of the </w:t>
      </w:r>
      <w:r w:rsidR="00910E31">
        <w:rPr>
          <w:rFonts w:ascii="Arial" w:hAnsi="Arial" w:cs="Arial"/>
          <w:sz w:val="24"/>
          <w:szCs w:val="24"/>
        </w:rPr>
        <w:t>proposed ordinance</w:t>
      </w:r>
      <w:r>
        <w:rPr>
          <w:rFonts w:ascii="Arial" w:hAnsi="Arial" w:cs="Arial"/>
          <w:sz w:val="24"/>
          <w:szCs w:val="24"/>
        </w:rPr>
        <w:t>:</w:t>
      </w:r>
    </w:p>
    <w:p w14:paraId="781E38D8" w14:textId="77777777" w:rsidR="00C53760" w:rsidRDefault="00C53760"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14:paraId="66C9CC77" w14:textId="77777777" w:rsidR="00ED170A" w:rsidRDefault="00ED170A"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b/>
          <w:sz w:val="24"/>
          <w:szCs w:val="24"/>
        </w:rPr>
        <w:tab/>
      </w:r>
      <w:r w:rsidRPr="00ED170A">
        <w:rPr>
          <w:rFonts w:ascii="Arial" w:hAnsi="Arial" w:cs="Arial"/>
          <w:b/>
          <w:sz w:val="24"/>
          <w:szCs w:val="24"/>
        </w:rPr>
        <w:t>Section 1:</w:t>
      </w:r>
      <w:r>
        <w:rPr>
          <w:rFonts w:ascii="Arial" w:hAnsi="Arial" w:cs="Arial"/>
          <w:sz w:val="24"/>
          <w:szCs w:val="24"/>
        </w:rPr>
        <w:t xml:space="preserve"> Adds a new chapter in King County Code Title 12</w:t>
      </w:r>
      <w:r w:rsidR="004A38C9">
        <w:rPr>
          <w:rFonts w:ascii="Arial" w:hAnsi="Arial" w:cs="Arial"/>
          <w:sz w:val="24"/>
          <w:szCs w:val="24"/>
        </w:rPr>
        <w:t>;</w:t>
      </w:r>
    </w:p>
    <w:p w14:paraId="66B5E84A" w14:textId="77777777" w:rsidR="00ED170A" w:rsidRDefault="00ED170A"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ab/>
      </w:r>
    </w:p>
    <w:p w14:paraId="6B9D50C5" w14:textId="77777777" w:rsidR="00ED170A" w:rsidRDefault="00ED170A" w:rsidP="00ED170A">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24"/>
          <w:szCs w:val="24"/>
        </w:rPr>
      </w:pPr>
      <w:r w:rsidRPr="00ED170A">
        <w:rPr>
          <w:rFonts w:ascii="Arial" w:hAnsi="Arial" w:cs="Arial"/>
          <w:b/>
          <w:sz w:val="24"/>
          <w:szCs w:val="24"/>
        </w:rPr>
        <w:t>Section 2:</w:t>
      </w:r>
      <w:r>
        <w:rPr>
          <w:rFonts w:ascii="Arial" w:hAnsi="Arial" w:cs="Arial"/>
          <w:sz w:val="24"/>
          <w:szCs w:val="24"/>
        </w:rPr>
        <w:t xml:space="preserve"> Provides definition of key terms including a detailed definition of “s</w:t>
      </w:r>
      <w:r w:rsidRPr="00ED170A">
        <w:rPr>
          <w:rFonts w:ascii="Arial" w:hAnsi="Arial" w:cs="Arial"/>
          <w:sz w:val="24"/>
          <w:szCs w:val="24"/>
        </w:rPr>
        <w:t>ecure firearm storage or safety device</w:t>
      </w:r>
      <w:r>
        <w:rPr>
          <w:rFonts w:ascii="Arial" w:hAnsi="Arial" w:cs="Arial"/>
          <w:sz w:val="24"/>
          <w:szCs w:val="24"/>
        </w:rPr>
        <w:t>”</w:t>
      </w:r>
      <w:r w:rsidR="004A38C9">
        <w:rPr>
          <w:rFonts w:ascii="Arial" w:hAnsi="Arial" w:cs="Arial"/>
          <w:sz w:val="24"/>
          <w:szCs w:val="24"/>
        </w:rPr>
        <w:t>;</w:t>
      </w:r>
    </w:p>
    <w:p w14:paraId="0D30995E" w14:textId="77777777" w:rsidR="00ED170A" w:rsidRDefault="00ED170A" w:rsidP="00ED170A">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24"/>
          <w:szCs w:val="24"/>
        </w:rPr>
      </w:pPr>
    </w:p>
    <w:p w14:paraId="1C78721C" w14:textId="77777777" w:rsidR="00ED170A" w:rsidRDefault="00ED170A" w:rsidP="00ED170A">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24"/>
          <w:szCs w:val="24"/>
        </w:rPr>
      </w:pPr>
      <w:r w:rsidRPr="00ED170A">
        <w:rPr>
          <w:rFonts w:ascii="Arial" w:hAnsi="Arial" w:cs="Arial"/>
          <w:b/>
          <w:sz w:val="24"/>
          <w:szCs w:val="24"/>
        </w:rPr>
        <w:t>Section 3:</w:t>
      </w:r>
      <w:r>
        <w:rPr>
          <w:rFonts w:ascii="Arial" w:hAnsi="Arial" w:cs="Arial"/>
          <w:sz w:val="24"/>
          <w:szCs w:val="24"/>
        </w:rPr>
        <w:t xml:space="preserve"> M</w:t>
      </w:r>
      <w:r w:rsidRPr="00ED170A">
        <w:rPr>
          <w:rFonts w:ascii="Arial" w:hAnsi="Arial" w:cs="Arial"/>
          <w:sz w:val="24"/>
          <w:szCs w:val="24"/>
        </w:rPr>
        <w:t>ake</w:t>
      </w:r>
      <w:r>
        <w:rPr>
          <w:rFonts w:ascii="Arial" w:hAnsi="Arial" w:cs="Arial"/>
          <w:sz w:val="24"/>
          <w:szCs w:val="24"/>
        </w:rPr>
        <w:t>s</w:t>
      </w:r>
      <w:r w:rsidRPr="00ED170A">
        <w:rPr>
          <w:rFonts w:ascii="Arial" w:hAnsi="Arial" w:cs="Arial"/>
          <w:sz w:val="24"/>
          <w:szCs w:val="24"/>
        </w:rPr>
        <w:t xml:space="preserve"> it unlawful for any person in unincorporated King County to keep a firearm, whether loaded or unloaded with ammunition, within any premise unless the firearm is safely stored in or using a secure firearm storage or safety device</w:t>
      </w:r>
      <w:r w:rsidR="004A38C9">
        <w:rPr>
          <w:rFonts w:ascii="Arial" w:hAnsi="Arial" w:cs="Arial"/>
          <w:sz w:val="24"/>
          <w:szCs w:val="24"/>
        </w:rPr>
        <w:t>; and</w:t>
      </w:r>
    </w:p>
    <w:p w14:paraId="53BE502C" w14:textId="77777777" w:rsidR="00ED170A" w:rsidRDefault="00ED170A" w:rsidP="00ED170A">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24"/>
          <w:szCs w:val="24"/>
        </w:rPr>
      </w:pPr>
    </w:p>
    <w:p w14:paraId="47168412" w14:textId="77777777" w:rsidR="00ED170A" w:rsidRPr="00196D48" w:rsidRDefault="00ED170A" w:rsidP="00ED170A">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24"/>
          <w:szCs w:val="24"/>
        </w:rPr>
      </w:pPr>
      <w:r w:rsidRPr="00ED170A">
        <w:rPr>
          <w:rFonts w:ascii="Arial" w:hAnsi="Arial" w:cs="Arial"/>
          <w:b/>
          <w:sz w:val="24"/>
          <w:szCs w:val="24"/>
        </w:rPr>
        <w:t>Section 4:</w:t>
      </w:r>
      <w:r>
        <w:rPr>
          <w:rFonts w:ascii="Arial" w:hAnsi="Arial" w:cs="Arial"/>
          <w:sz w:val="24"/>
          <w:szCs w:val="24"/>
        </w:rPr>
        <w:t xml:space="preserve"> Establishes enforcement mechanisms and </w:t>
      </w:r>
      <w:r w:rsidR="004A38C9">
        <w:rPr>
          <w:rFonts w:ascii="Arial" w:hAnsi="Arial" w:cs="Arial"/>
          <w:sz w:val="24"/>
          <w:szCs w:val="24"/>
        </w:rPr>
        <w:t>prescribes penalties</w:t>
      </w:r>
      <w:r w:rsidR="00910E31">
        <w:rPr>
          <w:rFonts w:ascii="Arial" w:hAnsi="Arial" w:cs="Arial"/>
          <w:sz w:val="24"/>
          <w:szCs w:val="24"/>
        </w:rPr>
        <w:t>.</w:t>
      </w:r>
    </w:p>
    <w:p w14:paraId="45D58972" w14:textId="77777777" w:rsidR="00B25744" w:rsidRPr="00196D48" w:rsidRDefault="00B25744" w:rsidP="003A3CE9">
      <w:pPr>
        <w:jc w:val="both"/>
        <w:rPr>
          <w:rFonts w:ascii="Arial" w:hAnsi="Arial" w:cs="Arial"/>
          <w:b/>
          <w:smallCaps/>
          <w:sz w:val="24"/>
          <w:szCs w:val="24"/>
          <w:u w:val="single"/>
        </w:rPr>
      </w:pPr>
    </w:p>
    <w:p w14:paraId="2C06AB43" w14:textId="77777777" w:rsidR="003A3CE9" w:rsidRPr="00196D48" w:rsidRDefault="003A3CE9" w:rsidP="003A3CE9">
      <w:pPr>
        <w:jc w:val="both"/>
        <w:rPr>
          <w:rFonts w:ascii="Arial" w:hAnsi="Arial" w:cs="Arial"/>
          <w:b/>
          <w:smallCaps/>
          <w:sz w:val="24"/>
          <w:szCs w:val="24"/>
          <w:u w:val="single"/>
        </w:rPr>
      </w:pPr>
      <w:r w:rsidRPr="00196D48">
        <w:rPr>
          <w:rFonts w:ascii="Arial" w:hAnsi="Arial" w:cs="Arial"/>
          <w:b/>
          <w:smallCaps/>
          <w:sz w:val="24"/>
          <w:szCs w:val="24"/>
          <w:u w:val="single"/>
        </w:rPr>
        <w:t>ANALYSIS</w:t>
      </w:r>
    </w:p>
    <w:p w14:paraId="16E502CF" w14:textId="77777777" w:rsidR="00162B01" w:rsidRDefault="00162B01" w:rsidP="004152FF">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14:paraId="6AA96E07" w14:textId="77777777" w:rsidR="00162B01" w:rsidRPr="00162B01" w:rsidRDefault="00A14E6C" w:rsidP="004152FF">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b/>
          <w:i/>
          <w:sz w:val="24"/>
          <w:szCs w:val="24"/>
        </w:rPr>
      </w:pPr>
      <w:r>
        <w:rPr>
          <w:rFonts w:ascii="Arial" w:eastAsia="Arial" w:hAnsi="Arial" w:cs="Arial"/>
          <w:b/>
          <w:i/>
          <w:sz w:val="24"/>
          <w:szCs w:val="24"/>
        </w:rPr>
        <w:t>Resource Impacts for Enforcement</w:t>
      </w:r>
    </w:p>
    <w:p w14:paraId="00EEF08B" w14:textId="1427833D" w:rsidR="00162B01" w:rsidRDefault="004152FF" w:rsidP="00162B01">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 xml:space="preserve">KCSO staff </w:t>
      </w:r>
      <w:r w:rsidR="00033AEA">
        <w:rPr>
          <w:rFonts w:ascii="Arial" w:eastAsia="Arial" w:hAnsi="Arial" w:cs="Arial"/>
          <w:sz w:val="24"/>
          <w:szCs w:val="24"/>
        </w:rPr>
        <w:t>estimate</w:t>
      </w:r>
      <w:r>
        <w:rPr>
          <w:rFonts w:ascii="Arial" w:eastAsia="Arial" w:hAnsi="Arial" w:cs="Arial"/>
          <w:sz w:val="24"/>
          <w:szCs w:val="24"/>
        </w:rPr>
        <w:t xml:space="preserve"> that </w:t>
      </w:r>
      <w:r w:rsidR="008F4CC0">
        <w:rPr>
          <w:rFonts w:ascii="Arial" w:eastAsia="Arial" w:hAnsi="Arial" w:cs="Arial"/>
          <w:sz w:val="24"/>
          <w:szCs w:val="24"/>
        </w:rPr>
        <w:t>they</w:t>
      </w:r>
      <w:r>
        <w:rPr>
          <w:rFonts w:ascii="Arial" w:eastAsia="Arial" w:hAnsi="Arial" w:cs="Arial"/>
          <w:sz w:val="24"/>
          <w:szCs w:val="24"/>
        </w:rPr>
        <w:t xml:space="preserve"> would require an additional 2.0 to 5.0 FTEs, depending on</w:t>
      </w:r>
      <w:r w:rsidR="00033AEA">
        <w:rPr>
          <w:rFonts w:ascii="Arial" w:eastAsia="Arial" w:hAnsi="Arial" w:cs="Arial"/>
          <w:sz w:val="24"/>
          <w:szCs w:val="24"/>
        </w:rPr>
        <w:t xml:space="preserve"> the enforcement approach</w:t>
      </w:r>
      <w:r>
        <w:rPr>
          <w:rFonts w:ascii="Arial" w:eastAsia="Arial" w:hAnsi="Arial" w:cs="Arial"/>
          <w:sz w:val="24"/>
          <w:szCs w:val="24"/>
        </w:rPr>
        <w:t xml:space="preserve">, to enforce the proposed ordinance. </w:t>
      </w:r>
      <w:r w:rsidR="00162B01">
        <w:rPr>
          <w:rFonts w:ascii="Arial" w:eastAsia="Arial" w:hAnsi="Arial" w:cs="Arial"/>
          <w:sz w:val="24"/>
          <w:szCs w:val="24"/>
        </w:rPr>
        <w:t>At most they would need 3 commissioned staff (detectives)</w:t>
      </w:r>
      <w:r w:rsidR="00162B01" w:rsidRPr="00162B01">
        <w:rPr>
          <w:rFonts w:ascii="Arial" w:eastAsia="Arial" w:hAnsi="Arial" w:cs="Arial"/>
          <w:sz w:val="24"/>
          <w:szCs w:val="24"/>
        </w:rPr>
        <w:t xml:space="preserve"> to investigate reports of unsecured weapons, take statements, </w:t>
      </w:r>
      <w:r w:rsidR="00162B01">
        <w:rPr>
          <w:rFonts w:ascii="Arial" w:eastAsia="Arial" w:hAnsi="Arial" w:cs="Arial"/>
          <w:sz w:val="24"/>
          <w:szCs w:val="24"/>
        </w:rPr>
        <w:t xml:space="preserve">and </w:t>
      </w:r>
      <w:r w:rsidR="00162B01" w:rsidRPr="00162B01">
        <w:rPr>
          <w:rFonts w:ascii="Arial" w:eastAsia="Arial" w:hAnsi="Arial" w:cs="Arial"/>
          <w:sz w:val="24"/>
          <w:szCs w:val="24"/>
        </w:rPr>
        <w:t>apply f</w:t>
      </w:r>
      <w:r w:rsidR="00033AEA">
        <w:rPr>
          <w:rFonts w:ascii="Arial" w:eastAsia="Arial" w:hAnsi="Arial" w:cs="Arial"/>
          <w:sz w:val="24"/>
          <w:szCs w:val="24"/>
        </w:rPr>
        <w:t xml:space="preserve">or and execute search warrants, </w:t>
      </w:r>
      <w:r w:rsidR="00162B01" w:rsidRPr="00162B01">
        <w:rPr>
          <w:rFonts w:ascii="Arial" w:eastAsia="Arial" w:hAnsi="Arial" w:cs="Arial"/>
          <w:sz w:val="24"/>
          <w:szCs w:val="24"/>
        </w:rPr>
        <w:t>an Administrative Assistant II and an Evidence and Supply Specialist to handle the weapons taken in as evidence.</w:t>
      </w:r>
      <w:r w:rsidR="00033AEA">
        <w:rPr>
          <w:rFonts w:ascii="Arial" w:eastAsia="Arial" w:hAnsi="Arial" w:cs="Arial"/>
          <w:sz w:val="24"/>
          <w:szCs w:val="24"/>
        </w:rPr>
        <w:t xml:space="preserve"> At minimum </w:t>
      </w:r>
      <w:r w:rsidR="00162B01">
        <w:rPr>
          <w:rFonts w:ascii="Arial" w:eastAsia="Arial" w:hAnsi="Arial" w:cs="Arial"/>
          <w:sz w:val="24"/>
          <w:szCs w:val="24"/>
        </w:rPr>
        <w:t>they would need</w:t>
      </w:r>
      <w:r w:rsidR="00033AEA">
        <w:rPr>
          <w:rFonts w:ascii="Arial" w:eastAsia="Arial" w:hAnsi="Arial" w:cs="Arial"/>
          <w:sz w:val="24"/>
          <w:szCs w:val="24"/>
        </w:rPr>
        <w:t xml:space="preserve"> 2.0 FTEs which would include</w:t>
      </w:r>
      <w:r w:rsidR="00162B01">
        <w:rPr>
          <w:rFonts w:ascii="Arial" w:eastAsia="Arial" w:hAnsi="Arial" w:cs="Arial"/>
          <w:sz w:val="24"/>
          <w:szCs w:val="24"/>
        </w:rPr>
        <w:t xml:space="preserve"> </w:t>
      </w:r>
      <w:r w:rsidR="00162B01" w:rsidRPr="00162B01">
        <w:rPr>
          <w:rFonts w:ascii="Arial" w:eastAsia="Arial" w:hAnsi="Arial" w:cs="Arial"/>
          <w:sz w:val="24"/>
          <w:szCs w:val="24"/>
        </w:rPr>
        <w:t xml:space="preserve">an Administrative Assistant II </w:t>
      </w:r>
      <w:r w:rsidR="00162B01">
        <w:rPr>
          <w:rFonts w:ascii="Arial" w:eastAsia="Arial" w:hAnsi="Arial" w:cs="Arial"/>
          <w:sz w:val="24"/>
          <w:szCs w:val="24"/>
        </w:rPr>
        <w:t xml:space="preserve">for paperwork and tracking </w:t>
      </w:r>
      <w:r w:rsidR="00162B01" w:rsidRPr="00162B01">
        <w:rPr>
          <w:rFonts w:ascii="Arial" w:eastAsia="Arial" w:hAnsi="Arial" w:cs="Arial"/>
          <w:sz w:val="24"/>
          <w:szCs w:val="24"/>
        </w:rPr>
        <w:t>and an Evidence and Supply Specialist to handle the weapons taken in as evidence.</w:t>
      </w:r>
      <w:r w:rsidR="00162B01">
        <w:rPr>
          <w:rFonts w:ascii="Arial" w:eastAsia="Arial" w:hAnsi="Arial" w:cs="Arial"/>
          <w:sz w:val="24"/>
          <w:szCs w:val="24"/>
        </w:rPr>
        <w:t xml:space="preserve"> </w:t>
      </w:r>
      <w:r w:rsidR="004E254A">
        <w:rPr>
          <w:rFonts w:ascii="Arial" w:eastAsia="Arial" w:hAnsi="Arial" w:cs="Arial"/>
          <w:sz w:val="24"/>
          <w:szCs w:val="24"/>
        </w:rPr>
        <w:t>KCSO staff state that</w:t>
      </w:r>
      <w:r w:rsidR="00033AEA">
        <w:rPr>
          <w:rFonts w:ascii="Arial" w:eastAsia="Arial" w:hAnsi="Arial" w:cs="Arial"/>
          <w:sz w:val="24"/>
          <w:szCs w:val="24"/>
        </w:rPr>
        <w:t xml:space="preserve"> a</w:t>
      </w:r>
      <w:r w:rsidR="004E254A">
        <w:rPr>
          <w:rFonts w:ascii="Arial" w:eastAsia="Arial" w:hAnsi="Arial" w:cs="Arial"/>
          <w:sz w:val="24"/>
          <w:szCs w:val="24"/>
        </w:rPr>
        <w:t xml:space="preserve"> m</w:t>
      </w:r>
      <w:r w:rsidR="00162B01">
        <w:rPr>
          <w:rFonts w:ascii="Arial" w:eastAsia="Arial" w:hAnsi="Arial" w:cs="Arial"/>
          <w:sz w:val="24"/>
          <w:szCs w:val="24"/>
        </w:rPr>
        <w:t xml:space="preserve">inimum </w:t>
      </w:r>
      <w:r w:rsidR="00033AEA">
        <w:rPr>
          <w:rFonts w:ascii="Arial" w:eastAsia="Arial" w:hAnsi="Arial" w:cs="Arial"/>
          <w:sz w:val="24"/>
          <w:szCs w:val="24"/>
        </w:rPr>
        <w:t xml:space="preserve">level </w:t>
      </w:r>
      <w:r w:rsidR="00162B01">
        <w:rPr>
          <w:rFonts w:ascii="Arial" w:eastAsia="Arial" w:hAnsi="Arial" w:cs="Arial"/>
          <w:sz w:val="24"/>
          <w:szCs w:val="24"/>
        </w:rPr>
        <w:t>enforcement</w:t>
      </w:r>
      <w:r w:rsidR="00033AEA">
        <w:rPr>
          <w:rFonts w:ascii="Arial" w:eastAsia="Arial" w:hAnsi="Arial" w:cs="Arial"/>
          <w:sz w:val="24"/>
          <w:szCs w:val="24"/>
        </w:rPr>
        <w:t xml:space="preserve"> approach</w:t>
      </w:r>
      <w:r w:rsidR="00162B01">
        <w:rPr>
          <w:rFonts w:ascii="Arial" w:eastAsia="Arial" w:hAnsi="Arial" w:cs="Arial"/>
          <w:sz w:val="24"/>
          <w:szCs w:val="24"/>
        </w:rPr>
        <w:t xml:space="preserve"> would </w:t>
      </w:r>
      <w:r w:rsidR="004E254A">
        <w:rPr>
          <w:rFonts w:ascii="Arial" w:eastAsia="Arial" w:hAnsi="Arial" w:cs="Arial"/>
          <w:sz w:val="24"/>
          <w:szCs w:val="24"/>
        </w:rPr>
        <w:t>potentially</w:t>
      </w:r>
      <w:r w:rsidR="00162B01">
        <w:rPr>
          <w:rFonts w:ascii="Arial" w:eastAsia="Arial" w:hAnsi="Arial" w:cs="Arial"/>
          <w:sz w:val="24"/>
          <w:szCs w:val="24"/>
        </w:rPr>
        <w:t xml:space="preserve"> entail noticing an unsecured </w:t>
      </w:r>
      <w:r w:rsidR="004E254A">
        <w:rPr>
          <w:rFonts w:ascii="Arial" w:eastAsia="Arial" w:hAnsi="Arial" w:cs="Arial"/>
          <w:sz w:val="24"/>
          <w:szCs w:val="24"/>
        </w:rPr>
        <w:t>firearm</w:t>
      </w:r>
      <w:r w:rsidR="00162B01">
        <w:rPr>
          <w:rFonts w:ascii="Arial" w:eastAsia="Arial" w:hAnsi="Arial" w:cs="Arial"/>
          <w:sz w:val="24"/>
          <w:szCs w:val="24"/>
        </w:rPr>
        <w:t xml:space="preserve"> during a response to another incident.</w:t>
      </w:r>
    </w:p>
    <w:p w14:paraId="698EAA7C" w14:textId="77777777" w:rsidR="00162B01" w:rsidRDefault="00162B01" w:rsidP="004152FF">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14:paraId="212F3469" w14:textId="77777777" w:rsidR="004152FF" w:rsidRDefault="004152FF" w:rsidP="004152FF">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The Prosecuting Attorney’s Office (PAO) staff state that given the limited scope of the proposed ordinance to unincorporated King County, the number of cases generated would not require additional resources for the department.</w:t>
      </w:r>
    </w:p>
    <w:p w14:paraId="2AFA6B86" w14:textId="77777777" w:rsidR="004152FF" w:rsidRDefault="004152FF" w:rsidP="004152FF">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14:paraId="63FBC32D" w14:textId="77777777" w:rsidR="004152FF" w:rsidRPr="004152FF" w:rsidRDefault="00162B01" w:rsidP="004152FF">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r>
        <w:rPr>
          <w:rFonts w:ascii="Arial" w:eastAsia="Arial" w:hAnsi="Arial" w:cs="Arial"/>
          <w:sz w:val="24"/>
          <w:szCs w:val="24"/>
        </w:rPr>
        <w:t>Staff have not received a written response from the Department of Pub</w:t>
      </w:r>
      <w:r w:rsidR="00A14E6C">
        <w:rPr>
          <w:rFonts w:ascii="Arial" w:eastAsia="Arial" w:hAnsi="Arial" w:cs="Arial"/>
          <w:sz w:val="24"/>
          <w:szCs w:val="24"/>
        </w:rPr>
        <w:t xml:space="preserve">lic Defense (DPD) regarding resource impacts to their department with regards to the proposed ordinance. However, Interim Director Anita </w:t>
      </w:r>
      <w:r w:rsidR="00A14E6C" w:rsidRPr="00A14E6C">
        <w:rPr>
          <w:rFonts w:ascii="Arial" w:eastAsia="Arial" w:hAnsi="Arial" w:cs="Arial"/>
          <w:sz w:val="24"/>
          <w:szCs w:val="24"/>
        </w:rPr>
        <w:t>Khandelwa</w:t>
      </w:r>
      <w:r w:rsidR="00A14E6C">
        <w:rPr>
          <w:rFonts w:ascii="Arial" w:eastAsia="Arial" w:hAnsi="Arial" w:cs="Arial"/>
          <w:sz w:val="24"/>
          <w:szCs w:val="24"/>
        </w:rPr>
        <w:t>l has confirmed her attendance to the committee meeting to respond to questions on the proposed ordinance.</w:t>
      </w:r>
    </w:p>
    <w:p w14:paraId="4C7B8AD6" w14:textId="77777777" w:rsidR="00054A7B" w:rsidRDefault="00054A7B" w:rsidP="000C5D0D">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14:paraId="3A8A0664" w14:textId="77777777" w:rsidR="00162B01" w:rsidRPr="00A14E6C" w:rsidRDefault="00A14E6C" w:rsidP="00A14E6C">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b/>
          <w:i/>
          <w:sz w:val="24"/>
          <w:szCs w:val="24"/>
        </w:rPr>
      </w:pPr>
      <w:r>
        <w:rPr>
          <w:rFonts w:ascii="Arial" w:eastAsia="Arial" w:hAnsi="Arial" w:cs="Arial"/>
          <w:b/>
          <w:i/>
          <w:sz w:val="24"/>
          <w:szCs w:val="24"/>
        </w:rPr>
        <w:t>ESJ Analysis</w:t>
      </w:r>
    </w:p>
    <w:p w14:paraId="5C23EB37" w14:textId="77777777" w:rsidR="0009017B" w:rsidRDefault="0009017B" w:rsidP="0009017B">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It should be noted that t</w:t>
      </w:r>
      <w:r w:rsidR="00B21926">
        <w:rPr>
          <w:rFonts w:ascii="Arial" w:eastAsia="Arial" w:hAnsi="Arial" w:cs="Arial"/>
          <w:sz w:val="24"/>
          <w:szCs w:val="24"/>
        </w:rPr>
        <w:t xml:space="preserve">he King County </w:t>
      </w:r>
      <w:r>
        <w:rPr>
          <w:rFonts w:ascii="Arial" w:eastAsia="Arial" w:hAnsi="Arial" w:cs="Arial"/>
          <w:sz w:val="24"/>
          <w:szCs w:val="24"/>
        </w:rPr>
        <w:t>Determinants of Equity Report</w:t>
      </w:r>
      <w:r>
        <w:rPr>
          <w:rStyle w:val="FootnoteReference"/>
          <w:rFonts w:ascii="Arial" w:eastAsia="Arial" w:hAnsi="Arial" w:cs="Arial"/>
          <w:sz w:val="24"/>
          <w:szCs w:val="24"/>
        </w:rPr>
        <w:footnoteReference w:id="21"/>
      </w:r>
      <w:r>
        <w:rPr>
          <w:rFonts w:ascii="Arial" w:eastAsia="Arial" w:hAnsi="Arial" w:cs="Arial"/>
          <w:sz w:val="24"/>
          <w:szCs w:val="24"/>
        </w:rPr>
        <w:t xml:space="preserve"> finds that even </w:t>
      </w:r>
      <w:r w:rsidRPr="0009017B">
        <w:rPr>
          <w:rFonts w:ascii="Arial" w:eastAsia="Arial" w:hAnsi="Arial" w:cs="Arial"/>
          <w:sz w:val="24"/>
          <w:szCs w:val="24"/>
        </w:rPr>
        <w:t>though the overall incarceration rate has declined between 2005 and 2011</w:t>
      </w:r>
      <w:r w:rsidR="00757450">
        <w:rPr>
          <w:rFonts w:ascii="Arial" w:eastAsia="Arial" w:hAnsi="Arial" w:cs="Arial"/>
          <w:sz w:val="24"/>
          <w:szCs w:val="24"/>
        </w:rPr>
        <w:t xml:space="preserve"> in King County</w:t>
      </w:r>
      <w:r w:rsidRPr="0009017B">
        <w:rPr>
          <w:rFonts w:ascii="Arial" w:eastAsia="Arial" w:hAnsi="Arial" w:cs="Arial"/>
          <w:sz w:val="24"/>
          <w:szCs w:val="24"/>
        </w:rPr>
        <w:t xml:space="preserve">, Black/African American adults remain significantly overrepresented in the </w:t>
      </w:r>
      <w:r w:rsidR="00757450">
        <w:rPr>
          <w:rFonts w:ascii="Arial" w:eastAsia="Arial" w:hAnsi="Arial" w:cs="Arial"/>
          <w:sz w:val="24"/>
          <w:szCs w:val="24"/>
        </w:rPr>
        <w:t xml:space="preserve">county </w:t>
      </w:r>
      <w:r w:rsidRPr="0009017B">
        <w:rPr>
          <w:rFonts w:ascii="Arial" w:eastAsia="Arial" w:hAnsi="Arial" w:cs="Arial"/>
          <w:sz w:val="24"/>
          <w:szCs w:val="24"/>
        </w:rPr>
        <w:t>jail population relative to their percen</w:t>
      </w:r>
      <w:r w:rsidR="004E254A">
        <w:rPr>
          <w:rFonts w:ascii="Arial" w:eastAsia="Arial" w:hAnsi="Arial" w:cs="Arial"/>
          <w:sz w:val="24"/>
          <w:szCs w:val="24"/>
        </w:rPr>
        <w:t>tage in the general population.</w:t>
      </w:r>
      <w:r w:rsidR="00757450">
        <w:rPr>
          <w:rFonts w:ascii="Arial" w:eastAsia="Arial" w:hAnsi="Arial" w:cs="Arial"/>
          <w:sz w:val="24"/>
          <w:szCs w:val="24"/>
        </w:rPr>
        <w:t xml:space="preserve"> In addition, i</w:t>
      </w:r>
      <w:r w:rsidRPr="0009017B">
        <w:rPr>
          <w:rFonts w:ascii="Arial" w:eastAsia="Arial" w:hAnsi="Arial" w:cs="Arial"/>
          <w:sz w:val="24"/>
          <w:szCs w:val="24"/>
        </w:rPr>
        <w:t>n 2013</w:t>
      </w:r>
      <w:r w:rsidR="004E254A">
        <w:rPr>
          <w:rFonts w:ascii="Arial" w:eastAsia="Arial" w:hAnsi="Arial" w:cs="Arial"/>
          <w:sz w:val="24"/>
          <w:szCs w:val="24"/>
        </w:rPr>
        <w:t>,</w:t>
      </w:r>
      <w:r w:rsidRPr="0009017B">
        <w:rPr>
          <w:rFonts w:ascii="Arial" w:eastAsia="Arial" w:hAnsi="Arial" w:cs="Arial"/>
          <w:sz w:val="24"/>
          <w:szCs w:val="24"/>
        </w:rPr>
        <w:t xml:space="preserve"> Black/African American youth were five times more likely to be re</w:t>
      </w:r>
      <w:r w:rsidR="00757450">
        <w:rPr>
          <w:rFonts w:ascii="Arial" w:eastAsia="Arial" w:hAnsi="Arial" w:cs="Arial"/>
          <w:sz w:val="24"/>
          <w:szCs w:val="24"/>
        </w:rPr>
        <w:t>ferred to the Juvenile Justice s</w:t>
      </w:r>
      <w:r w:rsidR="004E254A">
        <w:rPr>
          <w:rFonts w:ascii="Arial" w:eastAsia="Arial" w:hAnsi="Arial" w:cs="Arial"/>
          <w:sz w:val="24"/>
          <w:szCs w:val="24"/>
        </w:rPr>
        <w:t xml:space="preserve">ystem than White youth. The report </w:t>
      </w:r>
      <w:r w:rsidR="00757450">
        <w:rPr>
          <w:rFonts w:ascii="Arial" w:eastAsia="Arial" w:hAnsi="Arial" w:cs="Arial"/>
          <w:sz w:val="24"/>
          <w:szCs w:val="24"/>
        </w:rPr>
        <w:t>also concludes that t</w:t>
      </w:r>
      <w:r w:rsidR="00757450" w:rsidRPr="00757450">
        <w:rPr>
          <w:rFonts w:ascii="Arial" w:eastAsia="Arial" w:hAnsi="Arial" w:cs="Arial"/>
          <w:sz w:val="24"/>
          <w:szCs w:val="24"/>
        </w:rPr>
        <w:t xml:space="preserve">he high level </w:t>
      </w:r>
      <w:r w:rsidR="00757450" w:rsidRPr="00757450">
        <w:rPr>
          <w:rFonts w:ascii="Arial" w:eastAsia="Arial" w:hAnsi="Arial" w:cs="Arial"/>
          <w:sz w:val="24"/>
          <w:szCs w:val="24"/>
        </w:rPr>
        <w:lastRenderedPageBreak/>
        <w:t xml:space="preserve">of incarceration has a significant economic and opportunity impact on </w:t>
      </w:r>
      <w:r w:rsidR="004E254A">
        <w:rPr>
          <w:rFonts w:ascii="Arial" w:eastAsia="Arial" w:hAnsi="Arial" w:cs="Arial"/>
          <w:sz w:val="24"/>
          <w:szCs w:val="24"/>
        </w:rPr>
        <w:t>the Black/African American community</w:t>
      </w:r>
      <w:r w:rsidR="00757450" w:rsidRPr="00757450">
        <w:rPr>
          <w:rFonts w:ascii="Arial" w:eastAsia="Arial" w:hAnsi="Arial" w:cs="Arial"/>
          <w:sz w:val="24"/>
          <w:szCs w:val="24"/>
        </w:rPr>
        <w:t>.</w:t>
      </w:r>
    </w:p>
    <w:p w14:paraId="6903825B" w14:textId="77777777" w:rsidR="00A61E27" w:rsidRDefault="00A61E27" w:rsidP="00162B01">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14:paraId="46ACD40B" w14:textId="77777777" w:rsidR="00162B01" w:rsidRPr="00162B01" w:rsidRDefault="00162B01" w:rsidP="00162B01">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r>
        <w:rPr>
          <w:rFonts w:ascii="Arial" w:eastAsia="Arial" w:hAnsi="Arial" w:cs="Arial"/>
          <w:sz w:val="24"/>
          <w:szCs w:val="24"/>
        </w:rPr>
        <w:t xml:space="preserve">KSCO staff </w:t>
      </w:r>
      <w:r w:rsidR="004E254A">
        <w:rPr>
          <w:rFonts w:ascii="Arial" w:eastAsia="Arial" w:hAnsi="Arial" w:cs="Arial"/>
          <w:sz w:val="24"/>
          <w:szCs w:val="24"/>
        </w:rPr>
        <w:t xml:space="preserve">also </w:t>
      </w:r>
      <w:r>
        <w:rPr>
          <w:rFonts w:ascii="Arial" w:eastAsia="Arial" w:hAnsi="Arial" w:cs="Arial"/>
          <w:sz w:val="24"/>
          <w:szCs w:val="24"/>
        </w:rPr>
        <w:t xml:space="preserve">state that </w:t>
      </w:r>
      <w:r w:rsidR="007F644B">
        <w:rPr>
          <w:rFonts w:ascii="Arial" w:eastAsia="Arial" w:hAnsi="Arial" w:cs="Arial"/>
          <w:sz w:val="24"/>
          <w:szCs w:val="24"/>
        </w:rPr>
        <w:t>the proposed ordinance</w:t>
      </w:r>
      <w:r>
        <w:rPr>
          <w:rFonts w:ascii="Arial" w:eastAsia="Arial" w:hAnsi="Arial" w:cs="Arial"/>
          <w:sz w:val="24"/>
          <w:szCs w:val="24"/>
        </w:rPr>
        <w:t xml:space="preserve"> may </w:t>
      </w:r>
      <w:r w:rsidR="007F644B">
        <w:rPr>
          <w:rFonts w:ascii="Arial" w:eastAsia="Arial" w:hAnsi="Arial" w:cs="Arial"/>
          <w:sz w:val="24"/>
          <w:szCs w:val="24"/>
        </w:rPr>
        <w:t>have</w:t>
      </w:r>
      <w:r>
        <w:rPr>
          <w:rFonts w:ascii="Arial" w:eastAsia="Arial" w:hAnsi="Arial" w:cs="Arial"/>
          <w:sz w:val="24"/>
          <w:szCs w:val="24"/>
        </w:rPr>
        <w:t xml:space="preserve"> disproportionate impacts to low-income individuals and persons of color due to costs associated with purchasing firearm storage and safety devices, fines for violating the proposed ordinance, and </w:t>
      </w:r>
      <w:r w:rsidR="004E254A">
        <w:rPr>
          <w:rFonts w:ascii="Arial" w:eastAsia="Arial" w:hAnsi="Arial" w:cs="Arial"/>
          <w:sz w:val="24"/>
          <w:szCs w:val="24"/>
        </w:rPr>
        <w:t>costs incurred due to the</w:t>
      </w:r>
      <w:r>
        <w:rPr>
          <w:rFonts w:ascii="Arial" w:eastAsia="Arial" w:hAnsi="Arial" w:cs="Arial"/>
          <w:sz w:val="24"/>
          <w:szCs w:val="24"/>
        </w:rPr>
        <w:t xml:space="preserve"> court process.</w:t>
      </w:r>
    </w:p>
    <w:p w14:paraId="6F4F94EB" w14:textId="77777777" w:rsidR="00162B01" w:rsidRDefault="00162B01" w:rsidP="000C5D0D">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14:paraId="5B10DCED" w14:textId="77777777" w:rsidR="00A61E27" w:rsidRDefault="00C20E0E" w:rsidP="00C20E0E">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r>
        <w:rPr>
          <w:rFonts w:ascii="Arial" w:eastAsia="Arial" w:hAnsi="Arial" w:cs="Arial"/>
          <w:sz w:val="24"/>
          <w:szCs w:val="24"/>
        </w:rPr>
        <w:t xml:space="preserve">In June 2016, the city of San Francisco adopted an ordinance </w:t>
      </w:r>
      <w:r w:rsidRPr="00C20E0E">
        <w:rPr>
          <w:rFonts w:ascii="Arial" w:eastAsia="Arial" w:hAnsi="Arial" w:cs="Arial"/>
          <w:sz w:val="24"/>
          <w:szCs w:val="24"/>
        </w:rPr>
        <w:t>to prohibit an</w:t>
      </w:r>
      <w:r>
        <w:rPr>
          <w:rFonts w:ascii="Arial" w:eastAsia="Arial" w:hAnsi="Arial" w:cs="Arial"/>
          <w:sz w:val="24"/>
          <w:szCs w:val="24"/>
        </w:rPr>
        <w:t xml:space="preserve">y person from keeping a firearm </w:t>
      </w:r>
      <w:r w:rsidRPr="00C20E0E">
        <w:rPr>
          <w:rFonts w:ascii="Arial" w:eastAsia="Arial" w:hAnsi="Arial" w:cs="Arial"/>
          <w:sz w:val="24"/>
          <w:szCs w:val="24"/>
        </w:rPr>
        <w:t>within any residence unless the firearm is stored in a lo</w:t>
      </w:r>
      <w:r>
        <w:rPr>
          <w:rFonts w:ascii="Arial" w:eastAsia="Arial" w:hAnsi="Arial" w:cs="Arial"/>
          <w:sz w:val="24"/>
          <w:szCs w:val="24"/>
        </w:rPr>
        <w:t>cked container or disabled with a trigger lock. A violation would constitute a misdemeanor and a fine not to exceed $1,000 or imprisonment.</w:t>
      </w:r>
      <w:r>
        <w:rPr>
          <w:rStyle w:val="FootnoteReference"/>
          <w:rFonts w:ascii="Arial" w:eastAsia="Arial" w:hAnsi="Arial" w:cs="Arial"/>
          <w:sz w:val="24"/>
          <w:szCs w:val="24"/>
        </w:rPr>
        <w:footnoteReference w:id="22"/>
      </w:r>
      <w:r>
        <w:rPr>
          <w:rFonts w:ascii="Arial" w:eastAsia="Arial" w:hAnsi="Arial" w:cs="Arial"/>
          <w:sz w:val="24"/>
          <w:szCs w:val="24"/>
        </w:rPr>
        <w:t xml:space="preserve"> Given the similarity of San Francisco’s ordinance to the proposed ordinance, staff reached out to San Francisco staff to obtain outcomes data to </w:t>
      </w:r>
      <w:r w:rsidR="007F644B">
        <w:rPr>
          <w:rFonts w:ascii="Arial" w:eastAsia="Arial" w:hAnsi="Arial" w:cs="Arial"/>
          <w:sz w:val="24"/>
          <w:szCs w:val="24"/>
        </w:rPr>
        <w:t>determine</w:t>
      </w:r>
      <w:r>
        <w:rPr>
          <w:rFonts w:ascii="Arial" w:eastAsia="Arial" w:hAnsi="Arial" w:cs="Arial"/>
          <w:sz w:val="24"/>
          <w:szCs w:val="24"/>
        </w:rPr>
        <w:t xml:space="preserve"> whether the San Francisco ordinance had disproportionate impacts to communities of color. Staff established connection with San Francisco staff but have not received data related to their </w:t>
      </w:r>
      <w:r w:rsidR="007F644B">
        <w:rPr>
          <w:rFonts w:ascii="Arial" w:eastAsia="Arial" w:hAnsi="Arial" w:cs="Arial"/>
          <w:sz w:val="24"/>
          <w:szCs w:val="24"/>
        </w:rPr>
        <w:t>adopted</w:t>
      </w:r>
      <w:r>
        <w:rPr>
          <w:rFonts w:ascii="Arial" w:eastAsia="Arial" w:hAnsi="Arial" w:cs="Arial"/>
          <w:sz w:val="24"/>
          <w:szCs w:val="24"/>
        </w:rPr>
        <w:t xml:space="preserve"> ordinance</w:t>
      </w:r>
      <w:r w:rsidR="007F644B">
        <w:rPr>
          <w:rFonts w:ascii="Arial" w:eastAsia="Arial" w:hAnsi="Arial" w:cs="Arial"/>
          <w:sz w:val="24"/>
          <w:szCs w:val="24"/>
        </w:rPr>
        <w:t>.</w:t>
      </w:r>
    </w:p>
    <w:p w14:paraId="30F85D1F" w14:textId="77777777" w:rsidR="009636B9" w:rsidRDefault="009636B9" w:rsidP="000C5D0D">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14:paraId="43192CC1" w14:textId="77777777" w:rsidR="009C6275" w:rsidRDefault="009C6275" w:rsidP="00110752">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r>
        <w:rPr>
          <w:rFonts w:ascii="Arial" w:hAnsi="Arial" w:cs="Arial"/>
          <w:spacing w:val="-2"/>
          <w:sz w:val="24"/>
          <w:szCs w:val="24"/>
        </w:rPr>
        <w:t>Lastly, t</w:t>
      </w:r>
      <w:r>
        <w:rPr>
          <w:rFonts w:ascii="Arial" w:eastAsia="Arial" w:hAnsi="Arial" w:cs="Arial"/>
          <w:sz w:val="24"/>
          <w:szCs w:val="24"/>
        </w:rPr>
        <w:t xml:space="preserve">hrough their website, </w:t>
      </w:r>
      <w:r w:rsidR="007F644B">
        <w:rPr>
          <w:rFonts w:ascii="Arial" w:eastAsia="Arial" w:hAnsi="Arial" w:cs="Arial"/>
          <w:sz w:val="24"/>
          <w:szCs w:val="24"/>
        </w:rPr>
        <w:t>Public Health – Seattle &amp; King County</w:t>
      </w:r>
      <w:r>
        <w:rPr>
          <w:rFonts w:ascii="Arial" w:eastAsia="Arial" w:hAnsi="Arial" w:cs="Arial"/>
          <w:sz w:val="24"/>
          <w:szCs w:val="24"/>
        </w:rPr>
        <w:t xml:space="preserve"> provides information on five</w:t>
      </w:r>
      <w:r w:rsidRPr="009C6275">
        <w:rPr>
          <w:rFonts w:ascii="Arial" w:eastAsia="Arial" w:hAnsi="Arial" w:cs="Arial"/>
          <w:sz w:val="24"/>
          <w:szCs w:val="24"/>
        </w:rPr>
        <w:t xml:space="preserve"> main types of </w:t>
      </w:r>
      <w:r>
        <w:rPr>
          <w:rFonts w:ascii="Arial" w:eastAsia="Arial" w:hAnsi="Arial" w:cs="Arial"/>
          <w:sz w:val="24"/>
          <w:szCs w:val="24"/>
        </w:rPr>
        <w:t xml:space="preserve">firearm locking devices, its prices, </w:t>
      </w:r>
      <w:r w:rsidRPr="009C6275">
        <w:rPr>
          <w:rFonts w:ascii="Arial" w:eastAsia="Arial" w:hAnsi="Arial" w:cs="Arial"/>
          <w:sz w:val="24"/>
          <w:szCs w:val="24"/>
        </w:rPr>
        <w:t>and where to purchase them</w:t>
      </w:r>
      <w:r>
        <w:rPr>
          <w:rFonts w:ascii="Arial" w:eastAsia="Arial" w:hAnsi="Arial" w:cs="Arial"/>
          <w:sz w:val="24"/>
          <w:szCs w:val="24"/>
        </w:rPr>
        <w:t xml:space="preserve"> in the county.</w:t>
      </w:r>
      <w:r>
        <w:rPr>
          <w:rStyle w:val="FootnoteReference"/>
          <w:rFonts w:ascii="Arial" w:eastAsia="Arial" w:hAnsi="Arial" w:cs="Arial"/>
          <w:sz w:val="24"/>
          <w:szCs w:val="24"/>
        </w:rPr>
        <w:footnoteReference w:id="23"/>
      </w:r>
      <w:r>
        <w:rPr>
          <w:rFonts w:ascii="Arial" w:eastAsia="Arial" w:hAnsi="Arial" w:cs="Arial"/>
          <w:sz w:val="24"/>
          <w:szCs w:val="24"/>
        </w:rPr>
        <w:t xml:space="preserve"> Attachment 3 includes</w:t>
      </w:r>
      <w:r w:rsidR="00437C18">
        <w:rPr>
          <w:rFonts w:ascii="Arial" w:eastAsia="Arial" w:hAnsi="Arial" w:cs="Arial"/>
          <w:sz w:val="24"/>
          <w:szCs w:val="24"/>
        </w:rPr>
        <w:t xml:space="preserve"> a snapshot of the website with this information.</w:t>
      </w:r>
    </w:p>
    <w:p w14:paraId="37D6AE52" w14:textId="77777777" w:rsidR="005A20C0" w:rsidRDefault="005A20C0" w:rsidP="00110752">
      <w:pPr>
        <w:widowControl/>
        <w:tabs>
          <w:tab w:val="left" w:pos="720"/>
          <w:tab w:val="left" w:pos="1440"/>
          <w:tab w:val="left" w:pos="2160"/>
          <w:tab w:val="left" w:pos="2880"/>
          <w:tab w:val="left" w:pos="3600"/>
          <w:tab w:val="left" w:pos="4320"/>
          <w:tab w:val="left" w:pos="5040"/>
          <w:tab w:val="left" w:pos="5760"/>
        </w:tabs>
        <w:contextualSpacing/>
        <w:jc w:val="both"/>
        <w:rPr>
          <w:rFonts w:ascii="Arial" w:hAnsi="Arial" w:cs="Arial"/>
          <w:spacing w:val="-2"/>
          <w:sz w:val="24"/>
          <w:szCs w:val="24"/>
        </w:rPr>
      </w:pPr>
    </w:p>
    <w:p w14:paraId="41EA6132" w14:textId="77777777" w:rsidR="000B43DE" w:rsidRPr="000B43DE" w:rsidRDefault="000B43DE" w:rsidP="00110752">
      <w:pPr>
        <w:widowControl/>
        <w:tabs>
          <w:tab w:val="left" w:pos="720"/>
          <w:tab w:val="left" w:pos="1440"/>
          <w:tab w:val="left" w:pos="2160"/>
          <w:tab w:val="left" w:pos="2880"/>
          <w:tab w:val="left" w:pos="3600"/>
          <w:tab w:val="left" w:pos="4320"/>
          <w:tab w:val="left" w:pos="5040"/>
          <w:tab w:val="left" w:pos="5760"/>
        </w:tabs>
        <w:contextualSpacing/>
        <w:jc w:val="both"/>
        <w:rPr>
          <w:rFonts w:ascii="Arial" w:hAnsi="Arial" w:cs="Arial"/>
          <w:b/>
          <w:i/>
          <w:spacing w:val="-2"/>
          <w:sz w:val="24"/>
          <w:szCs w:val="24"/>
        </w:rPr>
      </w:pPr>
      <w:r w:rsidRPr="000B43DE">
        <w:rPr>
          <w:rFonts w:ascii="Arial" w:hAnsi="Arial" w:cs="Arial"/>
          <w:b/>
          <w:i/>
          <w:spacing w:val="-2"/>
          <w:sz w:val="24"/>
          <w:szCs w:val="24"/>
        </w:rPr>
        <w:t xml:space="preserve">Legal </w:t>
      </w:r>
      <w:r>
        <w:rPr>
          <w:rFonts w:ascii="Arial" w:hAnsi="Arial" w:cs="Arial"/>
          <w:b/>
          <w:i/>
          <w:spacing w:val="-2"/>
          <w:sz w:val="24"/>
          <w:szCs w:val="24"/>
        </w:rPr>
        <w:t>Review</w:t>
      </w:r>
    </w:p>
    <w:p w14:paraId="579F9A19" w14:textId="77777777" w:rsidR="005A20C0" w:rsidRDefault="00814127" w:rsidP="00110752">
      <w:pPr>
        <w:widowControl/>
        <w:tabs>
          <w:tab w:val="left" w:pos="720"/>
          <w:tab w:val="left" w:pos="1440"/>
          <w:tab w:val="left" w:pos="2160"/>
          <w:tab w:val="left" w:pos="2880"/>
          <w:tab w:val="left" w:pos="3600"/>
          <w:tab w:val="left" w:pos="4320"/>
          <w:tab w:val="left" w:pos="5040"/>
          <w:tab w:val="left" w:pos="5760"/>
        </w:tabs>
        <w:contextualSpacing/>
        <w:jc w:val="both"/>
        <w:rPr>
          <w:rFonts w:ascii="Arial" w:hAnsi="Arial" w:cs="Arial"/>
          <w:spacing w:val="-2"/>
          <w:sz w:val="24"/>
          <w:szCs w:val="24"/>
        </w:rPr>
      </w:pPr>
      <w:r>
        <w:rPr>
          <w:rFonts w:ascii="Arial" w:hAnsi="Arial" w:cs="Arial"/>
          <w:spacing w:val="-2"/>
          <w:sz w:val="24"/>
          <w:szCs w:val="24"/>
        </w:rPr>
        <w:t>The proposed o</w:t>
      </w:r>
      <w:r w:rsidR="005A20C0" w:rsidRPr="00196D48">
        <w:rPr>
          <w:rFonts w:ascii="Arial" w:hAnsi="Arial" w:cs="Arial"/>
          <w:spacing w:val="-2"/>
          <w:sz w:val="24"/>
          <w:szCs w:val="24"/>
        </w:rPr>
        <w:t xml:space="preserve">rdinance has been review by </w:t>
      </w:r>
      <w:r>
        <w:rPr>
          <w:rFonts w:ascii="Arial" w:hAnsi="Arial" w:cs="Arial"/>
          <w:spacing w:val="-2"/>
          <w:sz w:val="24"/>
          <w:szCs w:val="24"/>
        </w:rPr>
        <w:t>council’s legal counsel.</w:t>
      </w:r>
    </w:p>
    <w:p w14:paraId="20E7903E" w14:textId="77777777" w:rsidR="001C1DC4" w:rsidRDefault="001C1DC4" w:rsidP="00110752">
      <w:pPr>
        <w:widowControl/>
        <w:tabs>
          <w:tab w:val="left" w:pos="720"/>
          <w:tab w:val="left" w:pos="1440"/>
          <w:tab w:val="left" w:pos="2160"/>
          <w:tab w:val="left" w:pos="2880"/>
          <w:tab w:val="left" w:pos="3600"/>
          <w:tab w:val="left" w:pos="4320"/>
          <w:tab w:val="left" w:pos="5040"/>
          <w:tab w:val="left" w:pos="5760"/>
        </w:tabs>
        <w:contextualSpacing/>
        <w:jc w:val="both"/>
        <w:rPr>
          <w:rFonts w:ascii="Arial" w:hAnsi="Arial" w:cs="Arial"/>
          <w:spacing w:val="-2"/>
          <w:sz w:val="24"/>
          <w:szCs w:val="24"/>
        </w:rPr>
      </w:pPr>
    </w:p>
    <w:p w14:paraId="6E956839" w14:textId="77777777" w:rsidR="00EA0766" w:rsidRPr="00196D48" w:rsidRDefault="00EA0766" w:rsidP="00EA0766">
      <w:pPr>
        <w:rPr>
          <w:rFonts w:ascii="Arial" w:eastAsia="Arial" w:hAnsi="Arial" w:cs="Arial"/>
          <w:sz w:val="24"/>
          <w:szCs w:val="24"/>
        </w:rPr>
      </w:pPr>
      <w:r>
        <w:rPr>
          <w:rFonts w:ascii="Arial"/>
          <w:b/>
          <w:sz w:val="24"/>
          <w:szCs w:val="24"/>
          <w:u w:val="thick" w:color="000000"/>
        </w:rPr>
        <w:t>AMENDMENT</w:t>
      </w:r>
    </w:p>
    <w:p w14:paraId="74CC3A68" w14:textId="77777777" w:rsidR="00EA0766" w:rsidRDefault="00EA0766" w:rsidP="00EA0766">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14:paraId="420E82A9" w14:textId="5CB1D73F" w:rsidR="003228A7" w:rsidRPr="0021267E" w:rsidRDefault="00277D57" w:rsidP="0021267E">
      <w:pPr>
        <w:spacing w:before="10"/>
        <w:jc w:val="both"/>
        <w:rPr>
          <w:rFonts w:ascii="Arial" w:eastAsia="Arial" w:hAnsi="Arial" w:cs="Arial"/>
          <w:b/>
          <w:bCs/>
          <w:sz w:val="24"/>
          <w:szCs w:val="24"/>
        </w:rPr>
      </w:pPr>
      <w:r>
        <w:rPr>
          <w:rFonts w:ascii="Arial" w:eastAsia="Arial" w:hAnsi="Arial" w:cs="Arial"/>
          <w:sz w:val="24"/>
          <w:szCs w:val="24"/>
        </w:rPr>
        <w:t>Amendment 1</w:t>
      </w:r>
      <w:r w:rsidR="00EA0766">
        <w:rPr>
          <w:rFonts w:ascii="Arial" w:eastAsia="Arial" w:hAnsi="Arial" w:cs="Arial"/>
          <w:sz w:val="24"/>
          <w:szCs w:val="24"/>
        </w:rPr>
        <w:t xml:space="preserve"> has been prepared </w:t>
      </w:r>
      <w:r>
        <w:rPr>
          <w:rFonts w:ascii="Arial" w:eastAsia="Arial" w:hAnsi="Arial" w:cs="Arial"/>
          <w:sz w:val="24"/>
          <w:szCs w:val="24"/>
        </w:rPr>
        <w:t xml:space="preserve">to </w:t>
      </w:r>
      <w:r w:rsidR="00EA0766">
        <w:rPr>
          <w:rFonts w:ascii="Arial" w:eastAsia="Arial" w:hAnsi="Arial" w:cs="Arial"/>
          <w:sz w:val="24"/>
          <w:szCs w:val="24"/>
        </w:rPr>
        <w:t xml:space="preserve">correct </w:t>
      </w:r>
      <w:r w:rsidR="00BD717E">
        <w:rPr>
          <w:rFonts w:ascii="Arial" w:eastAsia="Arial" w:hAnsi="Arial" w:cs="Arial"/>
          <w:sz w:val="24"/>
          <w:szCs w:val="24"/>
        </w:rPr>
        <w:t xml:space="preserve">an ambiguity </w:t>
      </w:r>
      <w:r w:rsidR="002415AA">
        <w:rPr>
          <w:rFonts w:ascii="Arial" w:eastAsia="Arial" w:hAnsi="Arial" w:cs="Arial"/>
          <w:sz w:val="24"/>
          <w:szCs w:val="24"/>
        </w:rPr>
        <w:t xml:space="preserve">in </w:t>
      </w:r>
      <w:r w:rsidR="00EA0766">
        <w:rPr>
          <w:rFonts w:ascii="Arial" w:eastAsia="Arial" w:hAnsi="Arial" w:cs="Arial"/>
          <w:sz w:val="24"/>
          <w:szCs w:val="24"/>
        </w:rPr>
        <w:t>sect</w:t>
      </w:r>
      <w:r w:rsidR="00895556">
        <w:rPr>
          <w:rFonts w:ascii="Arial" w:eastAsia="Arial" w:hAnsi="Arial" w:cs="Arial"/>
          <w:sz w:val="24"/>
          <w:szCs w:val="24"/>
        </w:rPr>
        <w:t xml:space="preserve">ion 4 of the proposed ordinance. </w:t>
      </w:r>
      <w:r w:rsidR="00EA0766">
        <w:rPr>
          <w:rFonts w:ascii="Arial" w:eastAsia="Arial" w:hAnsi="Arial" w:cs="Arial"/>
          <w:sz w:val="24"/>
          <w:szCs w:val="24"/>
        </w:rPr>
        <w:t xml:space="preserve">Currently, the proposed ordinance states that a violation of the proposed ordinance would result in a fine </w:t>
      </w:r>
      <w:r w:rsidR="00EA0766" w:rsidRPr="00EA0766">
        <w:rPr>
          <w:rFonts w:ascii="Arial" w:eastAsia="Arial" w:hAnsi="Arial" w:cs="Arial"/>
          <w:sz w:val="24"/>
          <w:szCs w:val="24"/>
          <w:u w:val="single"/>
        </w:rPr>
        <w:t>and</w:t>
      </w:r>
      <w:r w:rsidR="00EA0766">
        <w:rPr>
          <w:rFonts w:ascii="Arial" w:eastAsia="Arial" w:hAnsi="Arial" w:cs="Arial"/>
          <w:sz w:val="24"/>
          <w:szCs w:val="24"/>
        </w:rPr>
        <w:t xml:space="preserve"> imprisonment </w:t>
      </w:r>
      <w:r w:rsidR="00895556">
        <w:rPr>
          <w:rFonts w:ascii="Arial" w:eastAsia="Arial" w:hAnsi="Arial" w:cs="Arial"/>
          <w:sz w:val="24"/>
          <w:szCs w:val="24"/>
        </w:rPr>
        <w:t xml:space="preserve">or both, which is a redundant phrase. The amendment would make a correction to state that a violation would result in a fine </w:t>
      </w:r>
      <w:r w:rsidR="00895556" w:rsidRPr="00895556">
        <w:rPr>
          <w:rFonts w:ascii="Arial" w:eastAsia="Arial" w:hAnsi="Arial" w:cs="Arial"/>
          <w:sz w:val="24"/>
          <w:szCs w:val="24"/>
          <w:u w:val="single"/>
        </w:rPr>
        <w:t>or</w:t>
      </w:r>
      <w:r w:rsidR="00895556">
        <w:rPr>
          <w:rFonts w:ascii="Arial" w:eastAsia="Arial" w:hAnsi="Arial" w:cs="Arial"/>
          <w:sz w:val="24"/>
          <w:szCs w:val="24"/>
        </w:rPr>
        <w:t xml:space="preserve"> imprisonment or both</w:t>
      </w:r>
      <w:r w:rsidR="00895556" w:rsidRPr="00895556">
        <w:rPr>
          <w:rFonts w:ascii="Arial" w:eastAsia="Arial" w:hAnsi="Arial" w:cs="Arial"/>
          <w:sz w:val="24"/>
          <w:szCs w:val="24"/>
        </w:rPr>
        <w:t xml:space="preserve">, which </w:t>
      </w:r>
      <w:r w:rsidR="004152FF">
        <w:rPr>
          <w:rFonts w:ascii="Arial" w:eastAsia="Arial" w:hAnsi="Arial" w:cs="Arial"/>
          <w:sz w:val="24"/>
          <w:szCs w:val="24"/>
        </w:rPr>
        <w:t>would align with</w:t>
      </w:r>
      <w:r w:rsidR="00895556" w:rsidRPr="00895556">
        <w:rPr>
          <w:rFonts w:ascii="Arial" w:eastAsia="Arial" w:hAnsi="Arial" w:cs="Arial"/>
          <w:sz w:val="24"/>
          <w:szCs w:val="24"/>
        </w:rPr>
        <w:t xml:space="preserve"> the sponsor’s i</w:t>
      </w:r>
      <w:r w:rsidR="00895556">
        <w:rPr>
          <w:rFonts w:ascii="Arial" w:eastAsia="Arial" w:hAnsi="Arial" w:cs="Arial"/>
          <w:sz w:val="24"/>
          <w:szCs w:val="24"/>
        </w:rPr>
        <w:t>ntent of the proposed ordinance.</w:t>
      </w:r>
      <w:bookmarkStart w:id="0" w:name="_GoBack"/>
      <w:bookmarkEnd w:id="0"/>
    </w:p>
    <w:sectPr w:rsidR="003228A7" w:rsidRPr="0021267E" w:rsidSect="00A7042C">
      <w:headerReference w:type="default" r:id="rId9"/>
      <w:pgSz w:w="12240" w:h="15840"/>
      <w:pgMar w:top="1380" w:right="1480" w:bottom="99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1B176" w14:textId="77777777" w:rsidR="00162B01" w:rsidRDefault="00162B01" w:rsidP="00816E53">
      <w:r>
        <w:separator/>
      </w:r>
    </w:p>
  </w:endnote>
  <w:endnote w:type="continuationSeparator" w:id="0">
    <w:p w14:paraId="0705D802" w14:textId="77777777" w:rsidR="00162B01" w:rsidRDefault="00162B01" w:rsidP="008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D0D9" w14:textId="77777777" w:rsidR="00162B01" w:rsidRDefault="00162B01" w:rsidP="00816E53">
      <w:r>
        <w:separator/>
      </w:r>
    </w:p>
  </w:footnote>
  <w:footnote w:type="continuationSeparator" w:id="0">
    <w:p w14:paraId="2EFBEF02" w14:textId="77777777" w:rsidR="00162B01" w:rsidRDefault="00162B01" w:rsidP="00816E53">
      <w:r>
        <w:continuationSeparator/>
      </w:r>
    </w:p>
  </w:footnote>
  <w:footnote w:id="1">
    <w:p w14:paraId="540AFDF2" w14:textId="3A0A61E8" w:rsidR="00162B01" w:rsidRDefault="00162B01" w:rsidP="00271050">
      <w:pPr>
        <w:pStyle w:val="FootnoteText"/>
      </w:pPr>
      <w:r>
        <w:rPr>
          <w:rStyle w:val="FootnoteReference"/>
        </w:rPr>
        <w:footnoteRef/>
      </w:r>
      <w:r>
        <w:t xml:space="preserve"> Gun Violence Archive, </w:t>
      </w:r>
      <w:hyperlink r:id="rId1" w:history="1">
        <w:r w:rsidRPr="00B1385F">
          <w:rPr>
            <w:rStyle w:val="Hyperlink"/>
          </w:rPr>
          <w:t>http://www.gunviolencearchive.org/</w:t>
        </w:r>
      </w:hyperlink>
      <w:r>
        <w:t xml:space="preserve">. </w:t>
      </w:r>
    </w:p>
  </w:footnote>
  <w:footnote w:id="2">
    <w:p w14:paraId="44BD1DE8" w14:textId="0D3EB74B" w:rsidR="00162B01" w:rsidRDefault="00162B01" w:rsidP="00271050">
      <w:pPr>
        <w:pStyle w:val="FootnoteText"/>
      </w:pPr>
      <w:r>
        <w:rPr>
          <w:rStyle w:val="FootnoteReference"/>
        </w:rPr>
        <w:footnoteRef/>
      </w:r>
      <w:r>
        <w:t xml:space="preserve"> Gun Violence Archive, </w:t>
      </w:r>
      <w:hyperlink r:id="rId2" w:history="1">
        <w:r w:rsidRPr="00B1385F">
          <w:rPr>
            <w:rStyle w:val="Hyperlink"/>
          </w:rPr>
          <w:t>http://www.gunviolencearchive.org/reports/mass-shooting</w:t>
        </w:r>
      </w:hyperlink>
      <w:r>
        <w:t xml:space="preserve">. </w:t>
      </w:r>
    </w:p>
  </w:footnote>
  <w:footnote w:id="3">
    <w:p w14:paraId="263123D3" w14:textId="77777777" w:rsidR="00162B01" w:rsidRDefault="00162B01" w:rsidP="00E02ADC">
      <w:pPr>
        <w:pStyle w:val="FootnoteText"/>
      </w:pPr>
      <w:r>
        <w:rPr>
          <w:rStyle w:val="FootnoteReference"/>
        </w:rPr>
        <w:footnoteRef/>
      </w:r>
      <w:r>
        <w:t xml:space="preserve"> Public Health – Seattle &amp; King County: </w:t>
      </w:r>
      <w:r w:rsidRPr="00A63381">
        <w:t>Guns in our community</w:t>
      </w:r>
      <w:r>
        <w:t xml:space="preserve">, </w:t>
      </w:r>
      <w:hyperlink r:id="rId3" w:history="1">
        <w:r w:rsidRPr="004456F8">
          <w:rPr>
            <w:rStyle w:val="Hyperlink"/>
          </w:rPr>
          <w:t>https://www.kingcounty.gov/depts/health/violence-injury-prevention/violence-prevention/gun-violence/LOK-IT-UP/firearm-facts.aspx</w:t>
        </w:r>
      </w:hyperlink>
      <w:r>
        <w:t>. Accessed September 8, 2018.</w:t>
      </w:r>
    </w:p>
  </w:footnote>
  <w:footnote w:id="4">
    <w:p w14:paraId="463827A0" w14:textId="77777777" w:rsidR="00162B01" w:rsidRDefault="00162B01" w:rsidP="005A66FF">
      <w:pPr>
        <w:pStyle w:val="FootnoteText"/>
      </w:pPr>
      <w:r>
        <w:rPr>
          <w:rStyle w:val="FootnoteReference"/>
        </w:rPr>
        <w:footnoteRef/>
      </w:r>
      <w:r>
        <w:t xml:space="preserve">  Pacific Northwest Suicide Resource Center, Suicide</w:t>
      </w:r>
      <w:r w:rsidR="00754974">
        <w:t xml:space="preserve"> Statistics, </w:t>
      </w:r>
      <w:hyperlink r:id="rId4" w:history="1">
        <w:r w:rsidRPr="00AB2C6D">
          <w:rPr>
            <w:rStyle w:val="Hyperlink"/>
          </w:rPr>
          <w:t>http://depts.washington.edu/hiprc/suicide/stats/</w:t>
        </w:r>
      </w:hyperlink>
      <w:r w:rsidR="00754974">
        <w:t>.</w:t>
      </w:r>
    </w:p>
  </w:footnote>
  <w:footnote w:id="5">
    <w:p w14:paraId="7354F406" w14:textId="77777777" w:rsidR="00162B01" w:rsidRDefault="00162B01" w:rsidP="002B23CB">
      <w:pPr>
        <w:pStyle w:val="FootnoteText"/>
      </w:pPr>
      <w:r>
        <w:rPr>
          <w:rStyle w:val="FootnoteReference"/>
        </w:rPr>
        <w:footnoteRef/>
      </w:r>
      <w:r>
        <w:t xml:space="preserve"> </w:t>
      </w:r>
      <w:r w:rsidRPr="00E02ADC">
        <w:rPr>
          <w:i/>
        </w:rPr>
        <w:t>Ibid.</w:t>
      </w:r>
    </w:p>
  </w:footnote>
  <w:footnote w:id="6">
    <w:p w14:paraId="1D226E49" w14:textId="77777777" w:rsidR="00162B01" w:rsidRDefault="00162B01">
      <w:pPr>
        <w:pStyle w:val="FootnoteText"/>
      </w:pPr>
      <w:r>
        <w:rPr>
          <w:rStyle w:val="FootnoteReference"/>
        </w:rPr>
        <w:footnoteRef/>
      </w:r>
      <w:r>
        <w:t xml:space="preserve"> </w:t>
      </w:r>
      <w:r w:rsidRPr="00F82A3C">
        <w:rPr>
          <w:i/>
        </w:rPr>
        <w:t>Ibid.</w:t>
      </w:r>
    </w:p>
  </w:footnote>
  <w:footnote w:id="7">
    <w:p w14:paraId="4CEDB3C5" w14:textId="77777777" w:rsidR="00162B01" w:rsidRDefault="00162B01" w:rsidP="005A66FF">
      <w:pPr>
        <w:pStyle w:val="FootnoteText"/>
      </w:pPr>
      <w:r>
        <w:rPr>
          <w:rStyle w:val="FootnoteReference"/>
        </w:rPr>
        <w:footnoteRef/>
      </w:r>
      <w:r>
        <w:t xml:space="preserve"> </w:t>
      </w:r>
      <w:r w:rsidRPr="00FB7763">
        <w:rPr>
          <w:i/>
        </w:rPr>
        <w:t>Ibid.</w:t>
      </w:r>
    </w:p>
  </w:footnote>
  <w:footnote w:id="8">
    <w:p w14:paraId="561670D2" w14:textId="3B5D8186" w:rsidR="00162B01" w:rsidRDefault="00162B01" w:rsidP="005A66FF">
      <w:pPr>
        <w:pStyle w:val="FootnoteText"/>
      </w:pPr>
      <w:r>
        <w:rPr>
          <w:rStyle w:val="FootnoteReference"/>
        </w:rPr>
        <w:footnoteRef/>
      </w:r>
      <w:r>
        <w:t xml:space="preserve"> Washington State Office of Financial Management Research Brief No.71: Firearm Deaths in Washington State, April 2013. </w:t>
      </w:r>
      <w:hyperlink r:id="rId5" w:history="1">
        <w:r w:rsidRPr="004456F8">
          <w:rPr>
            <w:rStyle w:val="Hyperlink"/>
          </w:rPr>
          <w:t>https://www.ofm.wa.gov/sites/default/files/public/legacy/researchbriefs/2013/brief071.pdf</w:t>
        </w:r>
      </w:hyperlink>
      <w:r>
        <w:t xml:space="preserve">. </w:t>
      </w:r>
    </w:p>
  </w:footnote>
  <w:footnote w:id="9">
    <w:p w14:paraId="35F3037A" w14:textId="6B371640" w:rsidR="00162B01" w:rsidRDefault="00162B01" w:rsidP="00271050">
      <w:pPr>
        <w:autoSpaceDE w:val="0"/>
        <w:autoSpaceDN w:val="0"/>
        <w:adjustRightInd w:val="0"/>
        <w:jc w:val="both"/>
      </w:pPr>
      <w:r>
        <w:rPr>
          <w:rStyle w:val="FootnoteReference"/>
        </w:rPr>
        <w:footnoteRef/>
      </w:r>
      <w:r>
        <w:t xml:space="preserve"> </w:t>
      </w:r>
      <w:r w:rsidRPr="006A77E1">
        <w:rPr>
          <w:sz w:val="20"/>
          <w:szCs w:val="20"/>
        </w:rPr>
        <w:t>Erin Renee Morgan, MS, Anthony Gomez, BS, and Ali Rowhani-Rahbar, MD, PhD, MPH, “Firearm Ownership, Storage Practices, and Suicide Risk Factors in Washington State, 2013–2016,” American Journal of Public Health, Research and Practice, May 17, 2018.</w:t>
      </w:r>
      <w:r>
        <w:rPr>
          <w:sz w:val="20"/>
          <w:szCs w:val="20"/>
        </w:rPr>
        <w:t xml:space="preserve"> </w:t>
      </w:r>
      <w:hyperlink r:id="rId6" w:history="1">
        <w:r w:rsidRPr="004456F8">
          <w:rPr>
            <w:rStyle w:val="Hyperlink"/>
            <w:sz w:val="20"/>
            <w:szCs w:val="20"/>
          </w:rPr>
          <w:t>https://ajph.aphapublications.org/doi/10.2105/AJPH.2018.304403</w:t>
        </w:r>
      </w:hyperlink>
      <w:r>
        <w:rPr>
          <w:sz w:val="20"/>
          <w:szCs w:val="20"/>
        </w:rPr>
        <w:t xml:space="preserve">. </w:t>
      </w:r>
    </w:p>
  </w:footnote>
  <w:footnote w:id="10">
    <w:p w14:paraId="46D93B55" w14:textId="77777777" w:rsidR="00162B01" w:rsidRDefault="00162B01">
      <w:pPr>
        <w:pStyle w:val="FootnoteText"/>
      </w:pPr>
      <w:r>
        <w:rPr>
          <w:rStyle w:val="FootnoteReference"/>
        </w:rPr>
        <w:footnoteRef/>
      </w:r>
      <w:r>
        <w:t xml:space="preserve"> Public Health – Seattle &amp; King County: </w:t>
      </w:r>
      <w:r w:rsidRPr="00A63381">
        <w:t>Guns in our community</w:t>
      </w:r>
      <w:r>
        <w:t xml:space="preserve">, </w:t>
      </w:r>
      <w:hyperlink r:id="rId7" w:history="1">
        <w:r w:rsidRPr="004456F8">
          <w:rPr>
            <w:rStyle w:val="Hyperlink"/>
          </w:rPr>
          <w:t>https://www.kingcounty.gov/depts/health/violence-injury-prevention/violence-prevention/gun-violence/LOK-IT-UP/firearm-facts.aspx</w:t>
        </w:r>
      </w:hyperlink>
      <w:r>
        <w:t>. Accessed September 8, 2018.</w:t>
      </w:r>
    </w:p>
  </w:footnote>
  <w:footnote w:id="11">
    <w:p w14:paraId="16C607D2" w14:textId="77777777" w:rsidR="00162B01" w:rsidRDefault="00162B01" w:rsidP="009F7361">
      <w:pPr>
        <w:pStyle w:val="FootnoteText"/>
      </w:pPr>
      <w:r>
        <w:rPr>
          <w:rStyle w:val="FootnoteReference"/>
        </w:rPr>
        <w:footnoteRef/>
      </w:r>
      <w:r>
        <w:t xml:space="preserve"> Dahlberg, Linda L., Ikeda, Robin M., Kresnow, Marcie-jo. (2004). Guns in the Home and Risk of a Violent Death in the Home: Findings from a National Study. </w:t>
      </w:r>
      <w:r w:rsidRPr="009F7361">
        <w:rPr>
          <w:i/>
        </w:rPr>
        <w:t>American Journal of Epidemiology</w:t>
      </w:r>
      <w:r>
        <w:t xml:space="preserve">, Volume 160, Issue 10, November 15, 2004, Pages 929–936, </w:t>
      </w:r>
      <w:hyperlink r:id="rId8" w:history="1">
        <w:r w:rsidRPr="004456F8">
          <w:rPr>
            <w:rStyle w:val="Hyperlink"/>
          </w:rPr>
          <w:t>https://doi.org/10.1093/aje/kwh309</w:t>
        </w:r>
      </w:hyperlink>
      <w:r>
        <w:t xml:space="preserve">. </w:t>
      </w:r>
    </w:p>
  </w:footnote>
  <w:footnote w:id="12">
    <w:p w14:paraId="4626B1E5" w14:textId="77777777" w:rsidR="00162B01" w:rsidRDefault="00162B01" w:rsidP="009F7361">
      <w:pPr>
        <w:pStyle w:val="FootnoteText"/>
      </w:pPr>
      <w:r>
        <w:rPr>
          <w:rStyle w:val="FootnoteReference"/>
        </w:rPr>
        <w:footnoteRef/>
      </w:r>
      <w:r>
        <w:t xml:space="preserve"> Grossman, D.C., Mueller, B. A., Riedy, C., Dowd, M. D., Villaveces, A., Prodzinski, J. &amp; et al. (2005). Gun storage practices and risk of youth suicide and unintentional firearm injuries. </w:t>
      </w:r>
      <w:r w:rsidRPr="009F7361">
        <w:rPr>
          <w:i/>
        </w:rPr>
        <w:t>Journal of the American Medical Association</w:t>
      </w:r>
      <w:r>
        <w:t>, 293(6), 707-714.</w:t>
      </w:r>
    </w:p>
  </w:footnote>
  <w:footnote w:id="13">
    <w:p w14:paraId="55837748" w14:textId="77777777" w:rsidR="00162B01" w:rsidRDefault="00162B01">
      <w:pPr>
        <w:pStyle w:val="FootnoteText"/>
      </w:pPr>
      <w:r>
        <w:rPr>
          <w:rStyle w:val="FootnoteReference"/>
        </w:rPr>
        <w:footnoteRef/>
      </w:r>
      <w:r>
        <w:t xml:space="preserve"> Ordinance 18602, enacted November 16, 2017.</w:t>
      </w:r>
    </w:p>
  </w:footnote>
  <w:footnote w:id="14">
    <w:p w14:paraId="2F83DDDF" w14:textId="77777777" w:rsidR="00162B01" w:rsidRDefault="00162B01">
      <w:pPr>
        <w:pStyle w:val="FootnoteText"/>
      </w:pPr>
      <w:r>
        <w:rPr>
          <w:rStyle w:val="FootnoteReference"/>
        </w:rPr>
        <w:footnoteRef/>
      </w:r>
      <w:r>
        <w:t xml:space="preserve"> </w:t>
      </w:r>
      <w:r w:rsidRPr="00A52EDA">
        <w:rPr>
          <w:i/>
        </w:rPr>
        <w:t>Ibid.</w:t>
      </w:r>
    </w:p>
  </w:footnote>
  <w:footnote w:id="15">
    <w:p w14:paraId="70E3903F" w14:textId="77777777" w:rsidR="00162B01" w:rsidRDefault="00162B01">
      <w:pPr>
        <w:pStyle w:val="FootnoteText"/>
      </w:pPr>
      <w:r>
        <w:rPr>
          <w:rStyle w:val="FootnoteReference"/>
        </w:rPr>
        <w:footnoteRef/>
      </w:r>
      <w:r>
        <w:t xml:space="preserve"> King County Board of Health Briefing 17-B12</w:t>
      </w:r>
    </w:p>
  </w:footnote>
  <w:footnote w:id="16">
    <w:p w14:paraId="6521B1BA" w14:textId="71DA9FF3" w:rsidR="00162B01" w:rsidRDefault="00162B01">
      <w:pPr>
        <w:pStyle w:val="FootnoteText"/>
      </w:pPr>
      <w:r>
        <w:rPr>
          <w:rStyle w:val="FootnoteReference"/>
        </w:rPr>
        <w:footnoteRef/>
      </w:r>
      <w:r>
        <w:t xml:space="preserve"> Giffords Law Center to Prevent Gun Violence: Storage Laws, </w:t>
      </w:r>
      <w:hyperlink r:id="rId9" w:history="1">
        <w:r w:rsidRPr="004456F8">
          <w:rPr>
            <w:rStyle w:val="Hyperlink"/>
          </w:rPr>
          <w:t>http://lawcenter.giffords.org/gun-laws/policy-areas/child-consumer-safety/safe-storage/</w:t>
        </w:r>
      </w:hyperlink>
      <w:r>
        <w:t xml:space="preserve">. </w:t>
      </w:r>
    </w:p>
  </w:footnote>
  <w:footnote w:id="17">
    <w:p w14:paraId="58AC1BB0" w14:textId="77777777" w:rsidR="00162B01" w:rsidRDefault="00162B01">
      <w:pPr>
        <w:pStyle w:val="FootnoteText"/>
      </w:pPr>
      <w:r>
        <w:rPr>
          <w:rStyle w:val="FootnoteReference"/>
        </w:rPr>
        <w:footnoteRef/>
      </w:r>
      <w:r>
        <w:t xml:space="preserve"> </w:t>
      </w:r>
      <w:r w:rsidRPr="007B05EF">
        <w:rPr>
          <w:i/>
        </w:rPr>
        <w:t>Ibid.</w:t>
      </w:r>
    </w:p>
  </w:footnote>
  <w:footnote w:id="18">
    <w:p w14:paraId="5DAF1716" w14:textId="3A0C982D" w:rsidR="00162B01" w:rsidRDefault="00162B01">
      <w:pPr>
        <w:pStyle w:val="FootnoteText"/>
      </w:pPr>
      <w:r>
        <w:rPr>
          <w:rStyle w:val="FootnoteReference"/>
        </w:rPr>
        <w:footnoteRef/>
      </w:r>
      <w:r>
        <w:t xml:space="preserve"> Washington State Secretary of State Kim Wyman News Release: </w:t>
      </w:r>
      <w:r w:rsidRPr="003C3468">
        <w:t>Initiative 1639 concerning firearms certified for November ballot</w:t>
      </w:r>
      <w:r>
        <w:t xml:space="preserve">, July 27, 2018. </w:t>
      </w:r>
      <w:hyperlink r:id="rId10" w:anchor="/news/1305" w:history="1">
        <w:r w:rsidRPr="004456F8">
          <w:rPr>
            <w:rStyle w:val="Hyperlink"/>
          </w:rPr>
          <w:t>https://www.sos.wa.gov/office/news-releases.aspx#/news/1305</w:t>
        </w:r>
      </w:hyperlink>
      <w:r>
        <w:t>.</w:t>
      </w:r>
    </w:p>
  </w:footnote>
  <w:footnote w:id="19">
    <w:p w14:paraId="21159344" w14:textId="1036CDDE" w:rsidR="00162B01" w:rsidRDefault="00162B01" w:rsidP="00DF105F">
      <w:pPr>
        <w:pStyle w:val="FootnoteText"/>
      </w:pPr>
      <w:r>
        <w:rPr>
          <w:rStyle w:val="FootnoteReference"/>
        </w:rPr>
        <w:footnoteRef/>
      </w:r>
      <w:r>
        <w:t xml:space="preserve"> </w:t>
      </w:r>
      <w:r w:rsidRPr="00DF105F">
        <w:t>THE SUPREME COURT OF WASHINGTON</w:t>
      </w:r>
      <w:r>
        <w:t xml:space="preserve"> Order No. 96191-3 ROBIN BALL; the NATIONAL RIFLE ASSOCIATION, ALAN GOTTLIEB and JULIANNE HOY VERSNEL vs. KIM WYMAN, Washington State Secretary of State and SAFE SCHOOLS SAFE COMMUNITIES, August 24, 2018. (</w:t>
      </w:r>
      <w:hyperlink r:id="rId11" w:history="1">
        <w:r w:rsidRPr="004456F8">
          <w:rPr>
            <w:rStyle w:val="Hyperlink"/>
          </w:rPr>
          <w:t>https://assets.documentcloud.org/documents/4783734/Gun-Initiative-Order-8-24-2018.pdf</w:t>
        </w:r>
      </w:hyperlink>
      <w:r>
        <w:t xml:space="preserve">. </w:t>
      </w:r>
    </w:p>
  </w:footnote>
  <w:footnote w:id="20">
    <w:p w14:paraId="53BF5D3C" w14:textId="2184771F" w:rsidR="00162B01" w:rsidRDefault="00162B01">
      <w:pPr>
        <w:pStyle w:val="FootnoteText"/>
      </w:pPr>
      <w:r>
        <w:rPr>
          <w:rStyle w:val="FootnoteReference"/>
        </w:rPr>
        <w:footnoteRef/>
      </w:r>
      <w:r>
        <w:t xml:space="preserve"> City of Seattle Ordinance 125620, </w:t>
      </w:r>
      <w:hyperlink r:id="rId12" w:history="1">
        <w:r w:rsidRPr="004456F8">
          <w:rPr>
            <w:rStyle w:val="Hyperlink"/>
          </w:rPr>
          <w:t>https://seattle.legistar.com/View.ashx?M=F&amp;ID=6398548&amp;GUID=463C4AFB-63F7-4D96-8BF1-66D302A7E675</w:t>
        </w:r>
      </w:hyperlink>
      <w:r>
        <w:t xml:space="preserve">. </w:t>
      </w:r>
    </w:p>
  </w:footnote>
  <w:footnote w:id="21">
    <w:p w14:paraId="6F68B636" w14:textId="14DEE5B4" w:rsidR="0009017B" w:rsidRDefault="0009017B">
      <w:pPr>
        <w:pStyle w:val="FootnoteText"/>
      </w:pPr>
      <w:r>
        <w:rPr>
          <w:rStyle w:val="FootnoteReference"/>
        </w:rPr>
        <w:footnoteRef/>
      </w:r>
      <w:r>
        <w:t xml:space="preserve"> King County Determinants of Equity Report, January 2015, Office of Perf</w:t>
      </w:r>
      <w:r w:rsidR="00262096">
        <w:t xml:space="preserve">ormance, Strategy, and Budget, </w:t>
      </w:r>
      <w:hyperlink r:id="rId13" w:history="1">
        <w:r w:rsidRPr="004456F8">
          <w:rPr>
            <w:rStyle w:val="Hyperlink"/>
          </w:rPr>
          <w:t>https://www.kingcounty.gov/~/media/elected/executive/equity-social-justice/2015/The_Determinants_of_Equity_Report</w:t>
        </w:r>
      </w:hyperlink>
      <w:r>
        <w:t xml:space="preserve">. </w:t>
      </w:r>
    </w:p>
  </w:footnote>
  <w:footnote w:id="22">
    <w:p w14:paraId="1F2339A5" w14:textId="77777777" w:rsidR="00C20E0E" w:rsidRDefault="00C20E0E">
      <w:pPr>
        <w:pStyle w:val="FootnoteText"/>
      </w:pPr>
      <w:r>
        <w:rPr>
          <w:rStyle w:val="FootnoteReference"/>
        </w:rPr>
        <w:footnoteRef/>
      </w:r>
      <w:r>
        <w:t xml:space="preserve"> City of San Francisco Ordinance Number 97-16, adopted June 17, 2016. </w:t>
      </w:r>
    </w:p>
  </w:footnote>
  <w:footnote w:id="23">
    <w:p w14:paraId="25672484" w14:textId="77777777" w:rsidR="009C6275" w:rsidRDefault="009C6275">
      <w:pPr>
        <w:pStyle w:val="FootnoteText"/>
      </w:pPr>
      <w:r>
        <w:rPr>
          <w:rStyle w:val="FootnoteReference"/>
        </w:rPr>
        <w:footnoteRef/>
      </w:r>
      <w:r>
        <w:t xml:space="preserve"> Public Health – Seattle &amp; King County: </w:t>
      </w:r>
      <w:r w:rsidRPr="009C6275">
        <w:t>5 main types of locking devices and where to purchase them</w:t>
      </w:r>
      <w:r>
        <w:t xml:space="preserve">, last updated July 15, 2016. </w:t>
      </w:r>
      <w:hyperlink r:id="rId14" w:history="1">
        <w:r w:rsidRPr="004456F8">
          <w:rPr>
            <w:rStyle w:val="Hyperlink"/>
          </w:rPr>
          <w:t>https://www.kingcounty.gov/depts/health/violence-injury-prevention/violence-prevention/gun-violence/LOK-IT-UP/types-purchase.aspx</w:t>
        </w:r>
      </w:hyperlink>
      <w:r>
        <w:t>. Accessed September 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7B2D" w14:textId="77777777" w:rsidR="0021267E" w:rsidRDefault="0021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966"/>
    <w:multiLevelType w:val="hybridMultilevel"/>
    <w:tmpl w:val="BB9E4F44"/>
    <w:lvl w:ilvl="0" w:tplc="F3ACCE3E">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D30BE"/>
    <w:multiLevelType w:val="hybridMultilevel"/>
    <w:tmpl w:val="26E4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D3A05"/>
    <w:multiLevelType w:val="hybridMultilevel"/>
    <w:tmpl w:val="1FB613EE"/>
    <w:lvl w:ilvl="0" w:tplc="04090001">
      <w:start w:val="1"/>
      <w:numFmt w:val="bullet"/>
      <w:lvlText w:val=""/>
      <w:lvlJc w:val="left"/>
      <w:pPr>
        <w:ind w:left="360" w:hanging="360"/>
      </w:pPr>
      <w:rPr>
        <w:rFonts w:ascii="Symbol" w:hAnsi="Symbol" w:hint="default"/>
        <w:w w:val="99"/>
        <w:sz w:val="22"/>
        <w:szCs w:val="22"/>
      </w:rPr>
    </w:lvl>
    <w:lvl w:ilvl="1" w:tplc="6D92E018">
      <w:start w:val="1"/>
      <w:numFmt w:val="bullet"/>
      <w:lvlText w:val="•"/>
      <w:lvlJc w:val="left"/>
      <w:pPr>
        <w:ind w:left="1203" w:hanging="360"/>
      </w:pPr>
      <w:rPr>
        <w:rFonts w:hint="default"/>
      </w:rPr>
    </w:lvl>
    <w:lvl w:ilvl="2" w:tplc="AB9AA7AC">
      <w:start w:val="1"/>
      <w:numFmt w:val="bullet"/>
      <w:lvlText w:val="•"/>
      <w:lvlJc w:val="left"/>
      <w:pPr>
        <w:ind w:left="2049" w:hanging="360"/>
      </w:pPr>
      <w:rPr>
        <w:rFonts w:hint="default"/>
      </w:rPr>
    </w:lvl>
    <w:lvl w:ilvl="3" w:tplc="DFC42022">
      <w:start w:val="1"/>
      <w:numFmt w:val="bullet"/>
      <w:lvlText w:val="•"/>
      <w:lvlJc w:val="left"/>
      <w:pPr>
        <w:ind w:left="2895" w:hanging="360"/>
      </w:pPr>
      <w:rPr>
        <w:rFonts w:hint="default"/>
      </w:rPr>
    </w:lvl>
    <w:lvl w:ilvl="4" w:tplc="18A6E24C">
      <w:start w:val="1"/>
      <w:numFmt w:val="bullet"/>
      <w:lvlText w:val="•"/>
      <w:lvlJc w:val="left"/>
      <w:pPr>
        <w:ind w:left="3741" w:hanging="360"/>
      </w:pPr>
      <w:rPr>
        <w:rFonts w:hint="default"/>
      </w:rPr>
    </w:lvl>
    <w:lvl w:ilvl="5" w:tplc="1890C278">
      <w:start w:val="1"/>
      <w:numFmt w:val="bullet"/>
      <w:lvlText w:val="•"/>
      <w:lvlJc w:val="left"/>
      <w:pPr>
        <w:ind w:left="4587" w:hanging="360"/>
      </w:pPr>
      <w:rPr>
        <w:rFonts w:hint="default"/>
      </w:rPr>
    </w:lvl>
    <w:lvl w:ilvl="6" w:tplc="0F52145A">
      <w:start w:val="1"/>
      <w:numFmt w:val="bullet"/>
      <w:lvlText w:val="•"/>
      <w:lvlJc w:val="left"/>
      <w:pPr>
        <w:ind w:left="5433" w:hanging="360"/>
      </w:pPr>
      <w:rPr>
        <w:rFonts w:hint="default"/>
      </w:rPr>
    </w:lvl>
    <w:lvl w:ilvl="7" w:tplc="FDEA9122">
      <w:start w:val="1"/>
      <w:numFmt w:val="bullet"/>
      <w:lvlText w:val="•"/>
      <w:lvlJc w:val="left"/>
      <w:pPr>
        <w:ind w:left="6279" w:hanging="360"/>
      </w:pPr>
      <w:rPr>
        <w:rFonts w:hint="default"/>
      </w:rPr>
    </w:lvl>
    <w:lvl w:ilvl="8" w:tplc="424CD77E">
      <w:start w:val="1"/>
      <w:numFmt w:val="bullet"/>
      <w:lvlText w:val="•"/>
      <w:lvlJc w:val="left"/>
      <w:pPr>
        <w:ind w:left="7125" w:hanging="360"/>
      </w:pPr>
      <w:rPr>
        <w:rFonts w:hint="default"/>
      </w:rPr>
    </w:lvl>
  </w:abstractNum>
  <w:abstractNum w:abstractNumId="3" w15:restartNumberingAfterBreak="0">
    <w:nsid w:val="226355A8"/>
    <w:multiLevelType w:val="hybridMultilevel"/>
    <w:tmpl w:val="C6A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D4D58"/>
    <w:multiLevelType w:val="hybridMultilevel"/>
    <w:tmpl w:val="1FB6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C5C2D"/>
    <w:multiLevelType w:val="hybridMultilevel"/>
    <w:tmpl w:val="D9F87BD4"/>
    <w:lvl w:ilvl="0" w:tplc="16783F32">
      <w:start w:val="1"/>
      <w:numFmt w:val="decimal"/>
      <w:lvlText w:val="%1."/>
      <w:lvlJc w:val="left"/>
      <w:pPr>
        <w:ind w:left="823" w:hanging="360"/>
      </w:pPr>
      <w:rPr>
        <w:rFonts w:ascii="Arial" w:eastAsia="Arial" w:hAnsi="Arial" w:hint="default"/>
        <w:w w:val="99"/>
        <w:sz w:val="22"/>
        <w:szCs w:val="22"/>
      </w:rPr>
    </w:lvl>
    <w:lvl w:ilvl="1" w:tplc="CBD2B4CC">
      <w:start w:val="15"/>
      <w:numFmt w:val="decimal"/>
      <w:lvlText w:val="%2."/>
      <w:lvlJc w:val="left"/>
      <w:pPr>
        <w:ind w:left="1587" w:hanging="512"/>
      </w:pPr>
      <w:rPr>
        <w:rFonts w:ascii="Times New Roman" w:eastAsia="Times New Roman" w:hAnsi="Times New Roman" w:hint="default"/>
        <w:spacing w:val="-48"/>
        <w:w w:val="130"/>
        <w:sz w:val="24"/>
        <w:szCs w:val="24"/>
      </w:rPr>
    </w:lvl>
    <w:lvl w:ilvl="2" w:tplc="8B060EF4">
      <w:start w:val="18"/>
      <w:numFmt w:val="decimal"/>
      <w:lvlText w:val="%3."/>
      <w:lvlJc w:val="left"/>
      <w:pPr>
        <w:ind w:left="2980" w:hanging="767"/>
      </w:pPr>
      <w:rPr>
        <w:rFonts w:ascii="Times New Roman" w:eastAsia="Times New Roman" w:hAnsi="Times New Roman" w:hint="default"/>
        <w:spacing w:val="-63"/>
        <w:w w:val="162"/>
        <w:sz w:val="21"/>
        <w:szCs w:val="21"/>
      </w:rPr>
    </w:lvl>
    <w:lvl w:ilvl="3" w:tplc="E2FEE76E">
      <w:start w:val="1"/>
      <w:numFmt w:val="bullet"/>
      <w:lvlText w:val="•"/>
      <w:lvlJc w:val="left"/>
      <w:pPr>
        <w:ind w:left="3767" w:hanging="767"/>
      </w:pPr>
      <w:rPr>
        <w:rFonts w:hint="default"/>
      </w:rPr>
    </w:lvl>
    <w:lvl w:ilvl="4" w:tplc="FF225170">
      <w:start w:val="1"/>
      <w:numFmt w:val="bullet"/>
      <w:lvlText w:val="•"/>
      <w:lvlJc w:val="left"/>
      <w:pPr>
        <w:ind w:left="4555" w:hanging="767"/>
      </w:pPr>
      <w:rPr>
        <w:rFonts w:hint="default"/>
      </w:rPr>
    </w:lvl>
    <w:lvl w:ilvl="5" w:tplc="BB2AA9D2">
      <w:start w:val="1"/>
      <w:numFmt w:val="bullet"/>
      <w:lvlText w:val="•"/>
      <w:lvlJc w:val="left"/>
      <w:pPr>
        <w:ind w:left="5342" w:hanging="767"/>
      </w:pPr>
      <w:rPr>
        <w:rFonts w:hint="default"/>
      </w:rPr>
    </w:lvl>
    <w:lvl w:ilvl="6" w:tplc="700CD596">
      <w:start w:val="1"/>
      <w:numFmt w:val="bullet"/>
      <w:lvlText w:val="•"/>
      <w:lvlJc w:val="left"/>
      <w:pPr>
        <w:ind w:left="6130" w:hanging="767"/>
      </w:pPr>
      <w:rPr>
        <w:rFonts w:hint="default"/>
      </w:rPr>
    </w:lvl>
    <w:lvl w:ilvl="7" w:tplc="72E2B5C4">
      <w:start w:val="1"/>
      <w:numFmt w:val="bullet"/>
      <w:lvlText w:val="•"/>
      <w:lvlJc w:val="left"/>
      <w:pPr>
        <w:ind w:left="6917" w:hanging="767"/>
      </w:pPr>
      <w:rPr>
        <w:rFonts w:hint="default"/>
      </w:rPr>
    </w:lvl>
    <w:lvl w:ilvl="8" w:tplc="A65A766E">
      <w:start w:val="1"/>
      <w:numFmt w:val="bullet"/>
      <w:lvlText w:val="•"/>
      <w:lvlJc w:val="left"/>
      <w:pPr>
        <w:ind w:left="7705" w:hanging="767"/>
      </w:pPr>
      <w:rPr>
        <w:rFonts w:hint="default"/>
      </w:rPr>
    </w:lvl>
  </w:abstractNum>
  <w:abstractNum w:abstractNumId="6" w15:restartNumberingAfterBreak="0">
    <w:nsid w:val="414069FF"/>
    <w:multiLevelType w:val="hybridMultilevel"/>
    <w:tmpl w:val="27DED9B8"/>
    <w:lvl w:ilvl="0" w:tplc="3976BF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70913"/>
    <w:multiLevelType w:val="hybridMultilevel"/>
    <w:tmpl w:val="C598D3D4"/>
    <w:lvl w:ilvl="0" w:tplc="BE381430">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D381E"/>
    <w:multiLevelType w:val="hybridMultilevel"/>
    <w:tmpl w:val="3448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F3A77"/>
    <w:multiLevelType w:val="hybridMultilevel"/>
    <w:tmpl w:val="2F34466C"/>
    <w:lvl w:ilvl="0" w:tplc="1FBE02F2">
      <w:start w:val="1"/>
      <w:numFmt w:val="decimal"/>
      <w:lvlText w:val="%1."/>
      <w:lvlJc w:val="left"/>
      <w:pPr>
        <w:ind w:left="823" w:hanging="360"/>
      </w:pPr>
      <w:rPr>
        <w:rFonts w:ascii="Arial" w:eastAsia="Arial" w:hAnsi="Arial" w:hint="default"/>
        <w:w w:val="99"/>
        <w:sz w:val="22"/>
        <w:szCs w:val="22"/>
      </w:rPr>
    </w:lvl>
    <w:lvl w:ilvl="1" w:tplc="6D92E018">
      <w:start w:val="1"/>
      <w:numFmt w:val="bullet"/>
      <w:lvlText w:val="•"/>
      <w:lvlJc w:val="left"/>
      <w:pPr>
        <w:ind w:left="1666" w:hanging="360"/>
      </w:pPr>
      <w:rPr>
        <w:rFonts w:hint="default"/>
      </w:rPr>
    </w:lvl>
    <w:lvl w:ilvl="2" w:tplc="AB9AA7AC">
      <w:start w:val="1"/>
      <w:numFmt w:val="bullet"/>
      <w:lvlText w:val="•"/>
      <w:lvlJc w:val="left"/>
      <w:pPr>
        <w:ind w:left="2512" w:hanging="360"/>
      </w:pPr>
      <w:rPr>
        <w:rFonts w:hint="default"/>
      </w:rPr>
    </w:lvl>
    <w:lvl w:ilvl="3" w:tplc="DFC42022">
      <w:start w:val="1"/>
      <w:numFmt w:val="bullet"/>
      <w:lvlText w:val="•"/>
      <w:lvlJc w:val="left"/>
      <w:pPr>
        <w:ind w:left="3358" w:hanging="360"/>
      </w:pPr>
      <w:rPr>
        <w:rFonts w:hint="default"/>
      </w:rPr>
    </w:lvl>
    <w:lvl w:ilvl="4" w:tplc="18A6E24C">
      <w:start w:val="1"/>
      <w:numFmt w:val="bullet"/>
      <w:lvlText w:val="•"/>
      <w:lvlJc w:val="left"/>
      <w:pPr>
        <w:ind w:left="4204" w:hanging="360"/>
      </w:pPr>
      <w:rPr>
        <w:rFonts w:hint="default"/>
      </w:rPr>
    </w:lvl>
    <w:lvl w:ilvl="5" w:tplc="1890C278">
      <w:start w:val="1"/>
      <w:numFmt w:val="bullet"/>
      <w:lvlText w:val="•"/>
      <w:lvlJc w:val="left"/>
      <w:pPr>
        <w:ind w:left="5050" w:hanging="360"/>
      </w:pPr>
      <w:rPr>
        <w:rFonts w:hint="default"/>
      </w:rPr>
    </w:lvl>
    <w:lvl w:ilvl="6" w:tplc="0F52145A">
      <w:start w:val="1"/>
      <w:numFmt w:val="bullet"/>
      <w:lvlText w:val="•"/>
      <w:lvlJc w:val="left"/>
      <w:pPr>
        <w:ind w:left="5896" w:hanging="360"/>
      </w:pPr>
      <w:rPr>
        <w:rFonts w:hint="default"/>
      </w:rPr>
    </w:lvl>
    <w:lvl w:ilvl="7" w:tplc="FDEA9122">
      <w:start w:val="1"/>
      <w:numFmt w:val="bullet"/>
      <w:lvlText w:val="•"/>
      <w:lvlJc w:val="left"/>
      <w:pPr>
        <w:ind w:left="6742" w:hanging="360"/>
      </w:pPr>
      <w:rPr>
        <w:rFonts w:hint="default"/>
      </w:rPr>
    </w:lvl>
    <w:lvl w:ilvl="8" w:tplc="424CD77E">
      <w:start w:val="1"/>
      <w:numFmt w:val="bullet"/>
      <w:lvlText w:val="•"/>
      <w:lvlJc w:val="left"/>
      <w:pPr>
        <w:ind w:left="7588" w:hanging="360"/>
      </w:pPr>
      <w:rPr>
        <w:rFonts w:hint="default"/>
      </w:rPr>
    </w:lvl>
  </w:abstractNum>
  <w:abstractNum w:abstractNumId="10" w15:restartNumberingAfterBreak="0">
    <w:nsid w:val="75354D39"/>
    <w:multiLevelType w:val="hybridMultilevel"/>
    <w:tmpl w:val="AC0C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E55D4"/>
    <w:multiLevelType w:val="hybridMultilevel"/>
    <w:tmpl w:val="F2EA8B6C"/>
    <w:lvl w:ilvl="0" w:tplc="04090001">
      <w:start w:val="1"/>
      <w:numFmt w:val="bullet"/>
      <w:lvlText w:val=""/>
      <w:lvlJc w:val="left"/>
      <w:pPr>
        <w:ind w:left="544" w:hanging="360"/>
      </w:pPr>
      <w:rPr>
        <w:rFonts w:ascii="Symbol" w:hAnsi="Symbol" w:hint="default"/>
      </w:rPr>
    </w:lvl>
    <w:lvl w:ilvl="1" w:tplc="04090019">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2" w15:restartNumberingAfterBreak="0">
    <w:nsid w:val="78A7002D"/>
    <w:multiLevelType w:val="hybridMultilevel"/>
    <w:tmpl w:val="C804C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2"/>
  </w:num>
  <w:num w:numId="4">
    <w:abstractNumId w:val="11"/>
  </w:num>
  <w:num w:numId="5">
    <w:abstractNumId w:val="1"/>
  </w:num>
  <w:num w:numId="6">
    <w:abstractNumId w:val="4"/>
  </w:num>
  <w:num w:numId="7">
    <w:abstractNumId w:val="2"/>
  </w:num>
  <w:num w:numId="8">
    <w:abstractNumId w:val="10"/>
  </w:num>
  <w:num w:numId="9">
    <w:abstractNumId w:val="3"/>
  </w:num>
  <w:num w:numId="10">
    <w:abstractNumId w:val="7"/>
  </w:num>
  <w:num w:numId="11">
    <w:abstractNumId w:val="0"/>
  </w:num>
  <w:num w:numId="12">
    <w:abstractNumId w:val="6"/>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228A7"/>
    <w:rsid w:val="000057EE"/>
    <w:rsid w:val="00005A7D"/>
    <w:rsid w:val="00016F9E"/>
    <w:rsid w:val="000309B9"/>
    <w:rsid w:val="00032CE7"/>
    <w:rsid w:val="00033AEA"/>
    <w:rsid w:val="00050ED7"/>
    <w:rsid w:val="00054A7B"/>
    <w:rsid w:val="00055799"/>
    <w:rsid w:val="00064EB6"/>
    <w:rsid w:val="000707EA"/>
    <w:rsid w:val="00080D63"/>
    <w:rsid w:val="00084182"/>
    <w:rsid w:val="0009017B"/>
    <w:rsid w:val="000B43DE"/>
    <w:rsid w:val="000C3A81"/>
    <w:rsid w:val="000C5D0D"/>
    <w:rsid w:val="000C6177"/>
    <w:rsid w:val="000D089A"/>
    <w:rsid w:val="000D483F"/>
    <w:rsid w:val="000D5D47"/>
    <w:rsid w:val="001008E5"/>
    <w:rsid w:val="00110752"/>
    <w:rsid w:val="00125552"/>
    <w:rsid w:val="001322F0"/>
    <w:rsid w:val="00162B01"/>
    <w:rsid w:val="001666DB"/>
    <w:rsid w:val="00186793"/>
    <w:rsid w:val="00191586"/>
    <w:rsid w:val="00196D48"/>
    <w:rsid w:val="001A05CF"/>
    <w:rsid w:val="001A44F3"/>
    <w:rsid w:val="001C1DC4"/>
    <w:rsid w:val="001C2F04"/>
    <w:rsid w:val="001C6130"/>
    <w:rsid w:val="001E534A"/>
    <w:rsid w:val="001F0CED"/>
    <w:rsid w:val="00202CC3"/>
    <w:rsid w:val="0021267E"/>
    <w:rsid w:val="002415AA"/>
    <w:rsid w:val="002551FE"/>
    <w:rsid w:val="00262096"/>
    <w:rsid w:val="00267B72"/>
    <w:rsid w:val="00271050"/>
    <w:rsid w:val="002749BA"/>
    <w:rsid w:val="00275740"/>
    <w:rsid w:val="00277D57"/>
    <w:rsid w:val="00280282"/>
    <w:rsid w:val="00281F4A"/>
    <w:rsid w:val="002851EB"/>
    <w:rsid w:val="0029046F"/>
    <w:rsid w:val="00296A78"/>
    <w:rsid w:val="002B1E57"/>
    <w:rsid w:val="002B23CB"/>
    <w:rsid w:val="002C1D01"/>
    <w:rsid w:val="002C2C6F"/>
    <w:rsid w:val="002D0AD3"/>
    <w:rsid w:val="002E39E5"/>
    <w:rsid w:val="002F46EE"/>
    <w:rsid w:val="002F6DE8"/>
    <w:rsid w:val="00316E90"/>
    <w:rsid w:val="00321DD3"/>
    <w:rsid w:val="003228A7"/>
    <w:rsid w:val="003312FD"/>
    <w:rsid w:val="00340006"/>
    <w:rsid w:val="003759AF"/>
    <w:rsid w:val="00384740"/>
    <w:rsid w:val="003A3CE9"/>
    <w:rsid w:val="003C012C"/>
    <w:rsid w:val="003C3468"/>
    <w:rsid w:val="003D438F"/>
    <w:rsid w:val="003D71CD"/>
    <w:rsid w:val="003E6DED"/>
    <w:rsid w:val="003F3F16"/>
    <w:rsid w:val="004152FF"/>
    <w:rsid w:val="00432B27"/>
    <w:rsid w:val="00437C18"/>
    <w:rsid w:val="00465D1E"/>
    <w:rsid w:val="004A38C9"/>
    <w:rsid w:val="004B3DBD"/>
    <w:rsid w:val="004C7418"/>
    <w:rsid w:val="004C7BF2"/>
    <w:rsid w:val="004D7768"/>
    <w:rsid w:val="004E254A"/>
    <w:rsid w:val="004E4259"/>
    <w:rsid w:val="004F202A"/>
    <w:rsid w:val="004F5B5E"/>
    <w:rsid w:val="005014B2"/>
    <w:rsid w:val="00504AE1"/>
    <w:rsid w:val="00506248"/>
    <w:rsid w:val="00521CE5"/>
    <w:rsid w:val="00526643"/>
    <w:rsid w:val="00540CC8"/>
    <w:rsid w:val="00551872"/>
    <w:rsid w:val="00560037"/>
    <w:rsid w:val="00567B67"/>
    <w:rsid w:val="0058523B"/>
    <w:rsid w:val="005852A7"/>
    <w:rsid w:val="00592409"/>
    <w:rsid w:val="005A20C0"/>
    <w:rsid w:val="005A66FF"/>
    <w:rsid w:val="005B0144"/>
    <w:rsid w:val="005B6E6F"/>
    <w:rsid w:val="005D41F3"/>
    <w:rsid w:val="005D6486"/>
    <w:rsid w:val="005E5DDF"/>
    <w:rsid w:val="005F337B"/>
    <w:rsid w:val="005F5D1E"/>
    <w:rsid w:val="0061082D"/>
    <w:rsid w:val="00610ABA"/>
    <w:rsid w:val="00624398"/>
    <w:rsid w:val="00641A85"/>
    <w:rsid w:val="00655AC0"/>
    <w:rsid w:val="006738A3"/>
    <w:rsid w:val="00676CCF"/>
    <w:rsid w:val="00681298"/>
    <w:rsid w:val="006856FD"/>
    <w:rsid w:val="00695F70"/>
    <w:rsid w:val="006D42AC"/>
    <w:rsid w:val="006D7C2D"/>
    <w:rsid w:val="006D7E30"/>
    <w:rsid w:val="006F2148"/>
    <w:rsid w:val="007315AC"/>
    <w:rsid w:val="00731791"/>
    <w:rsid w:val="00754974"/>
    <w:rsid w:val="00757450"/>
    <w:rsid w:val="00760839"/>
    <w:rsid w:val="00764156"/>
    <w:rsid w:val="00771AA8"/>
    <w:rsid w:val="007850D9"/>
    <w:rsid w:val="00790042"/>
    <w:rsid w:val="00791369"/>
    <w:rsid w:val="00791FD1"/>
    <w:rsid w:val="007B05EF"/>
    <w:rsid w:val="007D7263"/>
    <w:rsid w:val="007E25DF"/>
    <w:rsid w:val="007F644B"/>
    <w:rsid w:val="0080322E"/>
    <w:rsid w:val="00814127"/>
    <w:rsid w:val="00816E53"/>
    <w:rsid w:val="00833942"/>
    <w:rsid w:val="00834B4E"/>
    <w:rsid w:val="0083531C"/>
    <w:rsid w:val="00850A06"/>
    <w:rsid w:val="0085300A"/>
    <w:rsid w:val="00863069"/>
    <w:rsid w:val="00866B3A"/>
    <w:rsid w:val="008707B8"/>
    <w:rsid w:val="00876160"/>
    <w:rsid w:val="00895556"/>
    <w:rsid w:val="008F4CC0"/>
    <w:rsid w:val="00904A76"/>
    <w:rsid w:val="00910E31"/>
    <w:rsid w:val="00934E94"/>
    <w:rsid w:val="0094114B"/>
    <w:rsid w:val="00947760"/>
    <w:rsid w:val="00947CFF"/>
    <w:rsid w:val="009600BA"/>
    <w:rsid w:val="009636B9"/>
    <w:rsid w:val="009951E1"/>
    <w:rsid w:val="009A061F"/>
    <w:rsid w:val="009A5702"/>
    <w:rsid w:val="009B6D32"/>
    <w:rsid w:val="009C6275"/>
    <w:rsid w:val="009E0D16"/>
    <w:rsid w:val="009F7361"/>
    <w:rsid w:val="00A01C70"/>
    <w:rsid w:val="00A14E6C"/>
    <w:rsid w:val="00A2697E"/>
    <w:rsid w:val="00A2756B"/>
    <w:rsid w:val="00A5167F"/>
    <w:rsid w:val="00A52EDA"/>
    <w:rsid w:val="00A53E6B"/>
    <w:rsid w:val="00A61E27"/>
    <w:rsid w:val="00A63381"/>
    <w:rsid w:val="00A660B9"/>
    <w:rsid w:val="00A7042C"/>
    <w:rsid w:val="00A94BED"/>
    <w:rsid w:val="00AC6E93"/>
    <w:rsid w:val="00AD1965"/>
    <w:rsid w:val="00AD489E"/>
    <w:rsid w:val="00AD6517"/>
    <w:rsid w:val="00B0624A"/>
    <w:rsid w:val="00B07D1D"/>
    <w:rsid w:val="00B14168"/>
    <w:rsid w:val="00B16BB4"/>
    <w:rsid w:val="00B21926"/>
    <w:rsid w:val="00B243C7"/>
    <w:rsid w:val="00B25744"/>
    <w:rsid w:val="00B53222"/>
    <w:rsid w:val="00B64142"/>
    <w:rsid w:val="00B64C00"/>
    <w:rsid w:val="00BA3559"/>
    <w:rsid w:val="00BA66C8"/>
    <w:rsid w:val="00BB433D"/>
    <w:rsid w:val="00BD717E"/>
    <w:rsid w:val="00C20E0E"/>
    <w:rsid w:val="00C53282"/>
    <w:rsid w:val="00C53760"/>
    <w:rsid w:val="00C83F54"/>
    <w:rsid w:val="00C97A8E"/>
    <w:rsid w:val="00CD421E"/>
    <w:rsid w:val="00CE236C"/>
    <w:rsid w:val="00D010BC"/>
    <w:rsid w:val="00D075FE"/>
    <w:rsid w:val="00D07AD8"/>
    <w:rsid w:val="00D333D5"/>
    <w:rsid w:val="00D440FB"/>
    <w:rsid w:val="00D452E2"/>
    <w:rsid w:val="00D72F95"/>
    <w:rsid w:val="00D77C96"/>
    <w:rsid w:val="00D8096C"/>
    <w:rsid w:val="00D94C8F"/>
    <w:rsid w:val="00D9536E"/>
    <w:rsid w:val="00D95549"/>
    <w:rsid w:val="00DB3C46"/>
    <w:rsid w:val="00DB7D29"/>
    <w:rsid w:val="00DE4683"/>
    <w:rsid w:val="00DF105F"/>
    <w:rsid w:val="00E02ADC"/>
    <w:rsid w:val="00E07271"/>
    <w:rsid w:val="00E07996"/>
    <w:rsid w:val="00E10D55"/>
    <w:rsid w:val="00E21D5F"/>
    <w:rsid w:val="00E35175"/>
    <w:rsid w:val="00EA0766"/>
    <w:rsid w:val="00EB5487"/>
    <w:rsid w:val="00ED170A"/>
    <w:rsid w:val="00ED5486"/>
    <w:rsid w:val="00EE192D"/>
    <w:rsid w:val="00F03090"/>
    <w:rsid w:val="00F129D6"/>
    <w:rsid w:val="00F446ED"/>
    <w:rsid w:val="00F51532"/>
    <w:rsid w:val="00F70A9D"/>
    <w:rsid w:val="00F73A88"/>
    <w:rsid w:val="00F82A3C"/>
    <w:rsid w:val="00F90498"/>
    <w:rsid w:val="00F964E9"/>
    <w:rsid w:val="00FB7763"/>
    <w:rsid w:val="00FF46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455E"/>
  <w15:docId w15:val="{798E035A-1272-42E4-8001-B6255D3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33"/>
      <w:outlineLvl w:val="0"/>
    </w:pPr>
    <w:rPr>
      <w:rFonts w:ascii="Times New Roman" w:eastAsia="Times New Roman" w:hAnsi="Times New Roman"/>
      <w:sz w:val="101"/>
      <w:szCs w:val="101"/>
    </w:rPr>
  </w:style>
  <w:style w:type="paragraph" w:styleId="Heading2">
    <w:name w:val="heading 2"/>
    <w:basedOn w:val="Normal"/>
    <w:uiPriority w:val="1"/>
    <w:qFormat/>
    <w:pPr>
      <w:ind w:left="1519"/>
      <w:outlineLvl w:val="1"/>
    </w:pPr>
    <w:rPr>
      <w:rFonts w:ascii="Arial" w:eastAsia="Arial" w:hAnsi="Arial"/>
      <w:sz w:val="99"/>
      <w:szCs w:val="99"/>
    </w:rPr>
  </w:style>
  <w:style w:type="paragraph" w:styleId="Heading3">
    <w:name w:val="heading 3"/>
    <w:basedOn w:val="Normal"/>
    <w:uiPriority w:val="1"/>
    <w:qFormat/>
    <w:pPr>
      <w:ind w:left="141"/>
      <w:outlineLvl w:val="2"/>
    </w:pPr>
    <w:rPr>
      <w:rFonts w:ascii="Times New Roman" w:eastAsia="Times New Roman" w:hAnsi="Times New Roman"/>
      <w:sz w:val="40"/>
      <w:szCs w:val="40"/>
    </w:rPr>
  </w:style>
  <w:style w:type="paragraph" w:styleId="Heading4">
    <w:name w:val="heading 4"/>
    <w:basedOn w:val="Normal"/>
    <w:uiPriority w:val="1"/>
    <w:qFormat/>
    <w:pPr>
      <w:ind w:left="148"/>
      <w:outlineLvl w:val="3"/>
    </w:pPr>
    <w:rPr>
      <w:rFonts w:ascii="Arial" w:eastAsia="Arial" w:hAnsi="Arial"/>
      <w:sz w:val="37"/>
      <w:szCs w:val="37"/>
    </w:rPr>
  </w:style>
  <w:style w:type="paragraph" w:styleId="Heading5">
    <w:name w:val="heading 5"/>
    <w:basedOn w:val="Normal"/>
    <w:uiPriority w:val="1"/>
    <w:qFormat/>
    <w:pPr>
      <w:spacing w:before="44"/>
      <w:ind w:left="1656"/>
      <w:outlineLvl w:val="4"/>
    </w:pPr>
    <w:rPr>
      <w:rFonts w:ascii="Calibri" w:eastAsia="Calibri" w:hAnsi="Calibri"/>
      <w:b/>
      <w:bCs/>
      <w:sz w:val="28"/>
      <w:szCs w:val="28"/>
    </w:rPr>
  </w:style>
  <w:style w:type="paragraph" w:styleId="Heading6">
    <w:name w:val="heading 6"/>
    <w:basedOn w:val="Normal"/>
    <w:uiPriority w:val="1"/>
    <w:qFormat/>
    <w:pPr>
      <w:spacing w:before="1"/>
      <w:ind w:left="95"/>
      <w:outlineLvl w:val="5"/>
    </w:pPr>
    <w:rPr>
      <w:rFonts w:ascii="Calibri" w:eastAsia="Calibri" w:hAnsi="Calibri"/>
      <w:b/>
      <w:bCs/>
      <w:i/>
      <w:sz w:val="28"/>
      <w:szCs w:val="28"/>
    </w:rPr>
  </w:style>
  <w:style w:type="paragraph" w:styleId="Heading7">
    <w:name w:val="heading 7"/>
    <w:basedOn w:val="Normal"/>
    <w:uiPriority w:val="1"/>
    <w:qFormat/>
    <w:pPr>
      <w:ind w:left="1385"/>
      <w:outlineLvl w:val="6"/>
    </w:pPr>
    <w:rPr>
      <w:rFonts w:ascii="Arial" w:eastAsia="Arial" w:hAnsi="Arial"/>
      <w:sz w:val="28"/>
      <w:szCs w:val="28"/>
    </w:rPr>
  </w:style>
  <w:style w:type="paragraph" w:styleId="Heading8">
    <w:name w:val="heading 8"/>
    <w:basedOn w:val="Normal"/>
    <w:uiPriority w:val="1"/>
    <w:qFormat/>
    <w:pPr>
      <w:ind w:left="1472"/>
      <w:outlineLvl w:val="7"/>
    </w:pPr>
    <w:rPr>
      <w:rFonts w:ascii="Arial" w:eastAsia="Arial" w:hAnsi="Arial"/>
      <w:sz w:val="27"/>
      <w:szCs w:val="27"/>
    </w:rPr>
  </w:style>
  <w:style w:type="paragraph" w:styleId="Heading9">
    <w:name w:val="heading 9"/>
    <w:basedOn w:val="Normal"/>
    <w:uiPriority w:val="1"/>
    <w:qFormat/>
    <w:pPr>
      <w:ind w:left="1001"/>
      <w:outlineLvl w:val="8"/>
    </w:pPr>
    <w:rPr>
      <w:rFonts w:ascii="Verdana" w:eastAsia="Verdana"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45" w:hanging="511"/>
    </w:pPr>
    <w:rPr>
      <w:rFonts w:ascii="Times New Roman" w:eastAsia="Times New Roman" w:hAnsi="Times New Roman"/>
      <w:sz w:val="23"/>
      <w:szCs w:val="23"/>
    </w:rPr>
  </w:style>
  <w:style w:type="paragraph" w:styleId="TOC2">
    <w:name w:val="toc 2"/>
    <w:basedOn w:val="Normal"/>
    <w:uiPriority w:val="1"/>
    <w:qFormat/>
    <w:pPr>
      <w:ind w:left="119"/>
    </w:pPr>
    <w:rPr>
      <w:rFonts w:ascii="Arial" w:eastAsia="Arial" w:hAnsi="Arial"/>
      <w:sz w:val="21"/>
      <w:szCs w:val="21"/>
    </w:rPr>
  </w:style>
  <w:style w:type="paragraph" w:styleId="TOC3">
    <w:name w:val="toc 3"/>
    <w:basedOn w:val="Normal"/>
    <w:uiPriority w:val="1"/>
    <w:qFormat/>
    <w:pPr>
      <w:ind w:left="645"/>
    </w:pPr>
    <w:rPr>
      <w:rFonts w:ascii="Times New Roman" w:eastAsia="Times New Roman" w:hAnsi="Times New Roman"/>
      <w:sz w:val="23"/>
      <w:szCs w:val="23"/>
    </w:rPr>
  </w:style>
  <w:style w:type="paragraph" w:styleId="BodyText">
    <w:name w:val="Body Text"/>
    <w:basedOn w:val="Normal"/>
    <w:uiPriority w:val="1"/>
    <w:qFormat/>
    <w:pPr>
      <w:ind w:left="1609"/>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816E53"/>
    <w:rPr>
      <w:sz w:val="20"/>
      <w:szCs w:val="20"/>
    </w:rPr>
  </w:style>
  <w:style w:type="character" w:customStyle="1" w:styleId="FootnoteTextChar">
    <w:name w:val="Footnote Text Char"/>
    <w:basedOn w:val="DefaultParagraphFont"/>
    <w:link w:val="FootnoteText"/>
    <w:uiPriority w:val="99"/>
    <w:rsid w:val="00816E53"/>
    <w:rPr>
      <w:sz w:val="20"/>
      <w:szCs w:val="20"/>
    </w:rPr>
  </w:style>
  <w:style w:type="character" w:styleId="FootnoteReference">
    <w:name w:val="footnote reference"/>
    <w:basedOn w:val="DefaultParagraphFont"/>
    <w:uiPriority w:val="99"/>
    <w:semiHidden/>
    <w:unhideWhenUsed/>
    <w:rsid w:val="00816E53"/>
    <w:rPr>
      <w:vertAlign w:val="superscript"/>
    </w:rPr>
  </w:style>
  <w:style w:type="character" w:styleId="Hyperlink">
    <w:name w:val="Hyperlink"/>
    <w:basedOn w:val="DefaultParagraphFont"/>
    <w:uiPriority w:val="99"/>
    <w:unhideWhenUsed/>
    <w:rsid w:val="00B64142"/>
    <w:rPr>
      <w:color w:val="0000FF"/>
      <w:u w:val="single"/>
    </w:rPr>
  </w:style>
  <w:style w:type="character" w:styleId="FollowedHyperlink">
    <w:name w:val="FollowedHyperlink"/>
    <w:basedOn w:val="DefaultParagraphFont"/>
    <w:uiPriority w:val="99"/>
    <w:semiHidden/>
    <w:unhideWhenUsed/>
    <w:rsid w:val="006738A3"/>
    <w:rPr>
      <w:color w:val="800080" w:themeColor="followedHyperlink"/>
      <w:u w:val="single"/>
    </w:rPr>
  </w:style>
  <w:style w:type="character" w:styleId="CommentReference">
    <w:name w:val="annotation reference"/>
    <w:basedOn w:val="DefaultParagraphFont"/>
    <w:uiPriority w:val="99"/>
    <w:semiHidden/>
    <w:unhideWhenUsed/>
    <w:rsid w:val="00F446ED"/>
    <w:rPr>
      <w:sz w:val="16"/>
      <w:szCs w:val="16"/>
    </w:rPr>
  </w:style>
  <w:style w:type="paragraph" w:styleId="CommentText">
    <w:name w:val="annotation text"/>
    <w:basedOn w:val="Normal"/>
    <w:link w:val="CommentTextChar"/>
    <w:uiPriority w:val="99"/>
    <w:semiHidden/>
    <w:unhideWhenUsed/>
    <w:rsid w:val="00F446ED"/>
    <w:rPr>
      <w:sz w:val="20"/>
      <w:szCs w:val="20"/>
    </w:rPr>
  </w:style>
  <w:style w:type="character" w:customStyle="1" w:styleId="CommentTextChar">
    <w:name w:val="Comment Text Char"/>
    <w:basedOn w:val="DefaultParagraphFont"/>
    <w:link w:val="CommentText"/>
    <w:uiPriority w:val="99"/>
    <w:semiHidden/>
    <w:rsid w:val="00F446ED"/>
    <w:rPr>
      <w:sz w:val="20"/>
      <w:szCs w:val="20"/>
    </w:rPr>
  </w:style>
  <w:style w:type="paragraph" w:styleId="CommentSubject">
    <w:name w:val="annotation subject"/>
    <w:basedOn w:val="CommentText"/>
    <w:next w:val="CommentText"/>
    <w:link w:val="CommentSubjectChar"/>
    <w:uiPriority w:val="99"/>
    <w:semiHidden/>
    <w:unhideWhenUsed/>
    <w:rsid w:val="00F446ED"/>
    <w:rPr>
      <w:b/>
      <w:bCs/>
    </w:rPr>
  </w:style>
  <w:style w:type="character" w:customStyle="1" w:styleId="CommentSubjectChar">
    <w:name w:val="Comment Subject Char"/>
    <w:basedOn w:val="CommentTextChar"/>
    <w:link w:val="CommentSubject"/>
    <w:uiPriority w:val="99"/>
    <w:semiHidden/>
    <w:rsid w:val="00F446ED"/>
    <w:rPr>
      <w:b/>
      <w:bCs/>
      <w:sz w:val="20"/>
      <w:szCs w:val="20"/>
    </w:rPr>
  </w:style>
  <w:style w:type="paragraph" w:styleId="BalloonText">
    <w:name w:val="Balloon Text"/>
    <w:basedOn w:val="Normal"/>
    <w:link w:val="BalloonTextChar"/>
    <w:uiPriority w:val="99"/>
    <w:semiHidden/>
    <w:unhideWhenUsed/>
    <w:rsid w:val="00F44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ED"/>
    <w:rPr>
      <w:rFonts w:ascii="Segoe UI" w:hAnsi="Segoe UI" w:cs="Segoe UI"/>
      <w:sz w:val="18"/>
      <w:szCs w:val="18"/>
    </w:rPr>
  </w:style>
  <w:style w:type="paragraph" w:styleId="Header">
    <w:name w:val="header"/>
    <w:basedOn w:val="Normal"/>
    <w:link w:val="HeaderChar"/>
    <w:uiPriority w:val="99"/>
    <w:unhideWhenUsed/>
    <w:rsid w:val="0021267E"/>
    <w:pPr>
      <w:tabs>
        <w:tab w:val="center" w:pos="4680"/>
        <w:tab w:val="right" w:pos="9360"/>
      </w:tabs>
    </w:pPr>
  </w:style>
  <w:style w:type="character" w:customStyle="1" w:styleId="HeaderChar">
    <w:name w:val="Header Char"/>
    <w:basedOn w:val="DefaultParagraphFont"/>
    <w:link w:val="Header"/>
    <w:uiPriority w:val="99"/>
    <w:rsid w:val="0021267E"/>
  </w:style>
  <w:style w:type="paragraph" w:styleId="Footer">
    <w:name w:val="footer"/>
    <w:basedOn w:val="Normal"/>
    <w:link w:val="FooterChar"/>
    <w:uiPriority w:val="99"/>
    <w:unhideWhenUsed/>
    <w:rsid w:val="0021267E"/>
    <w:pPr>
      <w:tabs>
        <w:tab w:val="center" w:pos="4680"/>
        <w:tab w:val="right" w:pos="9360"/>
      </w:tabs>
    </w:pPr>
  </w:style>
  <w:style w:type="character" w:customStyle="1" w:styleId="FooterChar">
    <w:name w:val="Footer Char"/>
    <w:basedOn w:val="DefaultParagraphFont"/>
    <w:link w:val="Footer"/>
    <w:uiPriority w:val="99"/>
    <w:rsid w:val="0021267E"/>
  </w:style>
  <w:style w:type="table" w:styleId="TableGrid">
    <w:name w:val="Table Grid"/>
    <w:basedOn w:val="TableNormal"/>
    <w:rsid w:val="006F2148"/>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49462">
      <w:bodyDiv w:val="1"/>
      <w:marLeft w:val="0"/>
      <w:marRight w:val="0"/>
      <w:marTop w:val="0"/>
      <w:marBottom w:val="0"/>
      <w:divBdr>
        <w:top w:val="none" w:sz="0" w:space="0" w:color="auto"/>
        <w:left w:val="none" w:sz="0" w:space="0" w:color="auto"/>
        <w:bottom w:val="none" w:sz="0" w:space="0" w:color="auto"/>
        <w:right w:val="none" w:sz="0" w:space="0" w:color="auto"/>
      </w:divBdr>
    </w:div>
    <w:div w:id="1299803283">
      <w:bodyDiv w:val="1"/>
      <w:marLeft w:val="0"/>
      <w:marRight w:val="0"/>
      <w:marTop w:val="0"/>
      <w:marBottom w:val="0"/>
      <w:divBdr>
        <w:top w:val="none" w:sz="0" w:space="0" w:color="auto"/>
        <w:left w:val="none" w:sz="0" w:space="0" w:color="auto"/>
        <w:bottom w:val="none" w:sz="0" w:space="0" w:color="auto"/>
        <w:right w:val="none" w:sz="0" w:space="0" w:color="auto"/>
      </w:divBdr>
    </w:div>
    <w:div w:id="206760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93/aje/kwh309" TargetMode="External"/><Relationship Id="rId13" Type="http://schemas.openxmlformats.org/officeDocument/2006/relationships/hyperlink" Target="https://www.kingcounty.gov/~/media/elected/executive/equity-social-justice/2015/The_Determinants_of_Equity_Report" TargetMode="External"/><Relationship Id="rId3" Type="http://schemas.openxmlformats.org/officeDocument/2006/relationships/hyperlink" Target="https://www.kingcounty.gov/depts/health/violence-injury-prevention/violence-prevention/gun-violence/LOK-IT-UP/firearm-facts.aspx" TargetMode="External"/><Relationship Id="rId7" Type="http://schemas.openxmlformats.org/officeDocument/2006/relationships/hyperlink" Target="https://www.kingcounty.gov/depts/health/violence-injury-prevention/violence-prevention/gun-violence/LOK-IT-UP/firearm-facts.aspx" TargetMode="External"/><Relationship Id="rId12" Type="http://schemas.openxmlformats.org/officeDocument/2006/relationships/hyperlink" Target="https://seattle.legistar.com/View.ashx?M=F&amp;ID=6398548&amp;GUID=463C4AFB-63F7-4D96-8BF1-66D302A7E675" TargetMode="External"/><Relationship Id="rId2" Type="http://schemas.openxmlformats.org/officeDocument/2006/relationships/hyperlink" Target="http://www.gunviolencearchive.org/reports/mass-shooting" TargetMode="External"/><Relationship Id="rId1" Type="http://schemas.openxmlformats.org/officeDocument/2006/relationships/hyperlink" Target="http://www.gunviolencearchive.org/" TargetMode="External"/><Relationship Id="rId6" Type="http://schemas.openxmlformats.org/officeDocument/2006/relationships/hyperlink" Target="https://ajph.aphapublications.org/doi/10.2105/AJPH.2018.304403" TargetMode="External"/><Relationship Id="rId11" Type="http://schemas.openxmlformats.org/officeDocument/2006/relationships/hyperlink" Target="https://assets.documentcloud.org/documents/4783734/Gun-Initiative-Order-8-24-2018.pdf" TargetMode="External"/><Relationship Id="rId5" Type="http://schemas.openxmlformats.org/officeDocument/2006/relationships/hyperlink" Target="https://www.ofm.wa.gov/sites/default/files/public/legacy/researchbriefs/2013/brief071.pdf" TargetMode="External"/><Relationship Id="rId10" Type="http://schemas.openxmlformats.org/officeDocument/2006/relationships/hyperlink" Target="https://www.sos.wa.gov/office/news-releases.aspx" TargetMode="External"/><Relationship Id="rId4" Type="http://schemas.openxmlformats.org/officeDocument/2006/relationships/hyperlink" Target="http://depts.washington.edu/hiprc/suicide/stats/" TargetMode="External"/><Relationship Id="rId9" Type="http://schemas.openxmlformats.org/officeDocument/2006/relationships/hyperlink" Target="http://lawcenter.giffords.org/gun-laws/policy-areas/child-consumer-safety/safe-storage/" TargetMode="External"/><Relationship Id="rId14" Type="http://schemas.openxmlformats.org/officeDocument/2006/relationships/hyperlink" Target="https://www.kingcounty.gov/depts/health/violence-injury-prevention/violence-prevention/gun-violence/LOK-IT-UP/types-purcha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05E1-69C8-4BBD-8838-069A3392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Steadman, Marka</cp:lastModifiedBy>
  <cp:revision>5</cp:revision>
  <cp:lastPrinted>2018-09-12T22:38:00Z</cp:lastPrinted>
  <dcterms:created xsi:type="dcterms:W3CDTF">2018-09-12T22:29:00Z</dcterms:created>
  <dcterms:modified xsi:type="dcterms:W3CDTF">2018-09-12T22:38:00Z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Creator">
    <vt:lpwstr>Adobe Acrobat 10.1.3</vt:lpwstr>
  </property>
  <property fmtid="{D5CDD505-2E9C-101B-9397-08002B2CF9AE}" pid="4" name="LastSaved">
    <vt:filetime>2018-02-20T00:00:00Z</vt:filetime>
  </property>
</Properties>
</file>