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F4" w:rsidRPr="00D9092D" w:rsidRDefault="00F23CF4" w:rsidP="00F23CF4">
      <w:pPr>
        <w:widowControl w:val="0"/>
        <w:autoSpaceDE w:val="0"/>
        <w:autoSpaceDN w:val="0"/>
        <w:adjustRightInd w:val="0"/>
        <w:spacing w:after="0" w:line="480" w:lineRule="auto"/>
        <w:ind w:left="1440" w:right="1440"/>
        <w:rPr>
          <w:rFonts w:ascii="Times New Roman" w:hAnsi="Times New Roman"/>
          <w:color w:val="FF0000"/>
          <w:sz w:val="24"/>
          <w:szCs w:val="24"/>
          <w:u w:val="single"/>
        </w:rPr>
      </w:pPr>
      <w:r>
        <w:rPr>
          <w:rFonts w:ascii="Times New Roman" w:hAnsi="Times New Roman"/>
          <w:sz w:val="24"/>
          <w:szCs w:val="24"/>
        </w:rPr>
        <w:t xml:space="preserve">AN ORDINANCE creating an alternative resolution process for transit fare enforcement; </w:t>
      </w:r>
      <w:r w:rsidR="00D9092D" w:rsidRPr="00D9092D">
        <w:rPr>
          <w:rFonts w:ascii="Times New Roman" w:hAnsi="Times New Roman"/>
          <w:color w:val="FF0000"/>
          <w:sz w:val="24"/>
          <w:szCs w:val="24"/>
          <w:u w:val="single"/>
        </w:rPr>
        <w:t xml:space="preserve">adopting a reporting requirement; </w:t>
      </w:r>
      <w:r w:rsidRPr="00D9092D">
        <w:rPr>
          <w:rFonts w:ascii="Times New Roman" w:hAnsi="Times New Roman"/>
          <w:color w:val="FF0000"/>
          <w:sz w:val="24"/>
          <w:szCs w:val="24"/>
          <w:u w:val="single"/>
        </w:rPr>
        <w:t>adding a new section to K.C.C. chapter 28.96</w:t>
      </w:r>
      <w:r w:rsidR="00D9092D" w:rsidRPr="00D9092D">
        <w:rPr>
          <w:rFonts w:ascii="Times New Roman" w:hAnsi="Times New Roman"/>
          <w:color w:val="FF0000"/>
          <w:sz w:val="24"/>
          <w:szCs w:val="24"/>
          <w:u w:val="single"/>
          <w:lang w:val="en-US"/>
        </w:rPr>
        <w:t xml:space="preserve"> and </w:t>
      </w:r>
      <w:r w:rsidR="00D9092D" w:rsidRPr="00D9092D">
        <w:rPr>
          <w:rFonts w:ascii="Times New Roman" w:hAnsi="Times New Roman"/>
          <w:color w:val="FF0000"/>
          <w:sz w:val="24"/>
          <w:szCs w:val="24"/>
          <w:u w:val="single"/>
        </w:rPr>
        <w:t>adding a new section to K.C.C. chapter 2.16.</w:t>
      </w:r>
    </w:p>
    <w:p w:rsidR="00F23CF4" w:rsidRDefault="00F23CF4" w:rsidP="00F23CF4">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PREAMBLE:</w:t>
      </w:r>
    </w:p>
    <w:p w:rsidR="00882568" w:rsidRPr="0066779C" w:rsidRDefault="00882568" w:rsidP="00882568">
      <w:pPr>
        <w:spacing w:line="480" w:lineRule="auto"/>
        <w:ind w:left="720"/>
        <w:rPr>
          <w:rFonts w:ascii="Times New Roman" w:eastAsia="Times New Roman" w:hAnsi="Times New Roman"/>
          <w:color w:val="FF0000"/>
          <w:position w:val="1"/>
          <w:sz w:val="24"/>
          <w:szCs w:val="24"/>
          <w:u w:val="single"/>
          <w:lang w:val="en-US" w:eastAsia="en-US"/>
        </w:rPr>
      </w:pPr>
      <w:r w:rsidRPr="0066779C">
        <w:rPr>
          <w:rFonts w:ascii="Times New Roman" w:hAnsi="Times New Roman"/>
          <w:color w:val="FF0000"/>
          <w:position w:val="1"/>
          <w:sz w:val="24"/>
          <w:szCs w:val="24"/>
          <w:u w:val="single"/>
        </w:rPr>
        <w:t>In order to maximize fare box collection consistent with state law, the county implemented code making failure to present a valid, unexpired pass, transfer or ticket or otherwise failing to pay the appropriate fare as required under county ordinance a civil infraction or a misdemeanor, depending on the offender's age.  The county refers fare evasion citations to district court, resulting in additional and unrecoverable costs to the transit enterprise fund.</w:t>
      </w:r>
    </w:p>
    <w:p w:rsidR="00F23CF4" w:rsidRDefault="00F23CF4" w:rsidP="00F23CF4">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A 2018 audit conducted by the King County auditor's office found the transit division's fare enforcement model may be contributing to negative and inequitable outcomes, particularly for riders experiencing homelessness or housing insecurity.</w:t>
      </w:r>
    </w:p>
    <w:p w:rsidR="00F23CF4" w:rsidRDefault="00F23CF4" w:rsidP="00F23CF4">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The 2018 audit also found the division needs more data collection, rigorous evaluation, and performance management to evaluate and improve the fare enforcement program's effectiveness at deterring fare evasion.</w:t>
      </w:r>
    </w:p>
    <w:p w:rsidR="00F23CF4" w:rsidRDefault="00F23CF4" w:rsidP="00F23CF4">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lastRenderedPageBreak/>
        <w:t>The transit division agreed with the recommendations made in the 2018 audit, took several initial actions related to the findings, and is moving forward with conducting a fare enforcement program review and developing a performance management system.</w:t>
      </w:r>
    </w:p>
    <w:p w:rsidR="00882568" w:rsidRPr="0066779C" w:rsidRDefault="00882568" w:rsidP="00882568">
      <w:pPr>
        <w:widowControl w:val="0"/>
        <w:autoSpaceDE w:val="0"/>
        <w:autoSpaceDN w:val="0"/>
        <w:adjustRightInd w:val="0"/>
        <w:spacing w:line="480" w:lineRule="auto"/>
        <w:ind w:left="720"/>
        <w:rPr>
          <w:rFonts w:ascii="Times New Roman" w:eastAsia="Times New Roman" w:hAnsi="Times New Roman"/>
          <w:color w:val="FF0000"/>
          <w:sz w:val="24"/>
          <w:szCs w:val="24"/>
          <w:u w:val="single"/>
          <w:lang w:val="en-US" w:eastAsia="en-US"/>
        </w:rPr>
      </w:pPr>
      <w:r w:rsidRPr="0066779C">
        <w:rPr>
          <w:rFonts w:ascii="Times New Roman" w:hAnsi="Times New Roman"/>
          <w:color w:val="FF0000"/>
          <w:position w:val="1"/>
          <w:sz w:val="24"/>
          <w:szCs w:val="24"/>
          <w:u w:val="single"/>
        </w:rPr>
        <w:t xml:space="preserve">The purpose of this ordinance is to create an opportunity for people who do not pay </w:t>
      </w:r>
      <w:r w:rsidR="00E32B1C">
        <w:rPr>
          <w:rFonts w:ascii="Times New Roman" w:hAnsi="Times New Roman"/>
          <w:color w:val="FF0000"/>
          <w:position w:val="1"/>
          <w:sz w:val="24"/>
          <w:szCs w:val="24"/>
          <w:u w:val="single"/>
        </w:rPr>
        <w:t>a fare to resolve their violation</w:t>
      </w:r>
      <w:r w:rsidRPr="0066779C">
        <w:rPr>
          <w:rFonts w:ascii="Times New Roman" w:hAnsi="Times New Roman"/>
          <w:color w:val="FF0000"/>
          <w:position w:val="1"/>
          <w:sz w:val="24"/>
          <w:szCs w:val="24"/>
          <w:u w:val="single"/>
        </w:rPr>
        <w:t xml:space="preserve">s through an alternative resolution process removing the direct connection between the courts and a fare evasion citation.  The ordinance aims to advance equity and social justice goals by minimizing </w:t>
      </w:r>
      <w:r w:rsidR="00E32B1C">
        <w:rPr>
          <w:rFonts w:ascii="Times New Roman" w:hAnsi="Times New Roman"/>
          <w:color w:val="FF0000"/>
          <w:position w:val="1"/>
          <w:sz w:val="24"/>
          <w:szCs w:val="24"/>
          <w:u w:val="single"/>
        </w:rPr>
        <w:t>the likelihood that the enforcement</w:t>
      </w:r>
      <w:r w:rsidRPr="0066779C">
        <w:rPr>
          <w:rFonts w:ascii="Times New Roman" w:hAnsi="Times New Roman"/>
          <w:color w:val="FF0000"/>
          <w:position w:val="1"/>
          <w:sz w:val="24"/>
          <w:szCs w:val="24"/>
          <w:u w:val="single"/>
        </w:rPr>
        <w:t xml:space="preserve"> process leads to a criminal record for those wh</w:t>
      </w:r>
      <w:r w:rsidR="00E32B1C">
        <w:rPr>
          <w:rFonts w:ascii="Times New Roman" w:hAnsi="Times New Roman"/>
          <w:color w:val="FF0000"/>
          <w:position w:val="1"/>
          <w:sz w:val="24"/>
          <w:szCs w:val="24"/>
          <w:u w:val="single"/>
        </w:rPr>
        <w:t>o cannot afford to pay the violat</w:t>
      </w:r>
      <w:r w:rsidRPr="0066779C">
        <w:rPr>
          <w:rFonts w:ascii="Times New Roman" w:hAnsi="Times New Roman"/>
          <w:color w:val="FF0000"/>
          <w:position w:val="1"/>
          <w:sz w:val="24"/>
          <w:szCs w:val="24"/>
          <w:u w:val="single"/>
        </w:rPr>
        <w:t>ion fee.  This ordinance also aims to minimize unnecessary costs to the enterprise fund.  The new process is consistent with fare enforcement authorized by</w:t>
      </w:r>
      <w:r w:rsidRPr="0066779C">
        <w:rPr>
          <w:rFonts w:ascii="Times New Roman" w:hAnsi="Times New Roman"/>
          <w:color w:val="FF0000"/>
          <w:sz w:val="24"/>
          <w:szCs w:val="24"/>
          <w:u w:val="single"/>
        </w:rPr>
        <w:t xml:space="preserve"> RCW 7.80.040, 7.80.050, 7.80.060, 35.58.580, </w:t>
      </w:r>
      <w:r w:rsidRPr="0066779C">
        <w:rPr>
          <w:rFonts w:ascii="Times New Roman" w:hAnsi="Times New Roman"/>
          <w:color w:val="FF0000"/>
          <w:spacing w:val="2"/>
          <w:sz w:val="24"/>
          <w:szCs w:val="24"/>
          <w:u w:val="single"/>
        </w:rPr>
        <w:t xml:space="preserve">35.58.585 </w:t>
      </w:r>
      <w:r w:rsidRPr="0066779C">
        <w:rPr>
          <w:rFonts w:ascii="Times New Roman" w:hAnsi="Times New Roman"/>
          <w:color w:val="FF0000"/>
          <w:sz w:val="24"/>
          <w:szCs w:val="24"/>
          <w:u w:val="single"/>
        </w:rPr>
        <w:t>and 35.58.590.</w:t>
      </w:r>
    </w:p>
    <w:p w:rsidR="00F23CF4" w:rsidRDefault="00F23CF4" w:rsidP="00F23CF4">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The division intends to continue working with stakeholders on an ongoing basis after the implementation of this new alternative resolution process to evaluate and improve the fare enforcement program.</w:t>
      </w:r>
    </w:p>
    <w:p w:rsidR="00F23CF4" w:rsidRDefault="00F23CF4" w:rsidP="00F23CF4">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The division is also considering other ways to increase valid fare payment and access to the transit system through its fares work program. </w:t>
      </w:r>
    </w:p>
    <w:p w:rsidR="00F23CF4" w:rsidRDefault="00F23CF4" w:rsidP="00F23CF4">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The division is committed to advancing the goals and objectives of the county's Strategic Plan, including providing service in an equitable and fair manner and providing for a safe and just community through an accessible and fair justice system, while implementing alternatives to divert people from the criminal justice system.</w:t>
      </w:r>
    </w:p>
    <w:p w:rsidR="00F23CF4" w:rsidRDefault="00F23CF4" w:rsidP="00F23CF4">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lastRenderedPageBreak/>
        <w:t>The division is committed to advancing the goals and objectives outlined in the division's Strategic Plan for Public Transportation, particularly Goal 2, which speaks to human potential and the provision of equitable opportunities for people from all areas of King County to access the public transportation system, particularly for historically disadvantaged populations, such as low-income people, students, youth, seniors, people of color, people with disabilities and others with limited transportation options.</w:t>
      </w:r>
    </w:p>
    <w:p w:rsidR="00F23CF4" w:rsidRDefault="00F23CF4" w:rsidP="00F23CF4">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The division is committed to advancing equitable outcomes and the goals outlined in King County's Equity and Social Justice Strategic Plan,</w:t>
      </w:r>
    </w:p>
    <w:p w:rsidR="00F23CF4" w:rsidRDefault="00F23CF4" w:rsidP="00F23CF4">
      <w:pPr>
        <w:widowControl w:val="0"/>
        <w:autoSpaceDE w:val="0"/>
        <w:autoSpaceDN w:val="0"/>
        <w:adjustRightInd w:val="0"/>
        <w:spacing w:after="0" w:line="480" w:lineRule="auto"/>
        <w:rPr>
          <w:rFonts w:ascii="Times New Roman" w:hAnsi="Times New Roman"/>
          <w:spacing w:val="-2"/>
          <w:sz w:val="24"/>
          <w:szCs w:val="24"/>
        </w:rPr>
      </w:pPr>
      <w:r>
        <w:rPr>
          <w:rFonts w:ascii="Times New Roman" w:hAnsi="Times New Roman"/>
          <w:sz w:val="24"/>
          <w:szCs w:val="24"/>
        </w:rPr>
        <w:tab/>
        <w:t>BE IT ORDAINED BY THE COUNCIL OF KING COUNTY:</w:t>
      </w:r>
    </w:p>
    <w:p w:rsidR="00F23CF4" w:rsidRPr="00882568" w:rsidRDefault="00F23CF4" w:rsidP="00F23CF4">
      <w:pPr>
        <w:widowControl w:val="0"/>
        <w:autoSpaceDE w:val="0"/>
        <w:autoSpaceDN w:val="0"/>
        <w:adjustRightInd w:val="0"/>
        <w:spacing w:after="0" w:line="480" w:lineRule="auto"/>
        <w:rPr>
          <w:rFonts w:ascii="Times New Roman" w:hAnsi="Times New Roman"/>
          <w:strike/>
          <w:color w:val="FF0000"/>
          <w:position w:val="1"/>
          <w:sz w:val="24"/>
          <w:szCs w:val="24"/>
        </w:rPr>
      </w:pPr>
      <w:r>
        <w:rPr>
          <w:rFonts w:ascii="Times New Roman" w:hAnsi="Times New Roman"/>
          <w:position w:val="1"/>
          <w:sz w:val="24"/>
          <w:szCs w:val="24"/>
        </w:rPr>
        <w:tab/>
      </w:r>
      <w:r w:rsidRPr="00882568">
        <w:rPr>
          <w:rFonts w:ascii="Times New Roman" w:hAnsi="Times New Roman"/>
          <w:strike/>
          <w:color w:val="FF0000"/>
          <w:position w:val="1"/>
          <w:sz w:val="24"/>
          <w:szCs w:val="24"/>
          <w:u w:val="single"/>
        </w:rPr>
        <w:t>SECTION 1.</w:t>
      </w:r>
      <w:r w:rsidRPr="00882568">
        <w:rPr>
          <w:rFonts w:ascii="Times New Roman" w:hAnsi="Times New Roman"/>
          <w:strike/>
          <w:color w:val="FF0000"/>
          <w:position w:val="1"/>
          <w:sz w:val="24"/>
          <w:szCs w:val="24"/>
        </w:rPr>
        <w:t xml:space="preserve">  In furtherance of maximizing fare box collection consistent with state law, the county implemented code making failure to present a valid, unexpired pass, transfer or ticket or otherwise failing to pay the appropriate fare as required under county ordinance a civil infraction or a misdemeanor, depending on the offender's age.  The county refers fare evasion citations to district court, resulting in additional and unrecoverable costs to the transit enterprise fund.  The purpose of this ordinance is to create an opportunity for people who do not pay a fare to resolve their citations through an alternative resolution process removing the direct connection between the courts and a fare evasion citation.  The ordinance aims to advance equity and social justice goals by minimizing the likelihood that the citation process leads to a criminal record for those who cannot afford to pay the citation fee.  This ordinance also aims to minimize unnecessary costs to the enterprise fund.  The new process is consistent with fare </w:t>
      </w:r>
      <w:r w:rsidRPr="00882568">
        <w:rPr>
          <w:rFonts w:ascii="Times New Roman" w:hAnsi="Times New Roman"/>
          <w:strike/>
          <w:color w:val="FF0000"/>
          <w:position w:val="1"/>
          <w:sz w:val="24"/>
          <w:szCs w:val="24"/>
        </w:rPr>
        <w:lastRenderedPageBreak/>
        <w:t>enforcement authorized by</w:t>
      </w:r>
      <w:r w:rsidRPr="00882568">
        <w:rPr>
          <w:rFonts w:ascii="Times New Roman" w:hAnsi="Times New Roman"/>
          <w:strike/>
          <w:color w:val="FF0000"/>
          <w:sz w:val="24"/>
          <w:szCs w:val="24"/>
        </w:rPr>
        <w:t xml:space="preserve"> RCW 7.80.040, 7.80.050, 7.80.060, 35.58.580, </w:t>
      </w:r>
      <w:r w:rsidRPr="00882568">
        <w:rPr>
          <w:rFonts w:ascii="Times New Roman" w:hAnsi="Times New Roman"/>
          <w:strike/>
          <w:color w:val="FF0000"/>
          <w:spacing w:val="2"/>
          <w:sz w:val="24"/>
          <w:szCs w:val="24"/>
        </w:rPr>
        <w:t xml:space="preserve">35.58.585 </w:t>
      </w:r>
      <w:r w:rsidRPr="00882568">
        <w:rPr>
          <w:rFonts w:ascii="Times New Roman" w:hAnsi="Times New Roman"/>
          <w:strike/>
          <w:color w:val="FF0000"/>
          <w:sz w:val="24"/>
          <w:szCs w:val="24"/>
        </w:rPr>
        <w:t>and 35.58.590.</w:t>
      </w:r>
    </w:p>
    <w:p w:rsidR="00F23CF4" w:rsidRDefault="00F23CF4" w:rsidP="00F23CF4">
      <w:pPr>
        <w:widowControl w:val="0"/>
        <w:autoSpaceDE w:val="0"/>
        <w:autoSpaceDN w:val="0"/>
        <w:adjustRightInd w:val="0"/>
        <w:spacing w:after="0" w:line="480" w:lineRule="auto"/>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u w:val="single"/>
        </w:rPr>
        <w:t xml:space="preserve">NEW SECTION. </w:t>
      </w:r>
      <w:r>
        <w:rPr>
          <w:rFonts w:ascii="Times New Roman" w:hAnsi="Times New Roman"/>
          <w:spacing w:val="-2"/>
          <w:sz w:val="24"/>
          <w:szCs w:val="24"/>
          <w:u w:val="single"/>
        </w:rPr>
        <w:t xml:space="preserve">SECTION </w:t>
      </w:r>
      <w:r w:rsidR="00882568" w:rsidRPr="00882568">
        <w:rPr>
          <w:rFonts w:ascii="Times New Roman" w:hAnsi="Times New Roman"/>
          <w:color w:val="FF0000"/>
          <w:spacing w:val="-2"/>
          <w:sz w:val="24"/>
          <w:szCs w:val="24"/>
          <w:u w:val="single"/>
          <w:lang w:val="en-US"/>
        </w:rPr>
        <w:t>1</w:t>
      </w:r>
      <w:r w:rsidRPr="00882568">
        <w:rPr>
          <w:rFonts w:ascii="Times New Roman" w:hAnsi="Times New Roman"/>
          <w:strike/>
          <w:color w:val="FF0000"/>
          <w:spacing w:val="-2"/>
          <w:sz w:val="24"/>
          <w:szCs w:val="24"/>
          <w:u w:val="single"/>
        </w:rPr>
        <w:t>2</w:t>
      </w:r>
      <w:r>
        <w:rPr>
          <w:rFonts w:ascii="Times New Roman" w:hAnsi="Times New Roman"/>
          <w:spacing w:val="-2"/>
          <w:sz w:val="24"/>
          <w:szCs w:val="24"/>
          <w:u w:val="single"/>
        </w:rPr>
        <w:t>.</w:t>
      </w:r>
      <w:r>
        <w:rPr>
          <w:rFonts w:ascii="Times New Roman" w:hAnsi="Times New Roman"/>
          <w:spacing w:val="-2"/>
          <w:sz w:val="24"/>
          <w:szCs w:val="24"/>
        </w:rPr>
        <w:t xml:space="preserve">  There is hereby added to K.C.C. chapter 28.96, within V. Enforcement, a new section to read as follows:</w:t>
      </w:r>
    </w:p>
    <w:p w:rsidR="00F23CF4" w:rsidRDefault="00F23CF4" w:rsidP="00F23CF4">
      <w:pPr>
        <w:widowControl w:val="0"/>
        <w:autoSpaceDE w:val="0"/>
        <w:autoSpaceDN w:val="0"/>
        <w:adjustRightInd w:val="0"/>
        <w:spacing w:after="0" w:line="480" w:lineRule="auto"/>
        <w:rPr>
          <w:rFonts w:cs="Calibri"/>
          <w:sz w:val="24"/>
          <w:szCs w:val="24"/>
        </w:rPr>
      </w:pPr>
      <w:r>
        <w:rPr>
          <w:rFonts w:ascii="Times New Roman" w:hAnsi="Times New Roman"/>
          <w:position w:val="1"/>
          <w:sz w:val="24"/>
          <w:szCs w:val="24"/>
        </w:rPr>
        <w:tab/>
        <w:t xml:space="preserve">A.  As an alternative to citing individuals with a civil infraction or a misdemeanor, as described </w:t>
      </w:r>
      <w:r>
        <w:rPr>
          <w:rFonts w:ascii="Times New Roman" w:hAnsi="Times New Roman"/>
          <w:spacing w:val="4"/>
          <w:position w:val="1"/>
          <w:sz w:val="24"/>
          <w:szCs w:val="24"/>
        </w:rPr>
        <w:t xml:space="preserve">in </w:t>
      </w:r>
      <w:r>
        <w:rPr>
          <w:rFonts w:ascii="Times New Roman" w:hAnsi="Times New Roman"/>
          <w:position w:val="1"/>
          <w:sz w:val="24"/>
          <w:szCs w:val="24"/>
        </w:rPr>
        <w:t xml:space="preserve">K.C.C. </w:t>
      </w:r>
      <w:r>
        <w:rPr>
          <w:rFonts w:ascii="Times New Roman" w:hAnsi="Times New Roman"/>
          <w:sz w:val="24"/>
          <w:szCs w:val="24"/>
        </w:rPr>
        <w:t>28.96.010.A.19 and B.13,</w:t>
      </w:r>
      <w:r>
        <w:rPr>
          <w:rFonts w:ascii="Times New Roman" w:hAnsi="Times New Roman"/>
          <w:spacing w:val="-1"/>
          <w:sz w:val="24"/>
          <w:szCs w:val="24"/>
        </w:rPr>
        <w:t xml:space="preserve"> </w:t>
      </w:r>
      <w:r>
        <w:rPr>
          <w:rFonts w:ascii="Times New Roman" w:hAnsi="Times New Roman"/>
          <w:sz w:val="24"/>
          <w:szCs w:val="24"/>
        </w:rPr>
        <w:t>the transit division may utilize an internal process, as generally described in this section, for</w:t>
      </w:r>
      <w:r>
        <w:rPr>
          <w:rFonts w:ascii="Times New Roman" w:hAnsi="Times New Roman"/>
          <w:spacing w:val="-9"/>
          <w:sz w:val="24"/>
          <w:szCs w:val="24"/>
        </w:rPr>
        <w:t xml:space="preserve"> </w:t>
      </w:r>
      <w:r>
        <w:rPr>
          <w:rFonts w:ascii="Times New Roman" w:hAnsi="Times New Roman"/>
          <w:sz w:val="24"/>
          <w:szCs w:val="24"/>
        </w:rPr>
        <w:t xml:space="preserve">managing fare evasion.  This process shall be </w:t>
      </w:r>
      <w:r w:rsidR="00882568" w:rsidRPr="0066779C">
        <w:rPr>
          <w:rFonts w:ascii="Times New Roman" w:hAnsi="Times New Roman"/>
          <w:color w:val="FF0000"/>
          <w:sz w:val="24"/>
          <w:szCs w:val="24"/>
          <w:u w:val="single"/>
          <w:lang w:val="en-US"/>
        </w:rPr>
        <w:t>in lieu of</w:t>
      </w:r>
      <w:r w:rsidR="00882568" w:rsidRPr="00882568">
        <w:rPr>
          <w:rFonts w:ascii="Times New Roman" w:hAnsi="Times New Roman"/>
          <w:color w:val="FF0000"/>
          <w:sz w:val="24"/>
          <w:szCs w:val="24"/>
          <w:lang w:val="en-US"/>
        </w:rPr>
        <w:t xml:space="preserve"> </w:t>
      </w:r>
      <w:r w:rsidRPr="00882568">
        <w:rPr>
          <w:rFonts w:ascii="Times New Roman" w:hAnsi="Times New Roman"/>
          <w:strike/>
          <w:color w:val="FF0000"/>
          <w:sz w:val="24"/>
          <w:szCs w:val="24"/>
        </w:rPr>
        <w:t>outside</w:t>
      </w:r>
      <w:r>
        <w:rPr>
          <w:rFonts w:ascii="Times New Roman" w:hAnsi="Times New Roman"/>
          <w:sz w:val="24"/>
          <w:szCs w:val="24"/>
        </w:rPr>
        <w:t xml:space="preserve"> any court proceeding.</w:t>
      </w:r>
    </w:p>
    <w:p w:rsidR="00F23CF4" w:rsidRDefault="00F23CF4" w:rsidP="00F23CF4">
      <w:pPr>
        <w:widowControl w:val="0"/>
        <w:autoSpaceDE w:val="0"/>
        <w:autoSpaceDN w:val="0"/>
        <w:adjustRightInd w:val="0"/>
        <w:spacing w:after="0" w:line="480" w:lineRule="auto"/>
        <w:rPr>
          <w:rFonts w:ascii="Times New Roman" w:hAnsi="Times New Roman"/>
          <w:position w:val="1"/>
          <w:sz w:val="24"/>
          <w:szCs w:val="24"/>
        </w:rPr>
      </w:pPr>
      <w:r>
        <w:rPr>
          <w:rFonts w:ascii="Times New Roman" w:hAnsi="Times New Roman"/>
          <w:sz w:val="24"/>
          <w:szCs w:val="24"/>
        </w:rPr>
        <w:tab/>
        <w:t xml:space="preserve">B.  </w:t>
      </w:r>
      <w:r>
        <w:rPr>
          <w:rFonts w:ascii="Times New Roman" w:hAnsi="Times New Roman"/>
          <w:spacing w:val="2"/>
          <w:sz w:val="24"/>
          <w:szCs w:val="24"/>
        </w:rPr>
        <w:t>The</w:t>
      </w:r>
      <w:r>
        <w:rPr>
          <w:rFonts w:ascii="Times New Roman" w:hAnsi="Times New Roman"/>
          <w:sz w:val="24"/>
          <w:szCs w:val="24"/>
        </w:rPr>
        <w:t xml:space="preserve"> division may issue either a </w:t>
      </w:r>
      <w:r>
        <w:rPr>
          <w:rFonts w:ascii="Times New Roman" w:hAnsi="Times New Roman"/>
          <w:spacing w:val="-5"/>
          <w:sz w:val="24"/>
          <w:szCs w:val="24"/>
        </w:rPr>
        <w:t xml:space="preserve">warning </w:t>
      </w:r>
      <w:r>
        <w:rPr>
          <w:rFonts w:ascii="Times New Roman" w:hAnsi="Times New Roman"/>
          <w:sz w:val="24"/>
          <w:szCs w:val="24"/>
        </w:rPr>
        <w:t>or a notice, or both,</w:t>
      </w:r>
      <w:r>
        <w:rPr>
          <w:rFonts w:ascii="Times New Roman" w:hAnsi="Times New Roman"/>
          <w:spacing w:val="44"/>
          <w:sz w:val="24"/>
          <w:szCs w:val="24"/>
        </w:rPr>
        <w:t xml:space="preserve"> </w:t>
      </w:r>
      <w:r>
        <w:rPr>
          <w:rFonts w:ascii="Times New Roman" w:hAnsi="Times New Roman"/>
          <w:spacing w:val="-5"/>
          <w:sz w:val="24"/>
          <w:szCs w:val="24"/>
        </w:rPr>
        <w:t>of</w:t>
      </w:r>
      <w:r>
        <w:rPr>
          <w:rFonts w:ascii="Times New Roman" w:hAnsi="Times New Roman"/>
          <w:position w:val="1"/>
          <w:sz w:val="24"/>
          <w:szCs w:val="24"/>
        </w:rPr>
        <w:t xml:space="preserve"> </w:t>
      </w:r>
      <w:r>
        <w:rPr>
          <w:rFonts w:ascii="Times New Roman" w:hAnsi="Times New Roman"/>
          <w:sz w:val="24"/>
          <w:szCs w:val="24"/>
        </w:rPr>
        <w:t>violation, not subsequently filed with a</w:t>
      </w:r>
      <w:r>
        <w:rPr>
          <w:rFonts w:ascii="Times New Roman" w:hAnsi="Times New Roman"/>
          <w:spacing w:val="-33"/>
          <w:sz w:val="24"/>
          <w:szCs w:val="24"/>
        </w:rPr>
        <w:t xml:space="preserve"> </w:t>
      </w:r>
      <w:r>
        <w:rPr>
          <w:rFonts w:ascii="Times New Roman" w:hAnsi="Times New Roman"/>
          <w:sz w:val="24"/>
          <w:szCs w:val="24"/>
        </w:rPr>
        <w:t>court, to anyone who has not properly paid a fare in violation of K.C.C 28.96.010.A.19. or B.13.</w:t>
      </w:r>
    </w:p>
    <w:p w:rsidR="00F23CF4" w:rsidRDefault="00F23CF4" w:rsidP="00F23CF4">
      <w:pPr>
        <w:widowControl w:val="0"/>
        <w:autoSpaceDE w:val="0"/>
        <w:autoSpaceDN w:val="0"/>
        <w:adjustRightInd w:val="0"/>
        <w:spacing w:after="0" w:line="480" w:lineRule="auto"/>
        <w:rPr>
          <w:rFonts w:cs="Calibri"/>
          <w:sz w:val="24"/>
          <w:szCs w:val="24"/>
        </w:rPr>
      </w:pPr>
      <w:r>
        <w:rPr>
          <w:rFonts w:ascii="Times New Roman" w:hAnsi="Times New Roman"/>
          <w:sz w:val="24"/>
          <w:szCs w:val="24"/>
        </w:rPr>
        <w:tab/>
        <w:t>C.  A warning made under subsection B. of this section may be oral or written, and must provide an opportunity to correct fare evasion</w:t>
      </w:r>
      <w:r>
        <w:rPr>
          <w:rFonts w:ascii="Times New Roman" w:hAnsi="Times New Roman"/>
          <w:spacing w:val="-22"/>
          <w:sz w:val="24"/>
          <w:szCs w:val="24"/>
        </w:rPr>
        <w:t xml:space="preserve"> </w:t>
      </w:r>
      <w:r>
        <w:rPr>
          <w:rFonts w:ascii="Times New Roman" w:hAnsi="Times New Roman"/>
          <w:sz w:val="24"/>
          <w:szCs w:val="24"/>
        </w:rPr>
        <w:t>behavior.</w:t>
      </w:r>
    </w:p>
    <w:p w:rsidR="00F23CF4" w:rsidRDefault="00F23CF4" w:rsidP="00F23CF4">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w:t>
      </w:r>
      <w:r>
        <w:rPr>
          <w:rFonts w:ascii="Times New Roman" w:hAnsi="Times New Roman"/>
          <w:spacing w:val="9"/>
          <w:sz w:val="24"/>
          <w:szCs w:val="24"/>
        </w:rPr>
        <w:t xml:space="preserve">  Without a previous warning issued, </w:t>
      </w:r>
      <w:r>
        <w:rPr>
          <w:rFonts w:ascii="Times New Roman" w:hAnsi="Times New Roman"/>
          <w:sz w:val="24"/>
          <w:szCs w:val="24"/>
        </w:rPr>
        <w:t xml:space="preserve">a notice of violation may be issued to anyone found to be in violation of K.C.C 28.96.010.A.1.9 or B.13, </w:t>
      </w:r>
      <w:r>
        <w:rPr>
          <w:rFonts w:ascii="Times New Roman" w:hAnsi="Times New Roman"/>
          <w:position w:val="1"/>
          <w:sz w:val="24"/>
          <w:szCs w:val="24"/>
        </w:rPr>
        <w:t>and that notice of violation</w:t>
      </w:r>
      <w:r>
        <w:rPr>
          <w:rFonts w:ascii="Times New Roman" w:hAnsi="Times New Roman"/>
          <w:spacing w:val="-9"/>
          <w:position w:val="1"/>
          <w:sz w:val="24"/>
          <w:szCs w:val="24"/>
        </w:rPr>
        <w:t xml:space="preserve"> </w:t>
      </w:r>
      <w:r>
        <w:rPr>
          <w:rFonts w:ascii="Times New Roman" w:hAnsi="Times New Roman"/>
          <w:position w:val="1"/>
          <w:sz w:val="24"/>
          <w:szCs w:val="24"/>
        </w:rPr>
        <w:t>must</w:t>
      </w:r>
      <w:r>
        <w:rPr>
          <w:rFonts w:ascii="Times New Roman" w:hAnsi="Times New Roman"/>
          <w:spacing w:val="2"/>
          <w:position w:val="1"/>
          <w:sz w:val="24"/>
          <w:szCs w:val="24"/>
        </w:rPr>
        <w:t xml:space="preserve"> </w:t>
      </w:r>
      <w:r>
        <w:rPr>
          <w:rFonts w:ascii="Times New Roman" w:hAnsi="Times New Roman"/>
          <w:position w:val="1"/>
          <w:sz w:val="24"/>
          <w:szCs w:val="24"/>
        </w:rPr>
        <w:t>introduce potential financial</w:t>
      </w:r>
      <w:r>
        <w:rPr>
          <w:rFonts w:ascii="Times New Roman" w:hAnsi="Times New Roman"/>
          <w:spacing w:val="-6"/>
          <w:position w:val="1"/>
          <w:sz w:val="24"/>
          <w:szCs w:val="24"/>
        </w:rPr>
        <w:t xml:space="preserve"> </w:t>
      </w:r>
      <w:r>
        <w:rPr>
          <w:rFonts w:ascii="Times New Roman" w:hAnsi="Times New Roman"/>
          <w:position w:val="1"/>
          <w:sz w:val="24"/>
          <w:szCs w:val="24"/>
        </w:rPr>
        <w:t>consequences.</w:t>
      </w:r>
    </w:p>
    <w:p w:rsidR="00F23CF4" w:rsidRDefault="00F23CF4" w:rsidP="00F23CF4">
      <w:pPr>
        <w:widowControl w:val="0"/>
        <w:autoSpaceDE w:val="0"/>
        <w:autoSpaceDN w:val="0"/>
        <w:adjustRightInd w:val="0"/>
        <w:spacing w:after="0" w:line="480" w:lineRule="auto"/>
        <w:rPr>
          <w:rFonts w:cs="Calibri"/>
          <w:sz w:val="24"/>
          <w:szCs w:val="24"/>
        </w:rPr>
      </w:pPr>
      <w:r>
        <w:rPr>
          <w:rFonts w:ascii="Times New Roman" w:hAnsi="Times New Roman"/>
          <w:sz w:val="24"/>
          <w:szCs w:val="24"/>
        </w:rPr>
        <w:tab/>
        <w:t xml:space="preserve">E.  To resolve a notice of violation, the division shall provide options such that a </w:t>
      </w:r>
      <w:r>
        <w:rPr>
          <w:rFonts w:ascii="Times New Roman" w:hAnsi="Times New Roman"/>
          <w:spacing w:val="-3"/>
          <w:sz w:val="24"/>
          <w:szCs w:val="24"/>
        </w:rPr>
        <w:t xml:space="preserve">person is </w:t>
      </w:r>
      <w:r>
        <w:rPr>
          <w:rFonts w:ascii="Times New Roman" w:hAnsi="Times New Roman"/>
          <w:sz w:val="24"/>
          <w:szCs w:val="24"/>
        </w:rPr>
        <w:t>incentivized to make</w:t>
      </w:r>
      <w:r>
        <w:rPr>
          <w:rFonts w:ascii="Times New Roman" w:hAnsi="Times New Roman"/>
          <w:spacing w:val="50"/>
          <w:sz w:val="24"/>
          <w:szCs w:val="24"/>
        </w:rPr>
        <w:t xml:space="preserve"> </w:t>
      </w:r>
      <w:r>
        <w:rPr>
          <w:rFonts w:ascii="Times New Roman" w:hAnsi="Times New Roman"/>
          <w:spacing w:val="-3"/>
          <w:sz w:val="24"/>
          <w:szCs w:val="24"/>
        </w:rPr>
        <w:t xml:space="preserve">prompt payment of </w:t>
      </w:r>
      <w:r w:rsidR="00882568" w:rsidRPr="0066779C">
        <w:rPr>
          <w:rFonts w:ascii="Times New Roman" w:hAnsi="Times New Roman"/>
          <w:color w:val="FF0000"/>
          <w:spacing w:val="-3"/>
          <w:sz w:val="24"/>
          <w:szCs w:val="24"/>
          <w:u w:val="single"/>
          <w:lang w:val="en-US"/>
        </w:rPr>
        <w:t>any</w:t>
      </w:r>
      <w:r w:rsidR="00882568" w:rsidRPr="00882568">
        <w:rPr>
          <w:rFonts w:ascii="Times New Roman" w:hAnsi="Times New Roman"/>
          <w:color w:val="FF0000"/>
          <w:spacing w:val="-3"/>
          <w:sz w:val="24"/>
          <w:szCs w:val="24"/>
          <w:lang w:val="en-US"/>
        </w:rPr>
        <w:t xml:space="preserve"> </w:t>
      </w:r>
      <w:r w:rsidRPr="00882568">
        <w:rPr>
          <w:rFonts w:ascii="Times New Roman" w:hAnsi="Times New Roman"/>
          <w:strike/>
          <w:color w:val="FF0000"/>
          <w:spacing w:val="-3"/>
          <w:sz w:val="24"/>
          <w:szCs w:val="24"/>
        </w:rPr>
        <w:t>the</w:t>
      </w:r>
      <w:r>
        <w:rPr>
          <w:rFonts w:ascii="Times New Roman" w:hAnsi="Times New Roman"/>
          <w:spacing w:val="-3"/>
          <w:sz w:val="24"/>
          <w:szCs w:val="24"/>
        </w:rPr>
        <w:t xml:space="preserve"> violation fee</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has</w:t>
      </w:r>
      <w:r>
        <w:rPr>
          <w:rFonts w:ascii="Times New Roman" w:hAnsi="Times New Roman"/>
          <w:spacing w:val="-29"/>
          <w:sz w:val="24"/>
          <w:szCs w:val="24"/>
        </w:rPr>
        <w:t xml:space="preserve"> </w:t>
      </w:r>
      <w:r>
        <w:rPr>
          <w:rFonts w:ascii="Times New Roman" w:hAnsi="Times New Roman"/>
          <w:sz w:val="24"/>
          <w:szCs w:val="24"/>
        </w:rPr>
        <w:t>options</w:t>
      </w:r>
      <w:r>
        <w:rPr>
          <w:rFonts w:ascii="Times New Roman" w:hAnsi="Times New Roman"/>
          <w:spacing w:val="-27"/>
          <w:sz w:val="24"/>
          <w:szCs w:val="24"/>
        </w:rPr>
        <w:t xml:space="preserve"> </w:t>
      </w:r>
      <w:r>
        <w:rPr>
          <w:rFonts w:ascii="Times New Roman" w:hAnsi="Times New Roman"/>
          <w:sz w:val="24"/>
          <w:szCs w:val="24"/>
        </w:rPr>
        <w:t>to</w:t>
      </w:r>
      <w:r>
        <w:rPr>
          <w:rFonts w:ascii="Times New Roman" w:hAnsi="Times New Roman"/>
          <w:spacing w:val="-16"/>
          <w:sz w:val="24"/>
          <w:szCs w:val="24"/>
        </w:rPr>
        <w:t xml:space="preserve"> </w:t>
      </w:r>
      <w:r>
        <w:rPr>
          <w:rFonts w:ascii="Times New Roman" w:hAnsi="Times New Roman"/>
          <w:sz w:val="24"/>
          <w:szCs w:val="24"/>
        </w:rPr>
        <w:t>resolve</w:t>
      </w:r>
      <w:r>
        <w:rPr>
          <w:rFonts w:ascii="Times New Roman" w:hAnsi="Times New Roman"/>
          <w:spacing w:val="-20"/>
          <w:sz w:val="24"/>
          <w:szCs w:val="24"/>
        </w:rPr>
        <w:t xml:space="preserve"> </w:t>
      </w:r>
      <w:r>
        <w:rPr>
          <w:rFonts w:ascii="Times New Roman" w:hAnsi="Times New Roman"/>
          <w:sz w:val="24"/>
          <w:szCs w:val="24"/>
        </w:rPr>
        <w:t>the violation</w:t>
      </w:r>
      <w:r>
        <w:rPr>
          <w:rFonts w:ascii="Times New Roman" w:hAnsi="Times New Roman"/>
          <w:spacing w:val="-36"/>
          <w:sz w:val="24"/>
          <w:szCs w:val="24"/>
        </w:rPr>
        <w:t xml:space="preserve"> </w:t>
      </w:r>
      <w:r>
        <w:rPr>
          <w:rFonts w:ascii="Times New Roman" w:hAnsi="Times New Roman"/>
          <w:sz w:val="24"/>
          <w:szCs w:val="24"/>
        </w:rPr>
        <w:t>that</w:t>
      </w:r>
      <w:r>
        <w:rPr>
          <w:rFonts w:ascii="Times New Roman" w:hAnsi="Times New Roman"/>
          <w:spacing w:val="-20"/>
          <w:sz w:val="24"/>
          <w:szCs w:val="24"/>
        </w:rPr>
        <w:t xml:space="preserve"> </w:t>
      </w:r>
      <w:r>
        <w:rPr>
          <w:rFonts w:ascii="Times New Roman" w:hAnsi="Times New Roman"/>
          <w:sz w:val="24"/>
          <w:szCs w:val="24"/>
        </w:rPr>
        <w:t>do</w:t>
      </w:r>
      <w:r>
        <w:rPr>
          <w:rFonts w:ascii="Times New Roman" w:hAnsi="Times New Roman"/>
          <w:spacing w:val="-22"/>
          <w:sz w:val="24"/>
          <w:szCs w:val="24"/>
        </w:rPr>
        <w:t xml:space="preserve"> </w:t>
      </w:r>
      <w:r>
        <w:rPr>
          <w:rFonts w:ascii="Times New Roman" w:hAnsi="Times New Roman"/>
          <w:sz w:val="24"/>
          <w:szCs w:val="24"/>
        </w:rPr>
        <w:t>not</w:t>
      </w:r>
      <w:r>
        <w:rPr>
          <w:rFonts w:ascii="Times New Roman" w:hAnsi="Times New Roman"/>
          <w:spacing w:val="-23"/>
          <w:sz w:val="24"/>
          <w:szCs w:val="24"/>
        </w:rPr>
        <w:t xml:space="preserve"> </w:t>
      </w:r>
      <w:r>
        <w:rPr>
          <w:rFonts w:ascii="Times New Roman" w:hAnsi="Times New Roman"/>
          <w:sz w:val="24"/>
          <w:szCs w:val="24"/>
        </w:rPr>
        <w:t>require</w:t>
      </w:r>
      <w:r>
        <w:rPr>
          <w:rFonts w:ascii="Times New Roman" w:hAnsi="Times New Roman"/>
          <w:spacing w:val="-16"/>
          <w:sz w:val="24"/>
          <w:szCs w:val="24"/>
        </w:rPr>
        <w:t xml:space="preserve"> </w:t>
      </w:r>
      <w:r>
        <w:rPr>
          <w:rFonts w:ascii="Times New Roman" w:hAnsi="Times New Roman"/>
          <w:sz w:val="24"/>
          <w:szCs w:val="24"/>
        </w:rPr>
        <w:t>paying</w:t>
      </w:r>
      <w:r>
        <w:rPr>
          <w:rFonts w:ascii="Times New Roman" w:hAnsi="Times New Roman"/>
          <w:spacing w:val="-36"/>
          <w:sz w:val="24"/>
          <w:szCs w:val="24"/>
        </w:rPr>
        <w:t xml:space="preserve"> </w:t>
      </w:r>
      <w:r>
        <w:rPr>
          <w:rFonts w:ascii="Times New Roman" w:hAnsi="Times New Roman"/>
          <w:sz w:val="24"/>
          <w:szCs w:val="24"/>
        </w:rPr>
        <w:t>a</w:t>
      </w:r>
      <w:r>
        <w:rPr>
          <w:rFonts w:ascii="Times New Roman" w:hAnsi="Times New Roman"/>
          <w:spacing w:val="-29"/>
          <w:sz w:val="24"/>
          <w:szCs w:val="24"/>
        </w:rPr>
        <w:t xml:space="preserve"> </w:t>
      </w:r>
      <w:r>
        <w:rPr>
          <w:rFonts w:ascii="Times New Roman" w:hAnsi="Times New Roman"/>
          <w:sz w:val="24"/>
          <w:szCs w:val="24"/>
        </w:rPr>
        <w:t>fee and is provided opportunity to appeal the violation to the division.</w:t>
      </w:r>
    </w:p>
    <w:p w:rsidR="00F23CF4" w:rsidRDefault="00F23CF4" w:rsidP="00F23CF4">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F.  A notice of violation must be answered within ninety days or is considered unresolved.  Unless cancelled by the division, a person is subject to suspension</w:t>
      </w:r>
      <w:r>
        <w:rPr>
          <w:rFonts w:ascii="Times New Roman" w:hAnsi="Times New Roman"/>
          <w:spacing w:val="-6"/>
          <w:sz w:val="24"/>
          <w:szCs w:val="24"/>
        </w:rPr>
        <w:t xml:space="preserve"> </w:t>
      </w:r>
      <w:r>
        <w:rPr>
          <w:rFonts w:ascii="Times New Roman" w:hAnsi="Times New Roman"/>
          <w:sz w:val="24"/>
          <w:szCs w:val="24"/>
        </w:rPr>
        <w:t>from</w:t>
      </w:r>
      <w:r>
        <w:rPr>
          <w:rFonts w:ascii="Times New Roman" w:hAnsi="Times New Roman"/>
          <w:spacing w:val="-13"/>
          <w:sz w:val="24"/>
          <w:szCs w:val="24"/>
        </w:rPr>
        <w:t xml:space="preserve"> </w:t>
      </w:r>
      <w:r>
        <w:rPr>
          <w:rFonts w:ascii="Times New Roman" w:hAnsi="Times New Roman"/>
          <w:sz w:val="24"/>
          <w:szCs w:val="24"/>
        </w:rPr>
        <w:t>service</w:t>
      </w:r>
      <w:r>
        <w:rPr>
          <w:rFonts w:ascii="Times New Roman" w:hAnsi="Times New Roman"/>
          <w:spacing w:val="-2"/>
          <w:sz w:val="24"/>
          <w:szCs w:val="24"/>
        </w:rPr>
        <w:t xml:space="preserve"> </w:t>
      </w:r>
      <w:r>
        <w:rPr>
          <w:rFonts w:ascii="Times New Roman" w:hAnsi="Times New Roman"/>
          <w:sz w:val="24"/>
          <w:szCs w:val="24"/>
        </w:rPr>
        <w:t>under</w:t>
      </w:r>
      <w:r>
        <w:rPr>
          <w:rFonts w:ascii="Times New Roman" w:hAnsi="Times New Roman"/>
          <w:spacing w:val="-18"/>
          <w:sz w:val="24"/>
          <w:szCs w:val="24"/>
        </w:rPr>
        <w:t xml:space="preserve"> </w:t>
      </w:r>
      <w:r>
        <w:rPr>
          <w:rFonts w:ascii="Times New Roman" w:hAnsi="Times New Roman"/>
          <w:sz w:val="24"/>
          <w:szCs w:val="24"/>
        </w:rPr>
        <w:t>K.C.C.</w:t>
      </w:r>
      <w:r>
        <w:rPr>
          <w:rFonts w:ascii="Times New Roman" w:hAnsi="Times New Roman"/>
          <w:spacing w:val="-11"/>
          <w:sz w:val="24"/>
          <w:szCs w:val="24"/>
        </w:rPr>
        <w:t xml:space="preserve"> </w:t>
      </w:r>
      <w:r>
        <w:rPr>
          <w:rFonts w:ascii="Times New Roman" w:hAnsi="Times New Roman"/>
          <w:sz w:val="24"/>
          <w:szCs w:val="24"/>
        </w:rPr>
        <w:t>28.96.430</w:t>
      </w:r>
      <w:r>
        <w:rPr>
          <w:rFonts w:ascii="Times New Roman" w:hAnsi="Times New Roman"/>
          <w:spacing w:val="-7"/>
          <w:sz w:val="24"/>
          <w:szCs w:val="24"/>
        </w:rPr>
        <w:t xml:space="preserve"> </w:t>
      </w:r>
      <w:r>
        <w:rPr>
          <w:rFonts w:ascii="Times New Roman" w:hAnsi="Times New Roman"/>
          <w:sz w:val="24"/>
          <w:szCs w:val="24"/>
        </w:rPr>
        <w:t>for</w:t>
      </w:r>
      <w:r>
        <w:rPr>
          <w:rFonts w:ascii="Times New Roman" w:hAnsi="Times New Roman"/>
          <w:spacing w:val="-6"/>
          <w:sz w:val="24"/>
          <w:szCs w:val="24"/>
        </w:rPr>
        <w:t xml:space="preserve"> </w:t>
      </w:r>
      <w:r>
        <w:rPr>
          <w:rFonts w:ascii="Times New Roman" w:hAnsi="Times New Roman"/>
          <w:sz w:val="24"/>
          <w:szCs w:val="24"/>
        </w:rPr>
        <w:t>each unresolved notice of violation.  If a suspension is</w:t>
      </w:r>
      <w:r>
        <w:rPr>
          <w:rFonts w:ascii="Times New Roman" w:hAnsi="Times New Roman"/>
          <w:spacing w:val="23"/>
          <w:sz w:val="24"/>
          <w:szCs w:val="24"/>
        </w:rPr>
        <w:t xml:space="preserve"> </w:t>
      </w:r>
      <w:r>
        <w:rPr>
          <w:rFonts w:ascii="Times New Roman" w:hAnsi="Times New Roman"/>
          <w:sz w:val="24"/>
          <w:szCs w:val="24"/>
        </w:rPr>
        <w:lastRenderedPageBreak/>
        <w:t>issued, the duration may be no more than thirty days for each unresolved violation.  Multiple suspensions may be served concurrently unless otherwise directed by the division.  Upon expiration of a suspension due to a notice of violation, the violation is considered resolved and no further penalty shall be imposed.</w:t>
      </w:r>
    </w:p>
    <w:p w:rsidR="0094659A" w:rsidRPr="0094659A" w:rsidRDefault="0094659A" w:rsidP="0094659A">
      <w:pPr>
        <w:widowControl w:val="0"/>
        <w:autoSpaceDE w:val="0"/>
        <w:autoSpaceDN w:val="0"/>
        <w:adjustRightInd w:val="0"/>
        <w:spacing w:line="480" w:lineRule="auto"/>
        <w:rPr>
          <w:rFonts w:ascii="Times New Roman" w:hAnsi="Times New Roman"/>
          <w:color w:val="FF0000"/>
          <w:spacing w:val="-2"/>
          <w:sz w:val="24"/>
          <w:szCs w:val="24"/>
          <w:u w:val="single"/>
        </w:rPr>
      </w:pPr>
      <w:r>
        <w:rPr>
          <w:rFonts w:ascii="Times New Roman" w:hAnsi="Times New Roman"/>
          <w:color w:val="FF0000"/>
          <w:sz w:val="24"/>
          <w:szCs w:val="24"/>
          <w:u w:val="single"/>
        </w:rPr>
        <w:tab/>
      </w:r>
      <w:r w:rsidR="00882568" w:rsidRPr="0066779C">
        <w:rPr>
          <w:rFonts w:ascii="Times New Roman" w:hAnsi="Times New Roman"/>
          <w:color w:val="FF0000"/>
          <w:sz w:val="24"/>
          <w:szCs w:val="24"/>
          <w:u w:val="single"/>
        </w:rPr>
        <w:t xml:space="preserve">NEW SECTION. </w:t>
      </w:r>
      <w:r w:rsidR="00882568" w:rsidRPr="0066779C">
        <w:rPr>
          <w:rFonts w:ascii="Times New Roman" w:hAnsi="Times New Roman"/>
          <w:color w:val="FF0000"/>
          <w:spacing w:val="-2"/>
          <w:sz w:val="24"/>
          <w:szCs w:val="24"/>
          <w:u w:val="single"/>
        </w:rPr>
        <w:t xml:space="preserve">SECTION 2.  </w:t>
      </w:r>
      <w:r w:rsidRPr="0094659A">
        <w:rPr>
          <w:rFonts w:ascii="Times New Roman" w:hAnsi="Times New Roman"/>
          <w:color w:val="FF0000"/>
          <w:spacing w:val="-2"/>
          <w:sz w:val="24"/>
          <w:szCs w:val="24"/>
          <w:u w:val="single"/>
        </w:rPr>
        <w:t>There is hereby added to K.C.C. chapter 2.16 a new section to read as follows:</w:t>
      </w:r>
    </w:p>
    <w:p w:rsidR="00882568" w:rsidRPr="0066779C" w:rsidRDefault="00882568" w:rsidP="00882568">
      <w:pPr>
        <w:widowControl w:val="0"/>
        <w:autoSpaceDE w:val="0"/>
        <w:autoSpaceDN w:val="0"/>
        <w:adjustRightInd w:val="0"/>
        <w:spacing w:line="480" w:lineRule="auto"/>
        <w:ind w:firstLine="720"/>
        <w:rPr>
          <w:rFonts w:ascii="Times New Roman" w:eastAsia="Times New Roman" w:hAnsi="Times New Roman"/>
          <w:color w:val="FF0000"/>
          <w:spacing w:val="-2"/>
          <w:sz w:val="24"/>
          <w:szCs w:val="24"/>
          <w:u w:val="single"/>
          <w:lang w:val="en-US" w:eastAsia="en-US"/>
        </w:rPr>
      </w:pPr>
      <w:r w:rsidRPr="0066779C">
        <w:rPr>
          <w:rFonts w:ascii="Times New Roman" w:hAnsi="Times New Roman"/>
          <w:color w:val="FF0000"/>
          <w:spacing w:val="-2"/>
          <w:sz w:val="24"/>
          <w:szCs w:val="24"/>
          <w:u w:val="single"/>
        </w:rPr>
        <w:t>The executive shall develop a reporting system for all Metro bus fare enforcement activities and the new fare enforcement system.  The executive shall use the data from the reporting sy</w:t>
      </w:r>
      <w:r w:rsidR="009735D9">
        <w:rPr>
          <w:rFonts w:ascii="Times New Roman" w:hAnsi="Times New Roman"/>
          <w:color w:val="FF0000"/>
          <w:spacing w:val="-2"/>
          <w:sz w:val="24"/>
          <w:szCs w:val="24"/>
          <w:u w:val="single"/>
        </w:rPr>
        <w:t>stem to develop a report by April</w:t>
      </w:r>
      <w:r w:rsidRPr="0066779C">
        <w:rPr>
          <w:rFonts w:ascii="Times New Roman" w:hAnsi="Times New Roman"/>
          <w:color w:val="FF0000"/>
          <w:spacing w:val="-2"/>
          <w:sz w:val="24"/>
          <w:szCs w:val="24"/>
          <w:u w:val="single"/>
        </w:rPr>
        <w:t xml:space="preserve"> 1, 2019, and annually thereafter, that contains the following information:</w:t>
      </w:r>
    </w:p>
    <w:p w:rsidR="00882568" w:rsidRPr="0066779C" w:rsidRDefault="00882568" w:rsidP="00882568">
      <w:pPr>
        <w:widowControl w:val="0"/>
        <w:autoSpaceDE w:val="0"/>
        <w:autoSpaceDN w:val="0"/>
        <w:adjustRightInd w:val="0"/>
        <w:spacing w:line="480" w:lineRule="auto"/>
        <w:ind w:firstLine="720"/>
        <w:rPr>
          <w:rFonts w:ascii="Times New Roman" w:hAnsi="Times New Roman"/>
          <w:color w:val="FF0000"/>
          <w:position w:val="1"/>
          <w:sz w:val="24"/>
          <w:szCs w:val="24"/>
          <w:u w:val="single"/>
        </w:rPr>
      </w:pPr>
      <w:r w:rsidRPr="0066779C">
        <w:rPr>
          <w:rFonts w:ascii="Times New Roman" w:hAnsi="Times New Roman"/>
          <w:color w:val="FF0000"/>
          <w:spacing w:val="-2"/>
          <w:position w:val="1"/>
          <w:sz w:val="24"/>
          <w:szCs w:val="24"/>
          <w:u w:val="single"/>
        </w:rPr>
        <w:t>A.</w:t>
      </w:r>
      <w:r w:rsidRPr="0066779C">
        <w:rPr>
          <w:rFonts w:ascii="Times New Roman" w:hAnsi="Times New Roman"/>
          <w:color w:val="FF0000"/>
          <w:position w:val="1"/>
          <w:sz w:val="24"/>
          <w:szCs w:val="24"/>
          <w:u w:val="single"/>
        </w:rPr>
        <w:t xml:space="preserve">  For each RapidRide bus route, all other regular bus routes, and for total bus service the executive shall provide data on the following:</w:t>
      </w:r>
    </w:p>
    <w:p w:rsidR="00882568" w:rsidRPr="0066779C" w:rsidRDefault="00882568" w:rsidP="00882568">
      <w:pPr>
        <w:spacing w:line="480" w:lineRule="auto"/>
        <w:rPr>
          <w:rFonts w:ascii="Times New Roman" w:hAnsi="Times New Roman"/>
          <w:color w:val="FF0000"/>
          <w:sz w:val="24"/>
          <w:szCs w:val="24"/>
          <w:u w:val="single"/>
        </w:rPr>
      </w:pPr>
      <w:r w:rsidRPr="0066779C">
        <w:rPr>
          <w:rFonts w:ascii="Times New Roman" w:hAnsi="Times New Roman"/>
          <w:color w:val="FF0000"/>
          <w:position w:val="1"/>
          <w:sz w:val="24"/>
          <w:szCs w:val="24"/>
          <w:u w:val="single"/>
        </w:rPr>
        <w:tab/>
        <w:t xml:space="preserve">1.  </w:t>
      </w:r>
      <w:r w:rsidRPr="0066779C">
        <w:rPr>
          <w:rFonts w:ascii="Times New Roman" w:hAnsi="Times New Roman"/>
          <w:color w:val="FF0000"/>
          <w:sz w:val="24"/>
          <w:szCs w:val="24"/>
          <w:u w:val="single"/>
        </w:rPr>
        <w:t>The number of warnings issued for fare evasion and the number of people that have received warnings by bus route;</w:t>
      </w:r>
    </w:p>
    <w:p w:rsidR="00882568" w:rsidRPr="0066779C" w:rsidRDefault="00882568" w:rsidP="00882568">
      <w:pPr>
        <w:spacing w:line="480" w:lineRule="auto"/>
        <w:rPr>
          <w:rFonts w:ascii="Times New Roman" w:hAnsi="Times New Roman"/>
          <w:color w:val="FF0000"/>
          <w:sz w:val="24"/>
          <w:szCs w:val="24"/>
          <w:u w:val="single"/>
        </w:rPr>
      </w:pPr>
      <w:r w:rsidRPr="0066779C">
        <w:rPr>
          <w:rFonts w:ascii="Times New Roman" w:hAnsi="Times New Roman"/>
          <w:color w:val="FF0000"/>
          <w:sz w:val="24"/>
          <w:szCs w:val="24"/>
          <w:u w:val="single"/>
        </w:rPr>
        <w:tab/>
        <w:t>2.  The number of fare evasion citations issued and the number of that people that have received these citations by bus route, this should include identifying the number of individuals that receive multiple citations during the reporting period;</w:t>
      </w:r>
    </w:p>
    <w:p w:rsidR="00882568" w:rsidRPr="0066779C" w:rsidRDefault="00882568" w:rsidP="00882568">
      <w:pPr>
        <w:spacing w:line="480" w:lineRule="auto"/>
        <w:rPr>
          <w:rFonts w:ascii="Times New Roman" w:hAnsi="Times New Roman"/>
          <w:color w:val="FF0000"/>
          <w:sz w:val="24"/>
          <w:szCs w:val="24"/>
          <w:u w:val="single"/>
        </w:rPr>
      </w:pPr>
      <w:r w:rsidRPr="0066779C">
        <w:rPr>
          <w:rFonts w:ascii="Times New Roman" w:hAnsi="Times New Roman"/>
          <w:color w:val="FF0000"/>
          <w:sz w:val="24"/>
          <w:szCs w:val="24"/>
          <w:u w:val="single"/>
        </w:rPr>
        <w:tab/>
        <w:t>3.  The number of citations resolved, showing the method used to resolve the citations;</w:t>
      </w:r>
    </w:p>
    <w:p w:rsidR="00882568" w:rsidRPr="0066779C" w:rsidRDefault="00882568" w:rsidP="00882568">
      <w:pPr>
        <w:spacing w:line="480" w:lineRule="auto"/>
        <w:rPr>
          <w:rFonts w:ascii="Times New Roman" w:hAnsi="Times New Roman"/>
          <w:color w:val="FF0000"/>
          <w:sz w:val="24"/>
          <w:szCs w:val="24"/>
          <w:u w:val="single"/>
        </w:rPr>
      </w:pPr>
      <w:r w:rsidRPr="0066779C">
        <w:rPr>
          <w:rFonts w:ascii="Times New Roman" w:hAnsi="Times New Roman"/>
          <w:color w:val="FF0000"/>
          <w:sz w:val="24"/>
          <w:szCs w:val="24"/>
          <w:u w:val="single"/>
        </w:rPr>
        <w:lastRenderedPageBreak/>
        <w:tab/>
        <w:t xml:space="preserve">4.  The number of people suspended as a result of fare evasion; </w:t>
      </w:r>
    </w:p>
    <w:p w:rsidR="00882568" w:rsidRPr="0066779C" w:rsidRDefault="00882568" w:rsidP="00882568">
      <w:pPr>
        <w:spacing w:line="480" w:lineRule="auto"/>
        <w:rPr>
          <w:rFonts w:ascii="Times New Roman" w:hAnsi="Times New Roman"/>
          <w:color w:val="FF0000"/>
          <w:sz w:val="24"/>
          <w:szCs w:val="24"/>
          <w:u w:val="single"/>
        </w:rPr>
      </w:pPr>
      <w:r w:rsidRPr="0066779C">
        <w:rPr>
          <w:rFonts w:ascii="Times New Roman" w:hAnsi="Times New Roman"/>
          <w:color w:val="FF0000"/>
          <w:sz w:val="24"/>
          <w:szCs w:val="24"/>
          <w:u w:val="single"/>
        </w:rPr>
        <w:tab/>
        <w:t>5.  The number of criminal trespass charges issued to individuals as a result of fare evasion violations;</w:t>
      </w:r>
    </w:p>
    <w:p w:rsidR="00882568" w:rsidRPr="0066779C" w:rsidRDefault="00882568" w:rsidP="00882568">
      <w:pPr>
        <w:spacing w:line="480" w:lineRule="auto"/>
        <w:rPr>
          <w:rFonts w:ascii="Times New Roman" w:hAnsi="Times New Roman"/>
          <w:color w:val="FF0000"/>
          <w:sz w:val="24"/>
          <w:szCs w:val="24"/>
          <w:u w:val="single"/>
        </w:rPr>
      </w:pPr>
      <w:r w:rsidRPr="0066779C">
        <w:rPr>
          <w:rFonts w:ascii="Times New Roman" w:hAnsi="Times New Roman"/>
          <w:color w:val="FF0000"/>
          <w:sz w:val="24"/>
          <w:szCs w:val="24"/>
          <w:u w:val="single"/>
        </w:rPr>
        <w:tab/>
        <w:t>6.  The report should also include data showing the demographics of persons issued citations, including but not limited to race, age, gender, income and housing status as available; and,</w:t>
      </w:r>
    </w:p>
    <w:p w:rsidR="00882568" w:rsidRPr="0066779C" w:rsidRDefault="00882568" w:rsidP="00882568">
      <w:pPr>
        <w:spacing w:line="480" w:lineRule="auto"/>
        <w:rPr>
          <w:rFonts w:ascii="Times New Roman" w:hAnsi="Times New Roman"/>
          <w:color w:val="FF0000"/>
          <w:sz w:val="24"/>
          <w:szCs w:val="24"/>
          <w:u w:val="single"/>
        </w:rPr>
      </w:pPr>
      <w:r w:rsidRPr="0066779C">
        <w:rPr>
          <w:rFonts w:ascii="Times New Roman" w:hAnsi="Times New Roman"/>
          <w:color w:val="FF0000"/>
          <w:sz w:val="24"/>
          <w:szCs w:val="24"/>
          <w:u w:val="single"/>
        </w:rPr>
        <w:tab/>
        <w:t>7.  The report should also include performance measures showing the activities and effectiveness of the program outreach manager.</w:t>
      </w:r>
    </w:p>
    <w:p w:rsidR="00882568" w:rsidRPr="0066779C" w:rsidRDefault="00882568" w:rsidP="00882568">
      <w:pPr>
        <w:spacing w:line="480" w:lineRule="auto"/>
        <w:rPr>
          <w:u w:val="single"/>
        </w:rPr>
      </w:pPr>
      <w:r w:rsidRPr="0066779C">
        <w:rPr>
          <w:rFonts w:ascii="Times New Roman" w:hAnsi="Times New Roman"/>
          <w:color w:val="FF0000"/>
          <w:sz w:val="24"/>
          <w:szCs w:val="24"/>
          <w:u w:val="single"/>
        </w:rPr>
        <w:t>The executive must file the report re</w:t>
      </w:r>
      <w:r w:rsidR="009735D9">
        <w:rPr>
          <w:rFonts w:ascii="Times New Roman" w:hAnsi="Times New Roman"/>
          <w:color w:val="FF0000"/>
          <w:sz w:val="24"/>
          <w:szCs w:val="24"/>
          <w:u w:val="single"/>
        </w:rPr>
        <w:t>quired by this section by April 1</w:t>
      </w:r>
      <w:r w:rsidRPr="0066779C">
        <w:rPr>
          <w:rFonts w:ascii="Times New Roman" w:hAnsi="Times New Roman"/>
          <w:color w:val="FF0000"/>
          <w:sz w:val="24"/>
          <w:szCs w:val="24"/>
          <w:u w:val="single"/>
        </w:rPr>
        <w:t>, of each year starting in 2019, in the form of a paper original and an electronic copy with the clerk of the council, who shall retain the original and provide an electronic copy to all councilmembers, the council chief of staff, the policy staff director and the lead staff for the mobility committee, or its successor</w:t>
      </w:r>
      <w:r w:rsidRPr="0066779C">
        <w:rPr>
          <w:u w:val="single"/>
        </w:rPr>
        <w:t xml:space="preserve">. </w:t>
      </w:r>
    </w:p>
    <w:p w:rsidR="009735D9" w:rsidRDefault="009735D9">
      <w:pPr>
        <w:spacing w:after="160" w:line="259" w:lineRule="auto"/>
      </w:pPr>
      <w:r>
        <w:br w:type="page"/>
      </w:r>
    </w:p>
    <w:p w:rsidR="00882568" w:rsidRDefault="00882568" w:rsidP="00F23CF4">
      <w:pPr>
        <w:widowControl w:val="0"/>
        <w:autoSpaceDE w:val="0"/>
        <w:autoSpaceDN w:val="0"/>
        <w:adjustRightInd w:val="0"/>
        <w:spacing w:after="0" w:line="480" w:lineRule="auto"/>
      </w:pPr>
      <w:bookmarkStart w:id="0" w:name="_GoBack"/>
      <w:bookmarkEnd w:id="0"/>
    </w:p>
    <w:p w:rsidR="006034F7" w:rsidRPr="005802D3" w:rsidRDefault="006034F7" w:rsidP="00F2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rsidR="006034F7" w:rsidRPr="005802D3" w:rsidRDefault="006034F7" w:rsidP="00F23CF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F23CF4">
          <w:headerReference w:type="default" r:id="rId6"/>
          <w:footerReference w:type="default" r:id="rId7"/>
          <w:headerReference w:type="first" r:id="rId8"/>
          <w:footerReference w:type="first" r:id="rId9"/>
          <w:pgSz w:w="12240" w:h="15840"/>
          <w:pgMar w:top="1440" w:right="1800" w:bottom="1440" w:left="1800" w:header="720" w:footer="720" w:gutter="0"/>
          <w:lnNumType w:countBy="1" w:restart="continuous"/>
          <w:cols w:space="720"/>
          <w:titlePg/>
          <w:docGrid w:linePitch="299"/>
        </w:sectPr>
      </w:pP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tc>
          <w:tcPr>
            <w:tcW w:w="8640" w:type="dxa"/>
            <w:gridSpan w:val="2"/>
            <w:shd w:val="clear" w:color="auto" w:fill="auto"/>
          </w:tcPr>
          <w:p w:rsidR="006034F7" w:rsidRPr="005802D3" w:rsidRDefault="00F2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r w:rsidR="006034F7" w:rsidRPr="005802D3">
        <w:tc>
          <w:tcPr>
            <w:tcW w:w="8640" w:type="dxa"/>
            <w:gridSpan w:val="2"/>
            <w:tcBorders>
              <w:bottom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tc>
          <w:tcPr>
            <w:tcW w:w="1620" w:type="dxa"/>
            <w:tcBorders>
              <w:top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rsidR="006034F7" w:rsidRPr="005802D3" w:rsidRDefault="00F2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bl>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COUNCIL</w:t>
            </w:r>
          </w:p>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WASHINGTON</w:t>
            </w:r>
          </w:p>
        </w:tc>
      </w:tr>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F2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J. Joseph McDermott, Chair</w:t>
            </w:r>
          </w:p>
        </w:tc>
      </w:tr>
      <w:tr w:rsidR="006034F7" w:rsidRPr="002E357E">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ATTEST:</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432"/>
        </w:trPr>
        <w:tc>
          <w:tcPr>
            <w:tcW w:w="4320" w:type="dxa"/>
            <w:shd w:val="clear" w:color="auto" w:fill="auto"/>
            <w:vAlign w:val="bottom"/>
          </w:tcPr>
          <w:p w:rsidR="006034F7" w:rsidRPr="002E357E" w:rsidRDefault="00F2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Melani Pedroza, Clerk of the Council</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8640" w:type="dxa"/>
            <w:gridSpan w:val="2"/>
            <w:tcBorders>
              <w:top w:val="nil"/>
              <w:bottom w:val="nil"/>
            </w:tcBorders>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APPROVED this _____ day of _______________, ______.</w:t>
            </w:r>
          </w:p>
        </w:tc>
      </w:tr>
      <w:tr w:rsidR="006034F7" w:rsidRPr="002E357E">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F2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Dow Constantine, County Executive</w:t>
            </w:r>
          </w:p>
        </w:tc>
      </w:tr>
      <w:tr w:rsidR="006034F7" w:rsidRPr="002E357E">
        <w:trPr>
          <w:trHeight w:val="432"/>
        </w:trPr>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lang w:val="en-US" w:eastAsia="en-US" w:bidi="en-US"/>
              </w:rPr>
            </w:pPr>
          </w:p>
        </w:tc>
      </w:tr>
      <w:tr w:rsidR="006034F7" w:rsidRPr="005802D3">
        <w:trPr>
          <w:trHeight w:val="432"/>
        </w:trPr>
        <w:tc>
          <w:tcPr>
            <w:tcW w:w="8640" w:type="dxa"/>
            <w:gridSpan w:val="2"/>
            <w:tcBorders>
              <w:top w:val="nil"/>
            </w:tcBorders>
            <w:shd w:val="clear" w:color="auto" w:fill="auto"/>
            <w:vAlign w:val="bottom"/>
          </w:tcPr>
          <w:p w:rsidR="006034F7" w:rsidRPr="005802D3" w:rsidRDefault="0017788C" w:rsidP="00F2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F23CF4">
              <w:rPr>
                <w:rFonts w:ascii="Times New Roman" w:hAnsi="Times New Roman"/>
                <w:noProof/>
                <w:sz w:val="20"/>
                <w:szCs w:val="20"/>
                <w:lang w:val="en-US" w:eastAsia="en-US" w:bidi="en-US"/>
              </w:rPr>
              <w:t>None</w:t>
            </w:r>
          </w:p>
        </w:tc>
      </w:tr>
    </w:tbl>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EB" w:rsidRDefault="00FD59EB">
      <w:pPr>
        <w:spacing w:after="0" w:line="240" w:lineRule="auto"/>
      </w:pPr>
      <w:r>
        <w:separator/>
      </w:r>
    </w:p>
  </w:endnote>
  <w:endnote w:type="continuationSeparator" w:id="0">
    <w:p w:rsidR="00FD59EB" w:rsidRDefault="00FD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9735D9">
            <w:rPr>
              <w:noProof/>
              <w:lang w:val="en-US" w:eastAsia="en-US" w:bidi="en-US"/>
            </w:rPr>
            <w:t>7</w:t>
          </w:r>
          <w:r>
            <w:rPr>
              <w:lang w:val="en-US" w:eastAsia="en-US" w:bidi="en-US"/>
            </w:rPr>
            <w:fldChar w:fldCharType="end"/>
          </w:r>
        </w:p>
      </w:tc>
    </w:tr>
  </w:tbl>
  <w:p w:rsidR="006034F7" w:rsidRDefault="006034F7">
    <w:pPr>
      <w:pStyle w:val="Footer"/>
      <w:tabs>
        <w:tab w:val="clear" w:pos="9360"/>
        <w:tab w:val="right" w:pos="8640"/>
      </w:tabs>
      <w:jc w:val="center"/>
      <w:rPr>
        <w:lang w:val="en-US" w:eastAsia="en-US" w:bidi="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9735D9">
            <w:rPr>
              <w:noProof/>
              <w:lang w:val="en-US" w:eastAsia="en-US" w:bidi="en-US"/>
            </w:rPr>
            <w:t>1</w:t>
          </w:r>
          <w:r>
            <w:rPr>
              <w:lang w:val="en-US" w:eastAsia="en-US" w:bidi="en-US"/>
            </w:rPr>
            <w:fldChar w:fldCharType="end"/>
          </w:r>
        </w:p>
      </w:tc>
    </w:tr>
  </w:tbl>
  <w:p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EB" w:rsidRDefault="00FD59EB">
      <w:pPr>
        <w:spacing w:after="0" w:line="240" w:lineRule="auto"/>
      </w:pPr>
      <w:r>
        <w:separator/>
      </w:r>
    </w:p>
  </w:footnote>
  <w:footnote w:type="continuationSeparator" w:id="0">
    <w:p w:rsidR="00FD59EB" w:rsidRDefault="00FD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tcPr>
        <w:p w:rsidR="006034F7" w:rsidRDefault="00F23CF4" w:rsidP="00F23CF4">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Ordinance</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rsidR="006034F7" w:rsidRDefault="006034F7">
    <w:pPr>
      <w:pStyle w:val="Header"/>
      <w:tabs>
        <w:tab w:val="clear" w:pos="9360"/>
        <w:tab w:val="right" w:pos="8640"/>
      </w:tabs>
      <w:spacing w:line="276" w:lineRule="auto"/>
      <w:rPr>
        <w:lang w:val="en-US" w:eastAsia="en-US" w:bidi="en-US"/>
      </w:rPr>
    </w:pPr>
  </w:p>
  <w:p w:rsidR="006034F7" w:rsidRDefault="006034F7">
    <w:pPr>
      <w:pStyle w:val="Header"/>
      <w:tabs>
        <w:tab w:val="clear" w:pos="9360"/>
        <w:tab w:val="right" w:pos="8640"/>
      </w:tabs>
      <w:rPr>
        <w:lang w:val="en-US"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304"/>
      <w:gridCol w:w="4032"/>
      <w:gridCol w:w="2304"/>
    </w:tblGrid>
    <w:tr w:rsidR="006034F7">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88256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REDLINE</w:t>
          </w:r>
        </w:p>
        <w:p w:rsidR="00882568" w:rsidRDefault="0088256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rFonts w:ascii="Arial" w:eastAsia="Arial" w:hAnsi="Arial" w:cs="Arial"/>
              <w:b/>
              <w:noProof/>
              <w:sz w:val="24"/>
              <w:lang w:val="en-US" w:eastAsia="en-US" w:bidi="en-US"/>
            </w:rPr>
            <w:fldChar w:fldCharType="begin"/>
          </w:r>
          <w:r>
            <w:rPr>
              <w:rFonts w:ascii="Arial" w:eastAsia="Arial" w:hAnsi="Arial" w:cs="Arial"/>
              <w:b/>
              <w:noProof/>
              <w:sz w:val="24"/>
              <w:lang w:val="en-US" w:eastAsia="en-US" w:bidi="en-US"/>
            </w:rPr>
            <w:instrText xml:space="preserve"> TIME \@ "MMMM d, yyyy" </w:instrText>
          </w:r>
          <w:r>
            <w:rPr>
              <w:rFonts w:ascii="Arial" w:eastAsia="Arial" w:hAnsi="Arial" w:cs="Arial"/>
              <w:b/>
              <w:noProof/>
              <w:sz w:val="24"/>
              <w:lang w:val="en-US" w:eastAsia="en-US" w:bidi="en-US"/>
            </w:rPr>
            <w:fldChar w:fldCharType="separate"/>
          </w:r>
          <w:r w:rsidR="009735D9">
            <w:rPr>
              <w:rFonts w:ascii="Arial" w:eastAsia="Arial" w:hAnsi="Arial" w:cs="Arial"/>
              <w:b/>
              <w:noProof/>
              <w:sz w:val="24"/>
              <w:lang w:val="en-US" w:eastAsia="en-US" w:bidi="en-US"/>
            </w:rPr>
            <w:t>September 5</w:t>
          </w:r>
          <w:r w:rsidR="009735D9">
            <w:rPr>
              <w:rFonts w:ascii="Arial" w:eastAsia="Arial" w:hAnsi="Arial" w:cs="Arial"/>
              <w:b/>
              <w:noProof/>
              <w:sz w:val="24"/>
              <w:lang w:val="en-US" w:eastAsia="en-US" w:bidi="en-US"/>
            </w:rPr>
            <w:t>, 2018</w:t>
          </w:r>
          <w:r>
            <w:rPr>
              <w:lang w:val="en-US" w:eastAsia="en-US" w:bidi="en-US"/>
            </w:rPr>
            <w:fldChar w:fldCharType="end"/>
          </w:r>
        </w:p>
      </w:tc>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rsidR="006034F7" w:rsidRDefault="00F23CF4" w:rsidP="00F23CF4">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Ordinance</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tc>
        <w:tcPr>
          <w:tcW w:w="4320" w:type="dxa"/>
          <w:shd w:val="clear" w:color="auto" w:fill="auto"/>
        </w:tcPr>
        <w:p w:rsidR="006034F7" w:rsidRDefault="0017788C" w:rsidP="00F23CF4">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F23CF4">
            <w:rPr>
              <w:rFonts w:ascii="Times New Roman" w:eastAsia="Times New Roman" w:hAnsi="Times New Roman"/>
              <w:noProof/>
              <w:lang w:val="en-US" w:eastAsia="en-US" w:bidi="en-US"/>
            </w:rPr>
            <w:t>2018-0377.1</w:t>
          </w:r>
        </w:p>
      </w:tc>
      <w:tc>
        <w:tcPr>
          <w:tcW w:w="4320" w:type="dxa"/>
          <w:shd w:val="clear" w:color="auto" w:fill="auto"/>
        </w:tcPr>
        <w:p w:rsidR="006034F7" w:rsidRDefault="0017788C" w:rsidP="00F23CF4">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F23CF4">
            <w:rPr>
              <w:rFonts w:ascii="Times New Roman" w:eastAsia="Times New Roman" w:hAnsi="Times New Roman"/>
              <w:noProof/>
              <w:lang w:val="en-US" w:eastAsia="en-US" w:bidi="en-US"/>
            </w:rPr>
            <w:t>Balducci</w:t>
          </w:r>
        </w:p>
      </w:tc>
    </w:tr>
  </w:tbl>
  <w:p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6034F7"/>
    <w:rsid w:val="0017788C"/>
    <w:rsid w:val="001D718E"/>
    <w:rsid w:val="00222D90"/>
    <w:rsid w:val="002E357E"/>
    <w:rsid w:val="005802D3"/>
    <w:rsid w:val="005E34D9"/>
    <w:rsid w:val="006034F7"/>
    <w:rsid w:val="0066779C"/>
    <w:rsid w:val="00667B88"/>
    <w:rsid w:val="00882568"/>
    <w:rsid w:val="0094659A"/>
    <w:rsid w:val="009735D9"/>
    <w:rsid w:val="00CF7FC1"/>
    <w:rsid w:val="00D9092D"/>
    <w:rsid w:val="00E32B1C"/>
    <w:rsid w:val="00EA3518"/>
    <w:rsid w:val="00F23CF4"/>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17043">
      <w:bodyDiv w:val="1"/>
      <w:marLeft w:val="0"/>
      <w:marRight w:val="0"/>
      <w:marTop w:val="0"/>
      <w:marBottom w:val="0"/>
      <w:divBdr>
        <w:top w:val="none" w:sz="0" w:space="0" w:color="auto"/>
        <w:left w:val="none" w:sz="0" w:space="0" w:color="auto"/>
        <w:bottom w:val="none" w:sz="0" w:space="0" w:color="auto"/>
        <w:right w:val="none" w:sz="0" w:space="0" w:color="auto"/>
      </w:divBdr>
    </w:div>
    <w:div w:id="969744818">
      <w:bodyDiv w:val="1"/>
      <w:marLeft w:val="0"/>
      <w:marRight w:val="0"/>
      <w:marTop w:val="0"/>
      <w:marBottom w:val="0"/>
      <w:divBdr>
        <w:top w:val="none" w:sz="0" w:space="0" w:color="auto"/>
        <w:left w:val="none" w:sz="0" w:space="0" w:color="auto"/>
        <w:bottom w:val="none" w:sz="0" w:space="0" w:color="auto"/>
        <w:right w:val="none" w:sz="0" w:space="0" w:color="auto"/>
      </w:divBdr>
    </w:div>
    <w:div w:id="136370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Base>C:\inetpub\wwwroot\api.reporting.cloud\User_Data\IT-Purchasing@granicus.com\Templates\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Clifton</dc:creator>
  <cp:lastModifiedBy>Curry, Clifton</cp:lastModifiedBy>
  <cp:revision>2</cp:revision>
  <cp:lastPrinted>2018-09-04T22:00:00Z</cp:lastPrinted>
  <dcterms:created xsi:type="dcterms:W3CDTF">2018-09-05T14:24:00Z</dcterms:created>
  <dcterms:modified xsi:type="dcterms:W3CDTF">2018-09-05T14:24:00Z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