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35A97" w14:textId="77777777" w:rsidR="00EB5A13" w:rsidRPr="00A46A5D" w:rsidRDefault="00EB5A13" w:rsidP="00EB5A13">
      <w:pPr>
        <w:pStyle w:val="Heading2"/>
        <w:rPr>
          <w:b w:val="0"/>
          <w:sz w:val="24"/>
          <w:u w:val="none"/>
        </w:rPr>
      </w:pPr>
    </w:p>
    <w:p w14:paraId="124732B1"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0706FFD"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00D28F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48525E3"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30B3B4D" w14:textId="35CE3D9D" w:rsidR="00EB5A13" w:rsidRPr="009349D6" w:rsidRDefault="006C20F1"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60EEB789"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103F650" w14:textId="77777777" w:rsidR="00EB5A13" w:rsidRPr="009349D6" w:rsidRDefault="007C7456" w:rsidP="00504305">
            <w:pPr>
              <w:spacing w:before="40" w:after="40"/>
              <w:rPr>
                <w:rFonts w:ascii="Arial" w:hAnsi="Arial" w:cs="Arial"/>
              </w:rPr>
            </w:pPr>
            <w:r>
              <w:rPr>
                <w:rFonts w:ascii="Arial" w:hAnsi="Arial" w:cs="Arial"/>
              </w:rPr>
              <w:t xml:space="preserve">Nick Bowman </w:t>
            </w:r>
          </w:p>
        </w:tc>
      </w:tr>
      <w:tr w:rsidR="00EB5A13" w:rsidRPr="009349D6" w14:paraId="50F0E49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3EA4828"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DDEDCA1" w14:textId="77777777" w:rsidR="00EB5A13" w:rsidRPr="009349D6" w:rsidRDefault="007C7456" w:rsidP="00074A56">
            <w:pPr>
              <w:spacing w:before="40" w:after="40"/>
              <w:rPr>
                <w:rFonts w:ascii="Arial" w:hAnsi="Arial" w:cs="Arial"/>
              </w:rPr>
            </w:pPr>
            <w:r>
              <w:rPr>
                <w:rFonts w:ascii="Arial" w:hAnsi="Arial" w:cs="Arial"/>
              </w:rPr>
              <w:t>2018-0283</w:t>
            </w:r>
          </w:p>
        </w:tc>
        <w:tc>
          <w:tcPr>
            <w:tcW w:w="1170" w:type="dxa"/>
            <w:tcBorders>
              <w:top w:val="single" w:sz="4" w:space="0" w:color="auto"/>
              <w:left w:val="single" w:sz="4" w:space="0" w:color="auto"/>
              <w:bottom w:val="single" w:sz="4" w:space="0" w:color="auto"/>
              <w:right w:val="single" w:sz="4" w:space="0" w:color="auto"/>
            </w:tcBorders>
            <w:vAlign w:val="center"/>
          </w:tcPr>
          <w:p w14:paraId="19C2EBE0"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5DFACB1" w14:textId="2247A5B1" w:rsidR="00EB5A13" w:rsidRPr="009349D6" w:rsidRDefault="006C20F1" w:rsidP="006C20F1">
            <w:pPr>
              <w:spacing w:before="40" w:after="40"/>
              <w:rPr>
                <w:rFonts w:ascii="Arial" w:hAnsi="Arial" w:cs="Arial"/>
              </w:rPr>
            </w:pPr>
            <w:r>
              <w:rPr>
                <w:rFonts w:ascii="Arial" w:hAnsi="Arial" w:cs="Arial"/>
              </w:rPr>
              <w:t>July 25</w:t>
            </w:r>
            <w:bookmarkStart w:id="0" w:name="_GoBack"/>
            <w:bookmarkEnd w:id="0"/>
            <w:r w:rsidR="007C7456">
              <w:rPr>
                <w:rFonts w:ascii="Arial" w:hAnsi="Arial" w:cs="Arial"/>
              </w:rPr>
              <w:t xml:space="preserve">, </w:t>
            </w:r>
            <w:r w:rsidR="007C7456">
              <w:rPr>
                <w:rFonts w:ascii="Arial" w:hAnsi="Arial" w:cs="Arial"/>
                <w:vertAlign w:val="superscript"/>
              </w:rPr>
              <w:t xml:space="preserve"> </w:t>
            </w:r>
            <w:r w:rsidR="007C7456">
              <w:rPr>
                <w:rFonts w:ascii="Arial" w:hAnsi="Arial" w:cs="Arial"/>
              </w:rPr>
              <w:t>2018</w:t>
            </w:r>
          </w:p>
        </w:tc>
      </w:tr>
    </w:tbl>
    <w:p w14:paraId="447EF423" w14:textId="77777777" w:rsidR="00C37A37" w:rsidRPr="009864F8" w:rsidRDefault="00C37A37" w:rsidP="00C37A37">
      <w:pPr>
        <w:rPr>
          <w:rFonts w:ascii="Arial" w:hAnsi="Arial" w:cs="Arial"/>
          <w:b/>
          <w:smallCaps/>
          <w:szCs w:val="24"/>
          <w:u w:val="single"/>
        </w:rPr>
      </w:pPr>
    </w:p>
    <w:p w14:paraId="5568B6C9" w14:textId="77777777" w:rsidR="004349B7" w:rsidRDefault="004349B7" w:rsidP="00F31CDD">
      <w:pPr>
        <w:rPr>
          <w:rFonts w:ascii="Arial" w:hAnsi="Arial" w:cs="Arial"/>
          <w:b/>
          <w:smallCaps/>
          <w:szCs w:val="24"/>
          <w:u w:val="single"/>
        </w:rPr>
      </w:pPr>
    </w:p>
    <w:p w14:paraId="2D390F38" w14:textId="77777777" w:rsidR="00C75025" w:rsidRPr="0013536B" w:rsidRDefault="00C75025" w:rsidP="005B478C">
      <w:pPr>
        <w:jc w:val="both"/>
        <w:rPr>
          <w:rFonts w:ascii="Arial" w:hAnsi="Arial" w:cs="Arial"/>
          <w:b/>
          <w:szCs w:val="24"/>
          <w:u w:val="single"/>
        </w:rPr>
      </w:pPr>
      <w:r w:rsidRPr="0013536B">
        <w:rPr>
          <w:rFonts w:ascii="Arial" w:hAnsi="Arial" w:cs="Arial"/>
          <w:b/>
          <w:szCs w:val="24"/>
          <w:u w:val="single"/>
        </w:rPr>
        <w:t>SUBJECT</w:t>
      </w:r>
    </w:p>
    <w:p w14:paraId="010994CA" w14:textId="77777777" w:rsidR="00074A56" w:rsidRPr="0013536B" w:rsidRDefault="00074A56" w:rsidP="005B478C">
      <w:pPr>
        <w:jc w:val="both"/>
        <w:rPr>
          <w:rFonts w:ascii="Arial" w:hAnsi="Arial" w:cs="Arial"/>
          <w:szCs w:val="24"/>
        </w:rPr>
      </w:pPr>
    </w:p>
    <w:p w14:paraId="679DBAC2" w14:textId="77777777" w:rsidR="001A0924" w:rsidRPr="00C75025" w:rsidRDefault="007C7456" w:rsidP="001A0924">
      <w:pPr>
        <w:jc w:val="both"/>
        <w:rPr>
          <w:rFonts w:ascii="Arial" w:hAnsi="Arial" w:cs="Arial"/>
          <w:b/>
          <w:u w:val="single"/>
        </w:rPr>
      </w:pPr>
      <w:r>
        <w:rPr>
          <w:rFonts w:ascii="Arial" w:hAnsi="Arial" w:cs="Arial"/>
        </w:rPr>
        <w:t xml:space="preserve">An ordinance authorizing the King County executive to enter into a long-term lease agreement with Kenmore Aero Services, LLC for county-owned land at the King County International Airport. </w:t>
      </w:r>
    </w:p>
    <w:p w14:paraId="29129938" w14:textId="77777777" w:rsidR="00C75025" w:rsidRPr="0013536B" w:rsidRDefault="00C75025" w:rsidP="005B478C">
      <w:pPr>
        <w:jc w:val="both"/>
        <w:rPr>
          <w:rFonts w:ascii="Arial" w:hAnsi="Arial" w:cs="Arial"/>
          <w:b/>
          <w:smallCaps/>
          <w:szCs w:val="24"/>
          <w:u w:val="single"/>
        </w:rPr>
      </w:pPr>
    </w:p>
    <w:p w14:paraId="498CB822" w14:textId="77777777" w:rsidR="00C37A37" w:rsidRPr="0013536B" w:rsidRDefault="007470ED" w:rsidP="005B478C">
      <w:pPr>
        <w:jc w:val="both"/>
        <w:rPr>
          <w:rFonts w:ascii="Arial" w:hAnsi="Arial" w:cs="Arial"/>
          <w:b/>
          <w:smallCaps/>
          <w:szCs w:val="24"/>
          <w:u w:val="single"/>
        </w:rPr>
      </w:pPr>
      <w:r w:rsidRPr="0013536B">
        <w:rPr>
          <w:rFonts w:ascii="Arial" w:hAnsi="Arial" w:cs="Arial"/>
          <w:b/>
          <w:smallCaps/>
          <w:szCs w:val="24"/>
          <w:u w:val="single"/>
        </w:rPr>
        <w:t>SUMMARY</w:t>
      </w:r>
    </w:p>
    <w:p w14:paraId="3680D26F" w14:textId="77777777" w:rsidR="00074A56" w:rsidRPr="0013536B" w:rsidRDefault="00074A56" w:rsidP="005B478C">
      <w:pPr>
        <w:jc w:val="both"/>
        <w:rPr>
          <w:rFonts w:ascii="Arial" w:hAnsi="Arial" w:cs="Arial"/>
          <w:szCs w:val="24"/>
        </w:rPr>
      </w:pPr>
    </w:p>
    <w:p w14:paraId="6809FA51" w14:textId="2C7FDCE8" w:rsidR="0013536B" w:rsidRPr="00171523" w:rsidRDefault="007C7456" w:rsidP="005B478C">
      <w:pPr>
        <w:jc w:val="both"/>
        <w:rPr>
          <w:rFonts w:ascii="Arial" w:hAnsi="Arial" w:cs="Arial"/>
        </w:rPr>
      </w:pPr>
      <w:r>
        <w:rPr>
          <w:rFonts w:ascii="Arial" w:hAnsi="Arial" w:cs="Arial"/>
        </w:rPr>
        <w:t xml:space="preserve">Proposed Ordinance 2018-0283 would approve a 35-year lease with Kenmore Aero Services, LLC. The lease approves the demolition of existing facilities on the property and the construction of approximately </w:t>
      </w:r>
      <w:r w:rsidR="00D70CE6">
        <w:rPr>
          <w:rFonts w:ascii="Arial" w:hAnsi="Arial" w:cs="Arial"/>
        </w:rPr>
        <w:t>44,000</w:t>
      </w:r>
      <w:r>
        <w:rPr>
          <w:rFonts w:ascii="Arial" w:hAnsi="Arial" w:cs="Arial"/>
        </w:rPr>
        <w:t xml:space="preserve"> square feet of Forward Base Operator (FBO) terminal space and hangars on a </w:t>
      </w:r>
      <w:r w:rsidR="00D77C59">
        <w:rPr>
          <w:rFonts w:ascii="Arial" w:hAnsi="Arial" w:cs="Arial"/>
        </w:rPr>
        <w:t>9.54-acre parcel at the King County International Airport</w:t>
      </w:r>
      <w:r w:rsidR="00B21CE4">
        <w:rPr>
          <w:rFonts w:ascii="Arial" w:hAnsi="Arial" w:cs="Arial"/>
        </w:rPr>
        <w:t xml:space="preserve"> (KCIA)</w:t>
      </w:r>
      <w:r w:rsidR="00D77C59">
        <w:rPr>
          <w:rFonts w:ascii="Arial" w:hAnsi="Arial" w:cs="Arial"/>
        </w:rPr>
        <w:t xml:space="preserve">. </w:t>
      </w:r>
      <w:r>
        <w:rPr>
          <w:rFonts w:ascii="Arial" w:hAnsi="Arial" w:cs="Arial"/>
        </w:rPr>
        <w:t xml:space="preserve"> </w:t>
      </w:r>
    </w:p>
    <w:p w14:paraId="61D4ECDC" w14:textId="77777777" w:rsidR="00C75025" w:rsidRDefault="00C75025" w:rsidP="005B478C">
      <w:pPr>
        <w:jc w:val="both"/>
        <w:rPr>
          <w:rFonts w:ascii="Arial" w:hAnsi="Arial" w:cs="Arial"/>
          <w:szCs w:val="24"/>
        </w:rPr>
      </w:pPr>
    </w:p>
    <w:p w14:paraId="408FA24B"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6151E013" w14:textId="77777777" w:rsidR="00074A56" w:rsidRDefault="00074A56" w:rsidP="005B478C">
      <w:pPr>
        <w:jc w:val="both"/>
        <w:rPr>
          <w:rFonts w:ascii="Arial" w:hAnsi="Arial" w:cs="Arial"/>
        </w:rPr>
      </w:pPr>
    </w:p>
    <w:p w14:paraId="1D0E2806" w14:textId="064FDBCA" w:rsidR="007E3D17" w:rsidRDefault="00B21CE4" w:rsidP="001A0924">
      <w:pPr>
        <w:jc w:val="both"/>
        <w:rPr>
          <w:rFonts w:ascii="Arial" w:hAnsi="Arial" w:cs="Arial"/>
        </w:rPr>
      </w:pPr>
      <w:r>
        <w:rPr>
          <w:rFonts w:ascii="Arial" w:hAnsi="Arial" w:cs="Arial"/>
        </w:rPr>
        <w:t>Kenmore Air has been a family-owned local airline since 1946. Kenmore Aero Services (KAS), a separate limited liability company, was initially established by Kenmore Air at the KCIA to guarantee fueling service for the Kenmore Air airline. KAS</w:t>
      </w:r>
      <w:r w:rsidR="006448DD">
        <w:rPr>
          <w:rFonts w:ascii="Arial" w:hAnsi="Arial" w:cs="Arial"/>
        </w:rPr>
        <w:t xml:space="preserve"> has been operating on Boeing Field since May of 2016, </w:t>
      </w:r>
      <w:r w:rsidR="00D903E2">
        <w:rPr>
          <w:rFonts w:ascii="Arial" w:hAnsi="Arial" w:cs="Arial"/>
        </w:rPr>
        <w:t>conducting retail sale of aeronautical products, providing maintenance and repair services, aircraft parking, fueling and flight instruction among others</w:t>
      </w:r>
      <w:r w:rsidR="00344FA6">
        <w:rPr>
          <w:rFonts w:ascii="Arial" w:hAnsi="Arial" w:cs="Arial"/>
        </w:rPr>
        <w:t>,</w:t>
      </w:r>
      <w:r w:rsidR="00D903E2">
        <w:rPr>
          <w:rFonts w:ascii="Arial" w:hAnsi="Arial" w:cs="Arial"/>
        </w:rPr>
        <w:t xml:space="preserve"> </w:t>
      </w:r>
      <w:r w:rsidR="006448DD">
        <w:rPr>
          <w:rFonts w:ascii="Arial" w:hAnsi="Arial" w:cs="Arial"/>
        </w:rPr>
        <w:t>under two agreements: KAS purchased the remaining term of the BFI Holdings LLC lease, which exp</w:t>
      </w:r>
      <w:r w:rsidR="007E3D17">
        <w:rPr>
          <w:rFonts w:ascii="Arial" w:hAnsi="Arial" w:cs="Arial"/>
        </w:rPr>
        <w:t>ired in June 2017</w:t>
      </w:r>
      <w:r w:rsidR="006448DD">
        <w:rPr>
          <w:rFonts w:ascii="Arial" w:hAnsi="Arial" w:cs="Arial"/>
        </w:rPr>
        <w:t>,</w:t>
      </w:r>
      <w:r w:rsidR="00D70CE6">
        <w:rPr>
          <w:rFonts w:ascii="Arial" w:hAnsi="Arial" w:cs="Arial"/>
        </w:rPr>
        <w:t xml:space="preserve"> </w:t>
      </w:r>
      <w:r w:rsidR="00D70CE6" w:rsidRPr="00344FA6">
        <w:rPr>
          <w:rFonts w:ascii="Arial" w:hAnsi="Arial" w:cs="Arial"/>
        </w:rPr>
        <w:t>but has since been extended</w:t>
      </w:r>
      <w:r w:rsidR="00344FA6">
        <w:rPr>
          <w:rFonts w:ascii="Arial" w:hAnsi="Arial" w:cs="Arial"/>
        </w:rPr>
        <w:t xml:space="preserve"> to accommodate the review of the proposed long-term lease agreement</w:t>
      </w:r>
      <w:r w:rsidR="00D70CE6">
        <w:rPr>
          <w:rFonts w:ascii="Arial" w:hAnsi="Arial" w:cs="Arial"/>
        </w:rPr>
        <w:t>,</w:t>
      </w:r>
      <w:r w:rsidR="006448DD">
        <w:rPr>
          <w:rFonts w:ascii="Arial" w:hAnsi="Arial" w:cs="Arial"/>
        </w:rPr>
        <w:t xml:space="preserve"> and a month-to-month r</w:t>
      </w:r>
      <w:r w:rsidR="00344FA6">
        <w:rPr>
          <w:rFonts w:ascii="Arial" w:hAnsi="Arial" w:cs="Arial"/>
        </w:rPr>
        <w:t>ental agreement with the County</w:t>
      </w:r>
      <w:r w:rsidR="008D5184">
        <w:rPr>
          <w:rFonts w:ascii="Arial" w:hAnsi="Arial" w:cs="Arial"/>
        </w:rPr>
        <w:t xml:space="preserve"> covering the property adjacent to the BFI leasehold</w:t>
      </w:r>
      <w:r w:rsidR="00344FA6">
        <w:rPr>
          <w:rFonts w:ascii="Arial" w:hAnsi="Arial" w:cs="Arial"/>
        </w:rPr>
        <w:t>.</w:t>
      </w:r>
      <w:r w:rsidR="00D37BCB">
        <w:rPr>
          <w:rFonts w:ascii="Arial" w:hAnsi="Arial" w:cs="Arial"/>
        </w:rPr>
        <w:t xml:space="preserve"> Both leases </w:t>
      </w:r>
      <w:r w:rsidR="00635864">
        <w:rPr>
          <w:rFonts w:ascii="Arial" w:hAnsi="Arial" w:cs="Arial"/>
        </w:rPr>
        <w:t xml:space="preserve">would </w:t>
      </w:r>
      <w:r w:rsidR="00D37BCB">
        <w:rPr>
          <w:rFonts w:ascii="Arial" w:hAnsi="Arial" w:cs="Arial"/>
        </w:rPr>
        <w:t>terminate upon execution of the proposed lease.</w:t>
      </w:r>
      <w:r w:rsidR="006448DD">
        <w:rPr>
          <w:rFonts w:ascii="Arial" w:hAnsi="Arial" w:cs="Arial"/>
        </w:rPr>
        <w:t xml:space="preserve"> </w:t>
      </w:r>
      <w:r w:rsidR="00344FA6">
        <w:rPr>
          <w:rFonts w:ascii="Arial" w:hAnsi="Arial" w:cs="Arial"/>
        </w:rPr>
        <w:t xml:space="preserve">Through the lease of additional space under the proposed lease agreement, </w:t>
      </w:r>
      <w:r w:rsidR="006448DD">
        <w:rPr>
          <w:rFonts w:ascii="Arial" w:hAnsi="Arial" w:cs="Arial"/>
        </w:rPr>
        <w:t>KAS</w:t>
      </w:r>
      <w:r w:rsidR="00344FA6">
        <w:rPr>
          <w:rFonts w:ascii="Arial" w:hAnsi="Arial" w:cs="Arial"/>
        </w:rPr>
        <w:t xml:space="preserve"> is</w:t>
      </w:r>
      <w:r>
        <w:rPr>
          <w:rFonts w:ascii="Arial" w:hAnsi="Arial" w:cs="Arial"/>
        </w:rPr>
        <w:t xml:space="preserve"> seeking to expand into a full service FBO</w:t>
      </w:r>
      <w:r w:rsidR="00344FA6">
        <w:rPr>
          <w:rFonts w:ascii="Arial" w:hAnsi="Arial" w:cs="Arial"/>
        </w:rPr>
        <w:t xml:space="preserve">. </w:t>
      </w:r>
      <w:r w:rsidR="007E3D17">
        <w:rPr>
          <w:rFonts w:ascii="Arial" w:hAnsi="Arial" w:cs="Arial"/>
        </w:rPr>
        <w:t xml:space="preserve"> </w:t>
      </w:r>
    </w:p>
    <w:p w14:paraId="43222FF8" w14:textId="77777777" w:rsidR="007E3D17" w:rsidRDefault="007E3D17" w:rsidP="001A0924">
      <w:pPr>
        <w:jc w:val="both"/>
        <w:rPr>
          <w:rFonts w:ascii="Arial" w:hAnsi="Arial" w:cs="Arial"/>
        </w:rPr>
      </w:pPr>
    </w:p>
    <w:p w14:paraId="11970301" w14:textId="534537E7" w:rsidR="00AB5026" w:rsidRDefault="007E3D17" w:rsidP="001A0924">
      <w:pPr>
        <w:jc w:val="both"/>
        <w:rPr>
          <w:rFonts w:ascii="Arial" w:hAnsi="Arial" w:cs="Arial"/>
        </w:rPr>
      </w:pPr>
      <w:r>
        <w:rPr>
          <w:rFonts w:ascii="Arial" w:hAnsi="Arial" w:cs="Arial"/>
        </w:rPr>
        <w:t>The property lease for approximately 9.54 acres would combine three contiguous parcels at KCIA, including the creation of a new parcel which was previously unused space. KAS plans to</w:t>
      </w:r>
      <w:r w:rsidR="000A2873">
        <w:rPr>
          <w:rFonts w:ascii="Arial" w:hAnsi="Arial" w:cs="Arial"/>
        </w:rPr>
        <w:t xml:space="preserve"> demolish </w:t>
      </w:r>
      <w:r w:rsidR="00426D63">
        <w:rPr>
          <w:rFonts w:ascii="Arial" w:hAnsi="Arial" w:cs="Arial"/>
        </w:rPr>
        <w:t>three</w:t>
      </w:r>
      <w:r w:rsidR="000A2873" w:rsidRPr="00426D63">
        <w:rPr>
          <w:rFonts w:ascii="Arial" w:hAnsi="Arial" w:cs="Arial"/>
        </w:rPr>
        <w:t xml:space="preserve"> existing</w:t>
      </w:r>
      <w:r w:rsidR="00D903E2" w:rsidRPr="00426D63">
        <w:rPr>
          <w:rFonts w:ascii="Arial" w:hAnsi="Arial" w:cs="Arial"/>
        </w:rPr>
        <w:t xml:space="preserve"> </w:t>
      </w:r>
      <w:r w:rsidR="00426D63">
        <w:rPr>
          <w:rFonts w:ascii="Arial" w:hAnsi="Arial" w:cs="Arial"/>
        </w:rPr>
        <w:t>hangar buildings on the property</w:t>
      </w:r>
      <w:r w:rsidR="000A2873">
        <w:rPr>
          <w:rFonts w:ascii="Arial" w:hAnsi="Arial" w:cs="Arial"/>
        </w:rPr>
        <w:t xml:space="preserve"> </w:t>
      </w:r>
      <w:r w:rsidR="00D70CE6">
        <w:rPr>
          <w:rFonts w:ascii="Arial" w:hAnsi="Arial" w:cs="Arial"/>
        </w:rPr>
        <w:t>and build approximately 44,000 square feet</w:t>
      </w:r>
      <w:r>
        <w:rPr>
          <w:rFonts w:ascii="Arial" w:hAnsi="Arial" w:cs="Arial"/>
        </w:rPr>
        <w:t xml:space="preserve"> </w:t>
      </w:r>
      <w:r w:rsidR="00D70CE6">
        <w:rPr>
          <w:rFonts w:ascii="Arial" w:hAnsi="Arial" w:cs="Arial"/>
        </w:rPr>
        <w:t>of FBO terminal and hangar space.</w:t>
      </w:r>
      <w:r w:rsidR="00D903E2">
        <w:rPr>
          <w:rFonts w:ascii="Arial" w:hAnsi="Arial" w:cs="Arial"/>
        </w:rPr>
        <w:t xml:space="preserve"> Additional improvements to the leased space include upgrades to existing ramps which will </w:t>
      </w:r>
      <w:r w:rsidR="00D903E2">
        <w:rPr>
          <w:rFonts w:ascii="Arial" w:hAnsi="Arial" w:cs="Arial"/>
        </w:rPr>
        <w:lastRenderedPageBreak/>
        <w:t>provide flexibility in storing aircraft of various types and an expansion of boundaries increasing</w:t>
      </w:r>
      <w:r w:rsidR="00D37BCB">
        <w:rPr>
          <w:rFonts w:ascii="Arial" w:hAnsi="Arial" w:cs="Arial"/>
        </w:rPr>
        <w:t xml:space="preserve"> L</w:t>
      </w:r>
      <w:r w:rsidR="00D903E2">
        <w:rPr>
          <w:rFonts w:ascii="Arial" w:hAnsi="Arial" w:cs="Arial"/>
        </w:rPr>
        <w:t>ight G</w:t>
      </w:r>
      <w:r w:rsidR="00D37BCB">
        <w:rPr>
          <w:rFonts w:ascii="Arial" w:hAnsi="Arial" w:cs="Arial"/>
        </w:rPr>
        <w:t xml:space="preserve">eneral </w:t>
      </w:r>
      <w:r w:rsidR="00D903E2">
        <w:rPr>
          <w:rFonts w:ascii="Arial" w:hAnsi="Arial" w:cs="Arial"/>
        </w:rPr>
        <w:t>A</w:t>
      </w:r>
      <w:r w:rsidR="00D37BCB">
        <w:rPr>
          <w:rFonts w:ascii="Arial" w:hAnsi="Arial" w:cs="Arial"/>
        </w:rPr>
        <w:t>viation (LGA)</w:t>
      </w:r>
      <w:r w:rsidR="00D903E2">
        <w:rPr>
          <w:rFonts w:ascii="Arial" w:hAnsi="Arial" w:cs="Arial"/>
        </w:rPr>
        <w:t xml:space="preserve"> aircraft parking. </w:t>
      </w:r>
    </w:p>
    <w:p w14:paraId="695B02E5" w14:textId="77777777" w:rsidR="00344FA6" w:rsidRDefault="00344FA6" w:rsidP="001A0924">
      <w:pPr>
        <w:jc w:val="both"/>
        <w:rPr>
          <w:rFonts w:ascii="Arial" w:hAnsi="Arial" w:cs="Arial"/>
        </w:rPr>
      </w:pPr>
    </w:p>
    <w:p w14:paraId="638AFA9C" w14:textId="68D973C8" w:rsidR="00AB5026" w:rsidRDefault="00AB5026" w:rsidP="001A0924">
      <w:pPr>
        <w:jc w:val="both"/>
        <w:rPr>
          <w:rFonts w:ascii="Arial" w:hAnsi="Arial" w:cs="Arial"/>
        </w:rPr>
      </w:pPr>
      <w:r>
        <w:rPr>
          <w:rFonts w:ascii="Arial" w:hAnsi="Arial" w:cs="Arial"/>
        </w:rPr>
        <w:t>The King County Code</w:t>
      </w:r>
      <w:r w:rsidR="00635864">
        <w:rPr>
          <w:rFonts w:ascii="Arial" w:hAnsi="Arial" w:cs="Arial"/>
        </w:rPr>
        <w:t xml:space="preserve"> (KCC)</w:t>
      </w:r>
      <w:r>
        <w:rPr>
          <w:rFonts w:ascii="Arial" w:hAnsi="Arial" w:cs="Arial"/>
        </w:rPr>
        <w:t xml:space="preserve"> provide</w:t>
      </w:r>
      <w:r w:rsidR="00D37BCB">
        <w:rPr>
          <w:rFonts w:ascii="Arial" w:hAnsi="Arial" w:cs="Arial"/>
        </w:rPr>
        <w:t>s the conditions under which</w:t>
      </w:r>
      <w:r>
        <w:rPr>
          <w:rFonts w:ascii="Arial" w:hAnsi="Arial" w:cs="Arial"/>
        </w:rPr>
        <w:t xml:space="preserve"> county-owned property may be leased. The relevant code provisions are provided below.</w:t>
      </w:r>
    </w:p>
    <w:p w14:paraId="65BD1055" w14:textId="77777777" w:rsidR="00AB5026" w:rsidRDefault="00AB5026" w:rsidP="001A0924">
      <w:pPr>
        <w:jc w:val="both"/>
        <w:rPr>
          <w:rFonts w:ascii="Arial" w:hAnsi="Arial" w:cs="Arial"/>
        </w:rPr>
      </w:pPr>
    </w:p>
    <w:p w14:paraId="621A68D6" w14:textId="3CF67D48" w:rsidR="00AB5026" w:rsidRDefault="00AB5026" w:rsidP="00171523">
      <w:pPr>
        <w:jc w:val="both"/>
        <w:rPr>
          <w:rFonts w:ascii="Arial" w:hAnsi="Arial" w:cs="Arial"/>
          <w:szCs w:val="24"/>
        </w:rPr>
      </w:pPr>
      <w:r w:rsidRPr="006B27B7">
        <w:rPr>
          <w:rFonts w:ascii="Arial" w:hAnsi="Arial" w:cs="Arial"/>
          <w:szCs w:val="24"/>
          <w:u w:val="single"/>
        </w:rPr>
        <w:t>KCC 4.56.010 and KCC 4.56.160</w:t>
      </w:r>
      <w:r>
        <w:rPr>
          <w:rFonts w:ascii="Arial" w:hAnsi="Arial" w:cs="Arial"/>
          <w:szCs w:val="24"/>
        </w:rPr>
        <w:t xml:space="preserve"> require that “fair market rental value,” determ</w:t>
      </w:r>
      <w:r w:rsidR="00D37BCB">
        <w:rPr>
          <w:rFonts w:ascii="Arial" w:hAnsi="Arial" w:cs="Arial"/>
          <w:szCs w:val="24"/>
        </w:rPr>
        <w:t>ined by an appraisal,</w:t>
      </w:r>
      <w:r>
        <w:rPr>
          <w:rFonts w:ascii="Arial" w:hAnsi="Arial" w:cs="Arial"/>
          <w:szCs w:val="24"/>
        </w:rPr>
        <w:t xml:space="preserve"> be the basis for all</w:t>
      </w:r>
      <w:r w:rsidR="00B21CE4">
        <w:rPr>
          <w:rFonts w:ascii="Arial" w:hAnsi="Arial" w:cs="Arial"/>
        </w:rPr>
        <w:t xml:space="preserve"> </w:t>
      </w:r>
      <w:r>
        <w:rPr>
          <w:rFonts w:ascii="Arial" w:hAnsi="Arial" w:cs="Arial"/>
          <w:szCs w:val="24"/>
        </w:rPr>
        <w:t xml:space="preserve">leases of county-owned real property. </w:t>
      </w:r>
    </w:p>
    <w:p w14:paraId="2A34D2AE" w14:textId="77777777" w:rsidR="00AB5026" w:rsidRDefault="00AB5026" w:rsidP="001A0924">
      <w:pPr>
        <w:jc w:val="both"/>
        <w:rPr>
          <w:rFonts w:ascii="Arial" w:hAnsi="Arial" w:cs="Arial"/>
          <w:szCs w:val="24"/>
        </w:rPr>
      </w:pPr>
    </w:p>
    <w:p w14:paraId="47831721" w14:textId="77777777" w:rsidR="00AB5026" w:rsidRPr="00AB5026" w:rsidRDefault="00AB5026" w:rsidP="00AB5026">
      <w:pPr>
        <w:jc w:val="both"/>
        <w:rPr>
          <w:rFonts w:ascii="Arial" w:hAnsi="Arial" w:cs="Arial"/>
          <w:szCs w:val="24"/>
        </w:rPr>
      </w:pPr>
      <w:r w:rsidRPr="00AB5026">
        <w:rPr>
          <w:rFonts w:ascii="Arial" w:hAnsi="Arial" w:cs="Arial"/>
          <w:szCs w:val="24"/>
        </w:rPr>
        <w:t>KCC 4.56.160 also requires that in general, properties available for lease be competitively bid. However, that same section of code does allow for a negotiated lease when it is in the County’s interest. The relevant section of code is quoted below with the reference to the negotiated lease provision underlined (emphasis added).</w:t>
      </w:r>
    </w:p>
    <w:p w14:paraId="0B1B367E" w14:textId="77777777" w:rsidR="00AB5026" w:rsidRPr="00AB5026" w:rsidRDefault="00AB5026" w:rsidP="00AB5026">
      <w:pPr>
        <w:jc w:val="both"/>
        <w:rPr>
          <w:rFonts w:ascii="Arial" w:hAnsi="Arial" w:cs="Arial"/>
          <w:szCs w:val="24"/>
        </w:rPr>
      </w:pPr>
    </w:p>
    <w:p w14:paraId="2E0629A9" w14:textId="2ECCC097" w:rsidR="00AB5026" w:rsidRPr="00AB5026" w:rsidRDefault="00635864" w:rsidP="00635864">
      <w:pPr>
        <w:ind w:left="540" w:right="630"/>
        <w:jc w:val="both"/>
        <w:rPr>
          <w:rFonts w:ascii="Arial" w:hAnsi="Arial" w:cs="Arial"/>
          <w:szCs w:val="24"/>
        </w:rPr>
      </w:pPr>
      <w:r>
        <w:rPr>
          <w:rFonts w:ascii="Arial" w:hAnsi="Arial" w:cs="Arial"/>
          <w:szCs w:val="24"/>
        </w:rPr>
        <w:t>"</w:t>
      </w:r>
      <w:r w:rsidR="00AB5026" w:rsidRPr="00AB5026">
        <w:rPr>
          <w:rFonts w:ascii="Arial" w:hAnsi="Arial" w:cs="Arial"/>
          <w:szCs w:val="24"/>
        </w:rPr>
        <w:t xml:space="preserve">…the manager of the facilities management division shall determine whether the new lease, or renewal of an existing lease, is to be awarded by competitive bidding or by negotiation with interested parties without bidding.  New leases shall be awarded by competitive bidding </w:t>
      </w:r>
      <w:r w:rsidR="00AB5026" w:rsidRPr="00AB5026">
        <w:rPr>
          <w:rFonts w:ascii="Arial" w:hAnsi="Arial" w:cs="Arial"/>
          <w:szCs w:val="24"/>
          <w:u w:val="single"/>
        </w:rPr>
        <w:t>unless the manager of the facilities management division determines it is advantageous to the county to negotiate without bidding.  In the event the county negotiates the award of lease contracts, the facilities management division shall submit to the executive the reasons for recommending award through negotiation rather than competitive bidding.</w:t>
      </w:r>
      <w:r w:rsidR="00AB5026" w:rsidRPr="00AB5026">
        <w:rPr>
          <w:rFonts w:ascii="Arial" w:hAnsi="Arial" w:cs="Arial"/>
          <w:szCs w:val="24"/>
        </w:rPr>
        <w:t xml:space="preserve">  At the option of the executive, competitive bidding may be required. The county shall give notice of its intention to execute a lease by publishing a notice in a legal newspaper at least once a week for the term of two weeks.</w:t>
      </w:r>
      <w:r>
        <w:rPr>
          <w:rFonts w:ascii="Arial" w:hAnsi="Arial" w:cs="Arial"/>
          <w:szCs w:val="24"/>
        </w:rPr>
        <w:t>"</w:t>
      </w:r>
    </w:p>
    <w:p w14:paraId="610A8FF4" w14:textId="77777777" w:rsidR="00171523" w:rsidRDefault="00171523" w:rsidP="007B25E4">
      <w:pPr>
        <w:jc w:val="both"/>
        <w:rPr>
          <w:rFonts w:ascii="Arial" w:hAnsi="Arial" w:cs="Arial"/>
          <w:szCs w:val="24"/>
        </w:rPr>
      </w:pPr>
    </w:p>
    <w:p w14:paraId="4092F5D4" w14:textId="3A38F414" w:rsidR="00171523" w:rsidRDefault="00171523" w:rsidP="007B25E4">
      <w:pPr>
        <w:jc w:val="both"/>
        <w:rPr>
          <w:rFonts w:ascii="Arial" w:hAnsi="Arial" w:cs="Arial"/>
          <w:szCs w:val="24"/>
        </w:rPr>
      </w:pPr>
      <w:r w:rsidRPr="00171523">
        <w:rPr>
          <w:rFonts w:ascii="Arial" w:hAnsi="Arial" w:cs="Arial"/>
          <w:szCs w:val="24"/>
        </w:rPr>
        <w:t>When a lease of county</w:t>
      </w:r>
      <w:r w:rsidR="00D80819">
        <w:rPr>
          <w:rFonts w:ascii="Arial" w:hAnsi="Arial" w:cs="Arial"/>
          <w:szCs w:val="24"/>
        </w:rPr>
        <w:t>-owned</w:t>
      </w:r>
      <w:r w:rsidRPr="00171523">
        <w:rPr>
          <w:rFonts w:ascii="Arial" w:hAnsi="Arial" w:cs="Arial"/>
          <w:szCs w:val="24"/>
        </w:rPr>
        <w:t xml:space="preserve"> property is awarded through </w:t>
      </w:r>
      <w:r w:rsidR="00E47475">
        <w:rPr>
          <w:rFonts w:ascii="Arial" w:hAnsi="Arial" w:cs="Arial"/>
          <w:szCs w:val="24"/>
        </w:rPr>
        <w:t>direct negotiation</w:t>
      </w:r>
      <w:r>
        <w:rPr>
          <w:rFonts w:ascii="Arial" w:hAnsi="Arial" w:cs="Arial"/>
          <w:szCs w:val="24"/>
        </w:rPr>
        <w:t>, KCC 4.56.160 requires consideration</w:t>
      </w:r>
      <w:r w:rsidR="00E47475">
        <w:rPr>
          <w:rFonts w:ascii="Arial" w:hAnsi="Arial" w:cs="Arial"/>
          <w:szCs w:val="24"/>
        </w:rPr>
        <w:t xml:space="preserve"> be given to </w:t>
      </w:r>
      <w:r w:rsidRPr="00171523">
        <w:rPr>
          <w:rFonts w:ascii="Arial" w:hAnsi="Arial" w:cs="Arial"/>
          <w:szCs w:val="24"/>
        </w:rPr>
        <w:t>financial accountability,</w:t>
      </w:r>
      <w:r>
        <w:rPr>
          <w:rFonts w:ascii="Arial" w:hAnsi="Arial" w:cs="Arial"/>
          <w:szCs w:val="24"/>
        </w:rPr>
        <w:t xml:space="preserve"> compliance to previous and current</w:t>
      </w:r>
      <w:r w:rsidR="00D80819">
        <w:rPr>
          <w:rFonts w:ascii="Arial" w:hAnsi="Arial" w:cs="Arial"/>
          <w:szCs w:val="24"/>
        </w:rPr>
        <w:t xml:space="preserve"> leases of county-</w:t>
      </w:r>
      <w:r>
        <w:rPr>
          <w:rFonts w:ascii="Arial" w:hAnsi="Arial" w:cs="Arial"/>
          <w:szCs w:val="24"/>
        </w:rPr>
        <w:t>owned property,</w:t>
      </w:r>
      <w:r w:rsidRPr="00171523">
        <w:rPr>
          <w:rFonts w:ascii="Arial" w:hAnsi="Arial" w:cs="Arial"/>
          <w:szCs w:val="24"/>
        </w:rPr>
        <w:t xml:space="preserve"> environment</w:t>
      </w:r>
      <w:r>
        <w:rPr>
          <w:rFonts w:ascii="Arial" w:hAnsi="Arial" w:cs="Arial"/>
          <w:szCs w:val="24"/>
        </w:rPr>
        <w:t>al and</w:t>
      </w:r>
      <w:r w:rsidRPr="00171523">
        <w:rPr>
          <w:rFonts w:ascii="Arial" w:hAnsi="Arial" w:cs="Arial"/>
          <w:szCs w:val="24"/>
        </w:rPr>
        <w:t xml:space="preserve"> worker safety</w:t>
      </w:r>
      <w:r>
        <w:rPr>
          <w:rFonts w:ascii="Arial" w:hAnsi="Arial" w:cs="Arial"/>
          <w:szCs w:val="24"/>
        </w:rPr>
        <w:t xml:space="preserve"> records and adherence to human trafficking laws. This criteria is commonly referred to as the “Responsibility Ordinance.” </w:t>
      </w:r>
    </w:p>
    <w:p w14:paraId="60EDA686" w14:textId="77777777" w:rsidR="00171523" w:rsidRDefault="00171523" w:rsidP="007B25E4">
      <w:pPr>
        <w:jc w:val="both"/>
        <w:rPr>
          <w:rFonts w:ascii="Arial" w:hAnsi="Arial" w:cs="Arial"/>
          <w:szCs w:val="24"/>
        </w:rPr>
      </w:pPr>
    </w:p>
    <w:p w14:paraId="2CBAD370" w14:textId="77E575A4" w:rsidR="00171523" w:rsidRPr="00171523" w:rsidRDefault="00171523" w:rsidP="007B25E4">
      <w:pPr>
        <w:jc w:val="both"/>
        <w:rPr>
          <w:rFonts w:ascii="Arial" w:hAnsi="Arial" w:cs="Arial"/>
          <w:szCs w:val="24"/>
        </w:rPr>
      </w:pPr>
      <w:r>
        <w:rPr>
          <w:rFonts w:ascii="Arial" w:hAnsi="Arial" w:cs="Arial"/>
          <w:szCs w:val="24"/>
        </w:rPr>
        <w:t>Finally, KCC 4.56.160 requires the county to</w:t>
      </w:r>
      <w:r w:rsidRPr="00171523">
        <w:rPr>
          <w:rFonts w:ascii="Arial" w:hAnsi="Arial" w:cs="Arial"/>
          <w:szCs w:val="24"/>
        </w:rPr>
        <w:t xml:space="preserve"> give notice of its intention to execute a lease by publishing a notice in a legal newspaper at least once a week for the term of two weeks. </w:t>
      </w:r>
    </w:p>
    <w:p w14:paraId="164E2A23" w14:textId="77777777" w:rsidR="00171523" w:rsidRDefault="00171523" w:rsidP="007B25E4">
      <w:pPr>
        <w:jc w:val="both"/>
        <w:rPr>
          <w:rFonts w:ascii="Arial" w:hAnsi="Arial" w:cs="Arial"/>
          <w:szCs w:val="24"/>
          <w:u w:val="single"/>
        </w:rPr>
      </w:pPr>
    </w:p>
    <w:p w14:paraId="34278F74" w14:textId="024F8AF8" w:rsidR="007B25E4" w:rsidRDefault="007B25E4" w:rsidP="007B25E4">
      <w:pPr>
        <w:jc w:val="both"/>
        <w:rPr>
          <w:rFonts w:ascii="Arial" w:hAnsi="Arial" w:cs="Arial"/>
          <w:szCs w:val="24"/>
        </w:rPr>
      </w:pPr>
      <w:r w:rsidRPr="007B25E4">
        <w:rPr>
          <w:rFonts w:ascii="Arial" w:hAnsi="Arial" w:cs="Arial"/>
          <w:szCs w:val="24"/>
          <w:u w:val="single"/>
        </w:rPr>
        <w:t>KCC 4.56.170</w:t>
      </w:r>
      <w:r w:rsidRPr="007B25E4">
        <w:rPr>
          <w:rFonts w:ascii="Arial" w:hAnsi="Arial" w:cs="Arial"/>
          <w:szCs w:val="24"/>
        </w:rPr>
        <w:t xml:space="preserve"> requires the lessee to make a</w:t>
      </w:r>
      <w:r w:rsidR="00171523">
        <w:rPr>
          <w:rFonts w:ascii="Arial" w:hAnsi="Arial" w:cs="Arial"/>
          <w:szCs w:val="24"/>
        </w:rPr>
        <w:t>n appropriate</w:t>
      </w:r>
      <w:r w:rsidRPr="007B25E4">
        <w:rPr>
          <w:rFonts w:ascii="Arial" w:hAnsi="Arial" w:cs="Arial"/>
          <w:szCs w:val="24"/>
        </w:rPr>
        <w:t xml:space="preserve"> deposit. </w:t>
      </w:r>
    </w:p>
    <w:p w14:paraId="6CB712BB" w14:textId="77777777" w:rsidR="007B25E4" w:rsidRDefault="007B25E4" w:rsidP="007B25E4">
      <w:pPr>
        <w:jc w:val="both"/>
        <w:rPr>
          <w:rFonts w:ascii="Arial" w:hAnsi="Arial" w:cs="Arial"/>
          <w:szCs w:val="24"/>
        </w:rPr>
      </w:pPr>
    </w:p>
    <w:p w14:paraId="4656759C" w14:textId="07371002" w:rsidR="007B25E4" w:rsidRDefault="007B25E4" w:rsidP="001A0924">
      <w:pPr>
        <w:jc w:val="both"/>
        <w:rPr>
          <w:rFonts w:ascii="Arial" w:hAnsi="Arial" w:cs="Arial"/>
          <w:szCs w:val="24"/>
        </w:rPr>
      </w:pPr>
      <w:r w:rsidRPr="007B25E4">
        <w:rPr>
          <w:rFonts w:ascii="Arial" w:hAnsi="Arial" w:cs="Arial"/>
          <w:szCs w:val="24"/>
          <w:u w:val="single"/>
        </w:rPr>
        <w:t>KCC 4.56.180</w:t>
      </w:r>
      <w:r w:rsidR="00D80819">
        <w:rPr>
          <w:rFonts w:ascii="Arial" w:hAnsi="Arial" w:cs="Arial"/>
          <w:szCs w:val="24"/>
        </w:rPr>
        <w:t xml:space="preserve"> allows the c</w:t>
      </w:r>
      <w:r w:rsidRPr="007B25E4">
        <w:rPr>
          <w:rFonts w:ascii="Arial" w:hAnsi="Arial" w:cs="Arial"/>
          <w:szCs w:val="24"/>
        </w:rPr>
        <w:t xml:space="preserve">ounty to lease property for a term of 35 years if the </w:t>
      </w:r>
      <w:r w:rsidR="00527FDC">
        <w:rPr>
          <w:rFonts w:ascii="Arial" w:hAnsi="Arial" w:cs="Arial"/>
          <w:szCs w:val="24"/>
        </w:rPr>
        <w:t>leasehold is to be</w:t>
      </w:r>
      <w:r w:rsidRPr="007B25E4">
        <w:rPr>
          <w:rFonts w:ascii="Arial" w:hAnsi="Arial" w:cs="Arial"/>
          <w:szCs w:val="24"/>
        </w:rPr>
        <w:t xml:space="preserve"> </w:t>
      </w:r>
      <w:r w:rsidR="00527FDC">
        <w:rPr>
          <w:rFonts w:ascii="Arial" w:hAnsi="Arial" w:cs="Arial"/>
          <w:szCs w:val="24"/>
        </w:rPr>
        <w:t>improved or has been improved at a value</w:t>
      </w:r>
      <w:r w:rsidRPr="007B25E4">
        <w:rPr>
          <w:rFonts w:ascii="Arial" w:hAnsi="Arial" w:cs="Arial"/>
          <w:szCs w:val="24"/>
        </w:rPr>
        <w:t xml:space="preserve"> at least equal to the value of the property. </w:t>
      </w:r>
    </w:p>
    <w:p w14:paraId="6AC9D671" w14:textId="77777777" w:rsidR="00171523" w:rsidRDefault="00171523" w:rsidP="005B478C">
      <w:pPr>
        <w:jc w:val="both"/>
        <w:rPr>
          <w:rFonts w:ascii="Arial" w:hAnsi="Arial" w:cs="Arial"/>
        </w:rPr>
      </w:pPr>
    </w:p>
    <w:p w14:paraId="33F701EE"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17C08FDA" w14:textId="77777777" w:rsidR="0019590C" w:rsidRDefault="0019590C" w:rsidP="005B478C">
      <w:pPr>
        <w:jc w:val="both"/>
        <w:rPr>
          <w:rFonts w:ascii="Arial" w:hAnsi="Arial" w:cs="Arial"/>
        </w:rPr>
      </w:pPr>
    </w:p>
    <w:p w14:paraId="2F865142" w14:textId="2A2EB945" w:rsidR="00171523" w:rsidRDefault="00171523" w:rsidP="00635864">
      <w:pPr>
        <w:pStyle w:val="BodyText"/>
        <w:jc w:val="both"/>
        <w:rPr>
          <w:rFonts w:ascii="Arial" w:hAnsi="Arial" w:cs="Arial"/>
          <w:i w:val="0"/>
          <w:szCs w:val="24"/>
        </w:rPr>
      </w:pPr>
      <w:r w:rsidRPr="00171523">
        <w:rPr>
          <w:rFonts w:ascii="Arial" w:hAnsi="Arial" w:cs="Arial"/>
          <w:i w:val="0"/>
          <w:szCs w:val="24"/>
        </w:rPr>
        <w:t>The analysis will first identify the relevant</w:t>
      </w:r>
      <w:r>
        <w:rPr>
          <w:rFonts w:ascii="Arial" w:hAnsi="Arial" w:cs="Arial"/>
          <w:i w:val="0"/>
          <w:szCs w:val="24"/>
        </w:rPr>
        <w:t xml:space="preserve"> provisions of King County code for long-term lease agreements</w:t>
      </w:r>
      <w:r w:rsidRPr="00171523">
        <w:rPr>
          <w:rFonts w:ascii="Arial" w:hAnsi="Arial" w:cs="Arial"/>
          <w:i w:val="0"/>
          <w:szCs w:val="24"/>
        </w:rPr>
        <w:t xml:space="preserve"> </w:t>
      </w:r>
      <w:r>
        <w:rPr>
          <w:rFonts w:ascii="Arial" w:hAnsi="Arial" w:cs="Arial"/>
          <w:i w:val="0"/>
          <w:szCs w:val="24"/>
        </w:rPr>
        <w:t>and</w:t>
      </w:r>
      <w:r w:rsidRPr="00171523">
        <w:rPr>
          <w:rFonts w:ascii="Arial" w:hAnsi="Arial" w:cs="Arial"/>
          <w:i w:val="0"/>
          <w:szCs w:val="24"/>
        </w:rPr>
        <w:t xml:space="preserve"> compare them to</w:t>
      </w:r>
      <w:r>
        <w:rPr>
          <w:rFonts w:ascii="Arial" w:hAnsi="Arial" w:cs="Arial"/>
          <w:i w:val="0"/>
          <w:szCs w:val="24"/>
        </w:rPr>
        <w:t xml:space="preserve"> the</w:t>
      </w:r>
      <w:r w:rsidRPr="00171523">
        <w:rPr>
          <w:rFonts w:ascii="Arial" w:hAnsi="Arial" w:cs="Arial"/>
          <w:i w:val="0"/>
          <w:szCs w:val="24"/>
        </w:rPr>
        <w:t xml:space="preserve"> key provisions of the </w:t>
      </w:r>
      <w:r>
        <w:rPr>
          <w:rFonts w:ascii="Arial" w:hAnsi="Arial" w:cs="Arial"/>
          <w:i w:val="0"/>
          <w:szCs w:val="24"/>
        </w:rPr>
        <w:t xml:space="preserve">proposed </w:t>
      </w:r>
      <w:r w:rsidRPr="00171523">
        <w:rPr>
          <w:rFonts w:ascii="Arial" w:hAnsi="Arial" w:cs="Arial"/>
          <w:i w:val="0"/>
          <w:szCs w:val="24"/>
        </w:rPr>
        <w:t>lease agreement</w:t>
      </w:r>
      <w:r>
        <w:rPr>
          <w:rFonts w:ascii="Arial" w:hAnsi="Arial" w:cs="Arial"/>
          <w:i w:val="0"/>
          <w:szCs w:val="24"/>
        </w:rPr>
        <w:t xml:space="preserve">. Secondly, the analysis will evaluate </w:t>
      </w:r>
      <w:r w:rsidRPr="00171523">
        <w:rPr>
          <w:rFonts w:ascii="Arial" w:hAnsi="Arial" w:cs="Arial"/>
          <w:i w:val="0"/>
          <w:szCs w:val="24"/>
        </w:rPr>
        <w:t>whether or not it is</w:t>
      </w:r>
      <w:r w:rsidR="00D80819">
        <w:rPr>
          <w:rFonts w:ascii="Arial" w:hAnsi="Arial" w:cs="Arial"/>
          <w:i w:val="0"/>
          <w:szCs w:val="24"/>
        </w:rPr>
        <w:t xml:space="preserve"> in the c</w:t>
      </w:r>
      <w:r w:rsidRPr="00171523">
        <w:rPr>
          <w:rFonts w:ascii="Arial" w:hAnsi="Arial" w:cs="Arial"/>
          <w:i w:val="0"/>
          <w:szCs w:val="24"/>
        </w:rPr>
        <w:t>ounty’s interest to negotiate the lease rather than having a public bidding process.</w:t>
      </w:r>
    </w:p>
    <w:p w14:paraId="554AEF69" w14:textId="77777777" w:rsidR="00171523" w:rsidRDefault="00171523" w:rsidP="005B478C">
      <w:pPr>
        <w:pStyle w:val="BodyText"/>
        <w:jc w:val="both"/>
        <w:rPr>
          <w:rFonts w:ascii="Arial" w:hAnsi="Arial" w:cs="Arial"/>
          <w:i w:val="0"/>
          <w:szCs w:val="24"/>
        </w:rPr>
      </w:pPr>
    </w:p>
    <w:p w14:paraId="32C6C855" w14:textId="5D53311E" w:rsidR="00171523" w:rsidRDefault="00171523" w:rsidP="005B478C">
      <w:pPr>
        <w:pStyle w:val="BodyText"/>
        <w:jc w:val="both"/>
        <w:rPr>
          <w:rFonts w:ascii="Arial" w:hAnsi="Arial" w:cs="Arial"/>
          <w:i w:val="0"/>
          <w:szCs w:val="24"/>
        </w:rPr>
      </w:pPr>
      <w:r w:rsidRPr="00171523">
        <w:rPr>
          <w:rFonts w:ascii="Arial" w:hAnsi="Arial" w:cs="Arial"/>
          <w:i w:val="0"/>
          <w:szCs w:val="24"/>
          <w:u w:val="single"/>
        </w:rPr>
        <w:t>KCC 4.56.010 and KCC 4.56.160</w:t>
      </w:r>
    </w:p>
    <w:p w14:paraId="36CF7652" w14:textId="77777777" w:rsidR="00171523" w:rsidRDefault="00171523" w:rsidP="005B478C">
      <w:pPr>
        <w:pStyle w:val="BodyText"/>
        <w:jc w:val="both"/>
        <w:rPr>
          <w:rFonts w:ascii="Arial" w:hAnsi="Arial" w:cs="Arial"/>
          <w:i w:val="0"/>
          <w:szCs w:val="24"/>
        </w:rPr>
      </w:pPr>
    </w:p>
    <w:p w14:paraId="3DA60043" w14:textId="06E975B4" w:rsidR="00171523" w:rsidRDefault="00171523" w:rsidP="00171523">
      <w:pPr>
        <w:jc w:val="both"/>
        <w:rPr>
          <w:rFonts w:ascii="Arial" w:hAnsi="Arial" w:cs="Arial"/>
          <w:szCs w:val="24"/>
        </w:rPr>
      </w:pPr>
      <w:r w:rsidRPr="00171523">
        <w:rPr>
          <w:rFonts w:ascii="Arial" w:hAnsi="Arial" w:cs="Arial"/>
          <w:i/>
          <w:szCs w:val="24"/>
        </w:rPr>
        <w:t>Fair Market Rental Value</w:t>
      </w:r>
      <w:r>
        <w:rPr>
          <w:rFonts w:ascii="Arial" w:hAnsi="Arial" w:cs="Arial"/>
          <w:szCs w:val="24"/>
        </w:rPr>
        <w:t xml:space="preserve">: An independent appraisal conducted on March 8, 2017 determined the fair market rental value for the combined leasehold at $2.05 per square foot per year. The proposed lease rental rate of $3.00 per square foot for the Northern and Central Portion of the property and $0.75 per square foot for the Southern Portion is in-line or exceeds the rental value assigned to the property by the independent appraisal. Table 1 below provides a breakdown of the appraiser’s valuation of the three contiguous parcels under the proposed lease agreement. </w:t>
      </w:r>
    </w:p>
    <w:p w14:paraId="2464D68B" w14:textId="77777777" w:rsidR="00171523" w:rsidRDefault="00171523" w:rsidP="00171523">
      <w:pPr>
        <w:jc w:val="both"/>
        <w:rPr>
          <w:rFonts w:ascii="Arial" w:hAnsi="Arial" w:cs="Arial"/>
          <w:szCs w:val="24"/>
        </w:rPr>
      </w:pPr>
    </w:p>
    <w:p w14:paraId="4B8761EB" w14:textId="77777777" w:rsidR="00171523" w:rsidRPr="001955D9" w:rsidRDefault="00171523" w:rsidP="00171523">
      <w:pPr>
        <w:jc w:val="center"/>
        <w:rPr>
          <w:rFonts w:ascii="Arial" w:hAnsi="Arial" w:cs="Arial"/>
          <w:b/>
          <w:szCs w:val="24"/>
        </w:rPr>
      </w:pPr>
      <w:r w:rsidRPr="001955D9">
        <w:rPr>
          <w:rFonts w:ascii="Arial" w:hAnsi="Arial" w:cs="Arial"/>
          <w:b/>
          <w:szCs w:val="24"/>
        </w:rPr>
        <w:t>Table 1 – Property Appraisal</w:t>
      </w:r>
      <w:r>
        <w:rPr>
          <w:rFonts w:ascii="Arial" w:hAnsi="Arial" w:cs="Arial"/>
          <w:b/>
          <w:szCs w:val="24"/>
        </w:rPr>
        <w:t xml:space="preserve"> Summary Report</w:t>
      </w:r>
    </w:p>
    <w:tbl>
      <w:tblPr>
        <w:tblStyle w:val="TableGrid"/>
        <w:tblW w:w="0" w:type="auto"/>
        <w:tblLook w:val="04A0" w:firstRow="1" w:lastRow="0" w:firstColumn="1" w:lastColumn="0" w:noHBand="0" w:noVBand="1"/>
      </w:tblPr>
      <w:tblGrid>
        <w:gridCol w:w="2988"/>
        <w:gridCol w:w="1080"/>
        <w:gridCol w:w="1599"/>
        <w:gridCol w:w="1551"/>
        <w:gridCol w:w="1530"/>
        <w:gridCol w:w="828"/>
      </w:tblGrid>
      <w:tr w:rsidR="00171523" w14:paraId="05FA9606" w14:textId="77777777" w:rsidTr="004617B1">
        <w:trPr>
          <w:trHeight w:val="413"/>
        </w:trPr>
        <w:tc>
          <w:tcPr>
            <w:tcW w:w="2988" w:type="dxa"/>
            <w:vMerge w:val="restart"/>
            <w:tcBorders>
              <w:top w:val="single" w:sz="12" w:space="0" w:color="auto"/>
              <w:left w:val="single" w:sz="12" w:space="0" w:color="auto"/>
              <w:right w:val="single" w:sz="12" w:space="0" w:color="auto"/>
            </w:tcBorders>
            <w:vAlign w:val="bottom"/>
          </w:tcPr>
          <w:p w14:paraId="23C462E4" w14:textId="77777777" w:rsidR="00171523" w:rsidRDefault="00171523" w:rsidP="004617B1">
            <w:pPr>
              <w:rPr>
                <w:rFonts w:ascii="Arial" w:hAnsi="Arial" w:cs="Arial"/>
                <w:szCs w:val="24"/>
              </w:rPr>
            </w:pPr>
            <w:r>
              <w:rPr>
                <w:rFonts w:ascii="Arial" w:hAnsi="Arial" w:cs="Arial"/>
                <w:szCs w:val="24"/>
              </w:rPr>
              <w:t>Conclusion – Base Value</w:t>
            </w:r>
          </w:p>
        </w:tc>
        <w:tc>
          <w:tcPr>
            <w:tcW w:w="1080" w:type="dxa"/>
            <w:tcBorders>
              <w:top w:val="single" w:sz="12" w:space="0" w:color="auto"/>
              <w:left w:val="single" w:sz="12" w:space="0" w:color="auto"/>
              <w:bottom w:val="single" w:sz="12" w:space="0" w:color="auto"/>
              <w:right w:val="single" w:sz="12" w:space="0" w:color="auto"/>
            </w:tcBorders>
            <w:vAlign w:val="bottom"/>
          </w:tcPr>
          <w:p w14:paraId="40129B98" w14:textId="77777777" w:rsidR="00171523" w:rsidRDefault="00171523" w:rsidP="004617B1">
            <w:pPr>
              <w:jc w:val="center"/>
              <w:rPr>
                <w:rFonts w:ascii="Arial" w:hAnsi="Arial" w:cs="Arial"/>
                <w:szCs w:val="24"/>
              </w:rPr>
            </w:pPr>
            <w:r>
              <w:rPr>
                <w:rFonts w:ascii="Arial" w:hAnsi="Arial" w:cs="Arial"/>
                <w:szCs w:val="24"/>
              </w:rPr>
              <w:t>$/sf</w:t>
            </w:r>
          </w:p>
        </w:tc>
        <w:tc>
          <w:tcPr>
            <w:tcW w:w="1599" w:type="dxa"/>
            <w:vMerge w:val="restart"/>
            <w:tcBorders>
              <w:top w:val="single" w:sz="12" w:space="0" w:color="auto"/>
              <w:left w:val="single" w:sz="12" w:space="0" w:color="auto"/>
            </w:tcBorders>
            <w:vAlign w:val="bottom"/>
          </w:tcPr>
          <w:p w14:paraId="24E7FD19" w14:textId="77777777" w:rsidR="00171523" w:rsidRDefault="00171523" w:rsidP="004617B1">
            <w:pPr>
              <w:jc w:val="center"/>
              <w:rPr>
                <w:rFonts w:ascii="Arial" w:hAnsi="Arial" w:cs="Arial"/>
                <w:szCs w:val="24"/>
              </w:rPr>
            </w:pPr>
            <w:r>
              <w:rPr>
                <w:rFonts w:ascii="Arial" w:hAnsi="Arial" w:cs="Arial"/>
                <w:szCs w:val="24"/>
              </w:rPr>
              <w:t>sf applied to</w:t>
            </w:r>
          </w:p>
        </w:tc>
        <w:tc>
          <w:tcPr>
            <w:tcW w:w="1551" w:type="dxa"/>
            <w:vMerge w:val="restart"/>
            <w:tcBorders>
              <w:top w:val="single" w:sz="12" w:space="0" w:color="auto"/>
              <w:right w:val="single" w:sz="12" w:space="0" w:color="auto"/>
            </w:tcBorders>
            <w:vAlign w:val="bottom"/>
          </w:tcPr>
          <w:p w14:paraId="72E56A9E" w14:textId="77777777" w:rsidR="00171523" w:rsidRDefault="00171523" w:rsidP="004617B1">
            <w:pPr>
              <w:jc w:val="center"/>
              <w:rPr>
                <w:rFonts w:ascii="Arial" w:hAnsi="Arial" w:cs="Arial"/>
                <w:szCs w:val="24"/>
              </w:rPr>
            </w:pPr>
            <w:r>
              <w:rPr>
                <w:rFonts w:ascii="Arial" w:hAnsi="Arial" w:cs="Arial"/>
                <w:szCs w:val="24"/>
              </w:rPr>
              <w:t>Land Value</w:t>
            </w:r>
          </w:p>
        </w:tc>
        <w:tc>
          <w:tcPr>
            <w:tcW w:w="1530" w:type="dxa"/>
            <w:tcBorders>
              <w:top w:val="single" w:sz="12" w:space="0" w:color="auto"/>
              <w:left w:val="single" w:sz="12" w:space="0" w:color="auto"/>
              <w:bottom w:val="single" w:sz="12" w:space="0" w:color="auto"/>
              <w:right w:val="single" w:sz="12" w:space="0" w:color="auto"/>
            </w:tcBorders>
            <w:vAlign w:val="bottom"/>
          </w:tcPr>
          <w:p w14:paraId="663814A0" w14:textId="77777777" w:rsidR="00171523" w:rsidRDefault="00171523" w:rsidP="004617B1">
            <w:pPr>
              <w:jc w:val="center"/>
              <w:rPr>
                <w:rFonts w:ascii="Arial" w:hAnsi="Arial" w:cs="Arial"/>
                <w:szCs w:val="24"/>
              </w:rPr>
            </w:pPr>
            <w:r>
              <w:rPr>
                <w:rFonts w:ascii="Arial" w:hAnsi="Arial" w:cs="Arial"/>
                <w:szCs w:val="24"/>
              </w:rPr>
              <w:t>7.50%</w:t>
            </w:r>
          </w:p>
        </w:tc>
        <w:tc>
          <w:tcPr>
            <w:tcW w:w="828" w:type="dxa"/>
            <w:vMerge w:val="restart"/>
            <w:tcBorders>
              <w:top w:val="single" w:sz="12" w:space="0" w:color="auto"/>
              <w:left w:val="single" w:sz="12" w:space="0" w:color="auto"/>
              <w:right w:val="single" w:sz="12" w:space="0" w:color="auto"/>
            </w:tcBorders>
            <w:vAlign w:val="bottom"/>
          </w:tcPr>
          <w:p w14:paraId="107C2741" w14:textId="77777777" w:rsidR="00171523" w:rsidRDefault="00171523" w:rsidP="004617B1">
            <w:pPr>
              <w:jc w:val="center"/>
              <w:rPr>
                <w:rFonts w:ascii="Arial" w:hAnsi="Arial" w:cs="Arial"/>
                <w:szCs w:val="24"/>
              </w:rPr>
            </w:pPr>
            <w:r>
              <w:rPr>
                <w:rFonts w:ascii="Arial" w:hAnsi="Arial" w:cs="Arial"/>
                <w:szCs w:val="24"/>
              </w:rPr>
              <w:t>$/sf</w:t>
            </w:r>
          </w:p>
        </w:tc>
      </w:tr>
      <w:tr w:rsidR="00171523" w14:paraId="04C41141" w14:textId="77777777" w:rsidTr="004617B1">
        <w:trPr>
          <w:trHeight w:val="412"/>
        </w:trPr>
        <w:tc>
          <w:tcPr>
            <w:tcW w:w="2988" w:type="dxa"/>
            <w:vMerge/>
            <w:tcBorders>
              <w:left w:val="single" w:sz="12" w:space="0" w:color="auto"/>
              <w:right w:val="single" w:sz="12" w:space="0" w:color="auto"/>
            </w:tcBorders>
            <w:vAlign w:val="center"/>
          </w:tcPr>
          <w:p w14:paraId="795A1A80" w14:textId="77777777" w:rsidR="00171523" w:rsidRDefault="00171523" w:rsidP="004617B1">
            <w:pPr>
              <w:rPr>
                <w:rFonts w:ascii="Arial" w:hAnsi="Arial" w:cs="Arial"/>
                <w:szCs w:val="24"/>
              </w:rPr>
            </w:pPr>
          </w:p>
        </w:tc>
        <w:tc>
          <w:tcPr>
            <w:tcW w:w="1080" w:type="dxa"/>
            <w:tcBorders>
              <w:top w:val="single" w:sz="12" w:space="0" w:color="auto"/>
              <w:left w:val="single" w:sz="12" w:space="0" w:color="auto"/>
              <w:bottom w:val="single" w:sz="12" w:space="0" w:color="auto"/>
              <w:right w:val="single" w:sz="12" w:space="0" w:color="auto"/>
            </w:tcBorders>
            <w:vAlign w:val="bottom"/>
          </w:tcPr>
          <w:p w14:paraId="10B794CB" w14:textId="77777777" w:rsidR="00171523" w:rsidRDefault="00171523" w:rsidP="004617B1">
            <w:pPr>
              <w:jc w:val="right"/>
              <w:rPr>
                <w:rFonts w:ascii="Arial" w:hAnsi="Arial" w:cs="Arial"/>
                <w:szCs w:val="24"/>
              </w:rPr>
            </w:pPr>
            <w:r>
              <w:rPr>
                <w:rFonts w:ascii="Arial" w:hAnsi="Arial" w:cs="Arial"/>
                <w:szCs w:val="24"/>
              </w:rPr>
              <w:t>$45.00</w:t>
            </w:r>
          </w:p>
        </w:tc>
        <w:tc>
          <w:tcPr>
            <w:tcW w:w="1599" w:type="dxa"/>
            <w:vMerge/>
            <w:tcBorders>
              <w:left w:val="single" w:sz="12" w:space="0" w:color="auto"/>
            </w:tcBorders>
          </w:tcPr>
          <w:p w14:paraId="6DD3DF9F" w14:textId="77777777" w:rsidR="00171523" w:rsidRDefault="00171523" w:rsidP="004617B1">
            <w:pPr>
              <w:jc w:val="center"/>
              <w:rPr>
                <w:rFonts w:ascii="Arial" w:hAnsi="Arial" w:cs="Arial"/>
                <w:szCs w:val="24"/>
              </w:rPr>
            </w:pPr>
          </w:p>
        </w:tc>
        <w:tc>
          <w:tcPr>
            <w:tcW w:w="1551" w:type="dxa"/>
            <w:vMerge/>
            <w:tcBorders>
              <w:right w:val="single" w:sz="12" w:space="0" w:color="auto"/>
            </w:tcBorders>
          </w:tcPr>
          <w:p w14:paraId="7436D995" w14:textId="77777777" w:rsidR="00171523" w:rsidRDefault="00171523" w:rsidP="004617B1">
            <w:pPr>
              <w:jc w:val="center"/>
              <w:rPr>
                <w:rFonts w:ascii="Arial" w:hAnsi="Arial" w:cs="Arial"/>
                <w:szCs w:val="24"/>
              </w:rPr>
            </w:pPr>
          </w:p>
        </w:tc>
        <w:tc>
          <w:tcPr>
            <w:tcW w:w="1530" w:type="dxa"/>
            <w:tcBorders>
              <w:top w:val="single" w:sz="12" w:space="0" w:color="auto"/>
              <w:left w:val="single" w:sz="12" w:space="0" w:color="auto"/>
              <w:bottom w:val="single" w:sz="12" w:space="0" w:color="auto"/>
              <w:right w:val="single" w:sz="12" w:space="0" w:color="auto"/>
            </w:tcBorders>
            <w:vAlign w:val="bottom"/>
          </w:tcPr>
          <w:p w14:paraId="77462F06" w14:textId="77777777" w:rsidR="00171523" w:rsidRDefault="00171523" w:rsidP="004617B1">
            <w:pPr>
              <w:jc w:val="center"/>
              <w:rPr>
                <w:rFonts w:ascii="Arial" w:hAnsi="Arial" w:cs="Arial"/>
                <w:szCs w:val="24"/>
              </w:rPr>
            </w:pPr>
            <w:r>
              <w:rPr>
                <w:rFonts w:ascii="Arial" w:hAnsi="Arial" w:cs="Arial"/>
                <w:szCs w:val="24"/>
              </w:rPr>
              <w:t>Market Rent</w:t>
            </w:r>
          </w:p>
        </w:tc>
        <w:tc>
          <w:tcPr>
            <w:tcW w:w="828" w:type="dxa"/>
            <w:vMerge/>
            <w:tcBorders>
              <w:left w:val="single" w:sz="12" w:space="0" w:color="auto"/>
              <w:right w:val="single" w:sz="12" w:space="0" w:color="auto"/>
            </w:tcBorders>
          </w:tcPr>
          <w:p w14:paraId="5A86E9CC" w14:textId="77777777" w:rsidR="00171523" w:rsidRDefault="00171523" w:rsidP="004617B1">
            <w:pPr>
              <w:jc w:val="center"/>
              <w:rPr>
                <w:rFonts w:ascii="Arial" w:hAnsi="Arial" w:cs="Arial"/>
                <w:szCs w:val="24"/>
              </w:rPr>
            </w:pPr>
          </w:p>
        </w:tc>
      </w:tr>
      <w:tr w:rsidR="00171523" w14:paraId="59EC699A" w14:textId="77777777" w:rsidTr="004617B1">
        <w:tc>
          <w:tcPr>
            <w:tcW w:w="2988" w:type="dxa"/>
            <w:tcBorders>
              <w:left w:val="single" w:sz="12" w:space="0" w:color="auto"/>
            </w:tcBorders>
            <w:vAlign w:val="center"/>
          </w:tcPr>
          <w:p w14:paraId="70D68B6E" w14:textId="77777777" w:rsidR="00171523" w:rsidRDefault="00171523" w:rsidP="004617B1">
            <w:pPr>
              <w:rPr>
                <w:rFonts w:ascii="Arial" w:hAnsi="Arial" w:cs="Arial"/>
                <w:szCs w:val="24"/>
              </w:rPr>
            </w:pPr>
            <w:r>
              <w:rPr>
                <w:rFonts w:ascii="Arial" w:hAnsi="Arial" w:cs="Arial"/>
                <w:szCs w:val="24"/>
              </w:rPr>
              <w:t>Northern Portion</w:t>
            </w:r>
          </w:p>
        </w:tc>
        <w:tc>
          <w:tcPr>
            <w:tcW w:w="1080" w:type="dxa"/>
            <w:tcBorders>
              <w:top w:val="single" w:sz="12" w:space="0" w:color="auto"/>
            </w:tcBorders>
            <w:vAlign w:val="bottom"/>
          </w:tcPr>
          <w:p w14:paraId="71AFEA3A" w14:textId="77777777" w:rsidR="00171523" w:rsidRDefault="00171523" w:rsidP="004617B1">
            <w:pPr>
              <w:jc w:val="right"/>
              <w:rPr>
                <w:rFonts w:ascii="Arial" w:hAnsi="Arial" w:cs="Arial"/>
                <w:szCs w:val="24"/>
              </w:rPr>
            </w:pPr>
            <w:r>
              <w:rPr>
                <w:rFonts w:ascii="Arial" w:hAnsi="Arial" w:cs="Arial"/>
                <w:szCs w:val="24"/>
              </w:rPr>
              <w:t>$40.00</w:t>
            </w:r>
          </w:p>
        </w:tc>
        <w:tc>
          <w:tcPr>
            <w:tcW w:w="1599" w:type="dxa"/>
            <w:vAlign w:val="bottom"/>
          </w:tcPr>
          <w:p w14:paraId="04B9A93C" w14:textId="77777777" w:rsidR="00171523" w:rsidRDefault="00171523" w:rsidP="004617B1">
            <w:pPr>
              <w:jc w:val="right"/>
              <w:rPr>
                <w:rFonts w:ascii="Arial" w:hAnsi="Arial" w:cs="Arial"/>
                <w:szCs w:val="24"/>
              </w:rPr>
            </w:pPr>
            <w:r>
              <w:rPr>
                <w:rFonts w:ascii="Arial" w:hAnsi="Arial" w:cs="Arial"/>
                <w:szCs w:val="24"/>
              </w:rPr>
              <w:t>170,499</w:t>
            </w:r>
          </w:p>
        </w:tc>
        <w:tc>
          <w:tcPr>
            <w:tcW w:w="1551" w:type="dxa"/>
            <w:vAlign w:val="bottom"/>
          </w:tcPr>
          <w:p w14:paraId="619E2781" w14:textId="77777777" w:rsidR="00171523" w:rsidRDefault="00171523" w:rsidP="004617B1">
            <w:pPr>
              <w:jc w:val="center"/>
              <w:rPr>
                <w:rFonts w:ascii="Arial" w:hAnsi="Arial" w:cs="Arial"/>
                <w:szCs w:val="24"/>
              </w:rPr>
            </w:pPr>
            <w:r>
              <w:rPr>
                <w:rFonts w:ascii="Arial" w:hAnsi="Arial" w:cs="Arial"/>
                <w:szCs w:val="24"/>
              </w:rPr>
              <w:t>$6,819,960</w:t>
            </w:r>
          </w:p>
        </w:tc>
        <w:tc>
          <w:tcPr>
            <w:tcW w:w="1530" w:type="dxa"/>
            <w:tcBorders>
              <w:top w:val="single" w:sz="12" w:space="0" w:color="auto"/>
            </w:tcBorders>
            <w:vAlign w:val="bottom"/>
          </w:tcPr>
          <w:p w14:paraId="0B5E6F5C" w14:textId="77777777" w:rsidR="00171523" w:rsidRDefault="00171523" w:rsidP="004617B1">
            <w:pPr>
              <w:jc w:val="center"/>
              <w:rPr>
                <w:rFonts w:ascii="Arial" w:hAnsi="Arial" w:cs="Arial"/>
                <w:szCs w:val="24"/>
              </w:rPr>
            </w:pPr>
            <w:r>
              <w:rPr>
                <w:rFonts w:ascii="Arial" w:hAnsi="Arial" w:cs="Arial"/>
                <w:szCs w:val="24"/>
              </w:rPr>
              <w:t>$511,497</w:t>
            </w:r>
          </w:p>
        </w:tc>
        <w:tc>
          <w:tcPr>
            <w:tcW w:w="828" w:type="dxa"/>
            <w:tcBorders>
              <w:right w:val="single" w:sz="12" w:space="0" w:color="auto"/>
            </w:tcBorders>
            <w:vAlign w:val="bottom"/>
          </w:tcPr>
          <w:p w14:paraId="40E2DAB0" w14:textId="77777777" w:rsidR="00171523" w:rsidRDefault="00171523" w:rsidP="004617B1">
            <w:pPr>
              <w:jc w:val="center"/>
              <w:rPr>
                <w:rFonts w:ascii="Arial" w:hAnsi="Arial" w:cs="Arial"/>
                <w:szCs w:val="24"/>
              </w:rPr>
            </w:pPr>
            <w:r>
              <w:rPr>
                <w:rFonts w:ascii="Arial" w:hAnsi="Arial" w:cs="Arial"/>
                <w:szCs w:val="24"/>
              </w:rPr>
              <w:t>$3.00</w:t>
            </w:r>
          </w:p>
        </w:tc>
      </w:tr>
      <w:tr w:rsidR="00171523" w14:paraId="7153B6D4" w14:textId="77777777" w:rsidTr="004617B1">
        <w:tc>
          <w:tcPr>
            <w:tcW w:w="2988" w:type="dxa"/>
            <w:tcBorders>
              <w:left w:val="single" w:sz="12" w:space="0" w:color="auto"/>
            </w:tcBorders>
            <w:vAlign w:val="center"/>
          </w:tcPr>
          <w:p w14:paraId="5D9C26B7" w14:textId="77777777" w:rsidR="00171523" w:rsidRDefault="00171523" w:rsidP="004617B1">
            <w:pPr>
              <w:rPr>
                <w:rFonts w:ascii="Arial" w:hAnsi="Arial" w:cs="Arial"/>
                <w:szCs w:val="24"/>
              </w:rPr>
            </w:pPr>
            <w:r>
              <w:rPr>
                <w:rFonts w:ascii="Arial" w:hAnsi="Arial" w:cs="Arial"/>
                <w:szCs w:val="24"/>
              </w:rPr>
              <w:t>Central Portion</w:t>
            </w:r>
          </w:p>
        </w:tc>
        <w:tc>
          <w:tcPr>
            <w:tcW w:w="1080" w:type="dxa"/>
            <w:vAlign w:val="bottom"/>
          </w:tcPr>
          <w:p w14:paraId="4A86184A" w14:textId="77777777" w:rsidR="00171523" w:rsidRDefault="00171523" w:rsidP="004617B1">
            <w:pPr>
              <w:jc w:val="right"/>
              <w:rPr>
                <w:rFonts w:ascii="Arial" w:hAnsi="Arial" w:cs="Arial"/>
                <w:szCs w:val="24"/>
              </w:rPr>
            </w:pPr>
            <w:r>
              <w:rPr>
                <w:rFonts w:ascii="Arial" w:hAnsi="Arial" w:cs="Arial"/>
                <w:szCs w:val="24"/>
              </w:rPr>
              <w:t>$27.00</w:t>
            </w:r>
          </w:p>
        </w:tc>
        <w:tc>
          <w:tcPr>
            <w:tcW w:w="1599" w:type="dxa"/>
            <w:vAlign w:val="bottom"/>
          </w:tcPr>
          <w:p w14:paraId="155EB89C" w14:textId="77777777" w:rsidR="00171523" w:rsidRDefault="00171523" w:rsidP="004617B1">
            <w:pPr>
              <w:jc w:val="right"/>
              <w:rPr>
                <w:rFonts w:ascii="Arial" w:hAnsi="Arial" w:cs="Arial"/>
                <w:szCs w:val="24"/>
              </w:rPr>
            </w:pPr>
            <w:r>
              <w:rPr>
                <w:rFonts w:ascii="Arial" w:hAnsi="Arial" w:cs="Arial"/>
                <w:szCs w:val="24"/>
              </w:rPr>
              <w:t>139,481</w:t>
            </w:r>
          </w:p>
        </w:tc>
        <w:tc>
          <w:tcPr>
            <w:tcW w:w="1551" w:type="dxa"/>
            <w:vAlign w:val="bottom"/>
          </w:tcPr>
          <w:p w14:paraId="6DDCF776" w14:textId="77777777" w:rsidR="00171523" w:rsidRDefault="00171523" w:rsidP="004617B1">
            <w:pPr>
              <w:jc w:val="center"/>
              <w:rPr>
                <w:rFonts w:ascii="Arial" w:hAnsi="Arial" w:cs="Arial"/>
                <w:szCs w:val="24"/>
              </w:rPr>
            </w:pPr>
            <w:r>
              <w:rPr>
                <w:rFonts w:ascii="Arial" w:hAnsi="Arial" w:cs="Arial"/>
                <w:szCs w:val="24"/>
              </w:rPr>
              <w:t>$3,765,987</w:t>
            </w:r>
          </w:p>
        </w:tc>
        <w:tc>
          <w:tcPr>
            <w:tcW w:w="1530" w:type="dxa"/>
            <w:vAlign w:val="bottom"/>
          </w:tcPr>
          <w:p w14:paraId="510E4BF3" w14:textId="77777777" w:rsidR="00171523" w:rsidRDefault="00171523" w:rsidP="004617B1">
            <w:pPr>
              <w:jc w:val="center"/>
              <w:rPr>
                <w:rFonts w:ascii="Arial" w:hAnsi="Arial" w:cs="Arial"/>
                <w:szCs w:val="24"/>
              </w:rPr>
            </w:pPr>
            <w:r>
              <w:rPr>
                <w:rFonts w:ascii="Arial" w:hAnsi="Arial" w:cs="Arial"/>
                <w:szCs w:val="24"/>
              </w:rPr>
              <w:t>$282,449</w:t>
            </w:r>
          </w:p>
        </w:tc>
        <w:tc>
          <w:tcPr>
            <w:tcW w:w="828" w:type="dxa"/>
            <w:tcBorders>
              <w:right w:val="single" w:sz="12" w:space="0" w:color="auto"/>
            </w:tcBorders>
            <w:vAlign w:val="bottom"/>
          </w:tcPr>
          <w:p w14:paraId="2C847A47" w14:textId="77777777" w:rsidR="00171523" w:rsidRDefault="00171523" w:rsidP="004617B1">
            <w:pPr>
              <w:jc w:val="center"/>
              <w:rPr>
                <w:rFonts w:ascii="Arial" w:hAnsi="Arial" w:cs="Arial"/>
                <w:szCs w:val="24"/>
              </w:rPr>
            </w:pPr>
            <w:r>
              <w:rPr>
                <w:rFonts w:ascii="Arial" w:hAnsi="Arial" w:cs="Arial"/>
                <w:szCs w:val="24"/>
              </w:rPr>
              <w:t>$2.03</w:t>
            </w:r>
          </w:p>
        </w:tc>
      </w:tr>
      <w:tr w:rsidR="00171523" w14:paraId="6F4B4AF1" w14:textId="77777777" w:rsidTr="004617B1">
        <w:trPr>
          <w:trHeight w:val="323"/>
        </w:trPr>
        <w:tc>
          <w:tcPr>
            <w:tcW w:w="2988" w:type="dxa"/>
            <w:tcBorders>
              <w:left w:val="single" w:sz="12" w:space="0" w:color="auto"/>
              <w:bottom w:val="single" w:sz="12" w:space="0" w:color="auto"/>
            </w:tcBorders>
            <w:vAlign w:val="center"/>
          </w:tcPr>
          <w:p w14:paraId="3399D655" w14:textId="77777777" w:rsidR="00171523" w:rsidRDefault="00171523" w:rsidP="004617B1">
            <w:pPr>
              <w:rPr>
                <w:rFonts w:ascii="Arial" w:hAnsi="Arial" w:cs="Arial"/>
                <w:szCs w:val="24"/>
              </w:rPr>
            </w:pPr>
            <w:r>
              <w:rPr>
                <w:rFonts w:ascii="Arial" w:hAnsi="Arial" w:cs="Arial"/>
                <w:szCs w:val="24"/>
              </w:rPr>
              <w:t xml:space="preserve">Southern Triangle* </w:t>
            </w:r>
          </w:p>
        </w:tc>
        <w:tc>
          <w:tcPr>
            <w:tcW w:w="1080" w:type="dxa"/>
            <w:tcBorders>
              <w:bottom w:val="single" w:sz="12" w:space="0" w:color="auto"/>
            </w:tcBorders>
            <w:vAlign w:val="bottom"/>
          </w:tcPr>
          <w:p w14:paraId="2FC04356" w14:textId="77777777" w:rsidR="00171523" w:rsidRDefault="00171523" w:rsidP="004617B1">
            <w:pPr>
              <w:jc w:val="right"/>
              <w:rPr>
                <w:rFonts w:ascii="Arial" w:hAnsi="Arial" w:cs="Arial"/>
                <w:szCs w:val="24"/>
              </w:rPr>
            </w:pPr>
            <w:r>
              <w:rPr>
                <w:rFonts w:ascii="Arial" w:hAnsi="Arial" w:cs="Arial"/>
                <w:szCs w:val="24"/>
              </w:rPr>
              <w:t>$10.00</w:t>
            </w:r>
          </w:p>
        </w:tc>
        <w:tc>
          <w:tcPr>
            <w:tcW w:w="1599" w:type="dxa"/>
            <w:tcBorders>
              <w:bottom w:val="single" w:sz="12" w:space="0" w:color="auto"/>
            </w:tcBorders>
            <w:vAlign w:val="bottom"/>
          </w:tcPr>
          <w:p w14:paraId="7DE40684" w14:textId="77777777" w:rsidR="00171523" w:rsidRDefault="00171523" w:rsidP="004617B1">
            <w:pPr>
              <w:jc w:val="right"/>
              <w:rPr>
                <w:rFonts w:ascii="Arial" w:hAnsi="Arial" w:cs="Arial"/>
                <w:szCs w:val="24"/>
              </w:rPr>
            </w:pPr>
            <w:r>
              <w:rPr>
                <w:rFonts w:ascii="Arial" w:hAnsi="Arial" w:cs="Arial"/>
                <w:szCs w:val="24"/>
              </w:rPr>
              <w:t>122,460</w:t>
            </w:r>
          </w:p>
        </w:tc>
        <w:tc>
          <w:tcPr>
            <w:tcW w:w="1551" w:type="dxa"/>
            <w:tcBorders>
              <w:bottom w:val="single" w:sz="12" w:space="0" w:color="auto"/>
            </w:tcBorders>
            <w:vAlign w:val="bottom"/>
          </w:tcPr>
          <w:p w14:paraId="2FDAF2B6" w14:textId="77777777" w:rsidR="00171523" w:rsidRDefault="00171523" w:rsidP="004617B1">
            <w:pPr>
              <w:jc w:val="center"/>
              <w:rPr>
                <w:rFonts w:ascii="Arial" w:hAnsi="Arial" w:cs="Arial"/>
                <w:szCs w:val="24"/>
              </w:rPr>
            </w:pPr>
            <w:r>
              <w:rPr>
                <w:rFonts w:ascii="Arial" w:hAnsi="Arial" w:cs="Arial"/>
                <w:szCs w:val="24"/>
              </w:rPr>
              <w:t>$1,224,600</w:t>
            </w:r>
          </w:p>
        </w:tc>
        <w:tc>
          <w:tcPr>
            <w:tcW w:w="1530" w:type="dxa"/>
            <w:tcBorders>
              <w:bottom w:val="single" w:sz="12" w:space="0" w:color="auto"/>
            </w:tcBorders>
            <w:vAlign w:val="bottom"/>
          </w:tcPr>
          <w:p w14:paraId="7D9DF439" w14:textId="77777777" w:rsidR="00171523" w:rsidRDefault="00171523" w:rsidP="004617B1">
            <w:pPr>
              <w:jc w:val="center"/>
              <w:rPr>
                <w:rFonts w:ascii="Arial" w:hAnsi="Arial" w:cs="Arial"/>
                <w:szCs w:val="24"/>
              </w:rPr>
            </w:pPr>
            <w:r>
              <w:rPr>
                <w:rFonts w:ascii="Arial" w:hAnsi="Arial" w:cs="Arial"/>
                <w:szCs w:val="24"/>
              </w:rPr>
              <w:t>$91,845</w:t>
            </w:r>
          </w:p>
        </w:tc>
        <w:tc>
          <w:tcPr>
            <w:tcW w:w="828" w:type="dxa"/>
            <w:tcBorders>
              <w:bottom w:val="single" w:sz="12" w:space="0" w:color="auto"/>
              <w:right w:val="single" w:sz="12" w:space="0" w:color="auto"/>
            </w:tcBorders>
            <w:vAlign w:val="bottom"/>
          </w:tcPr>
          <w:p w14:paraId="2FAF332E" w14:textId="77777777" w:rsidR="00171523" w:rsidRDefault="00171523" w:rsidP="004617B1">
            <w:pPr>
              <w:jc w:val="center"/>
              <w:rPr>
                <w:rFonts w:ascii="Arial" w:hAnsi="Arial" w:cs="Arial"/>
                <w:szCs w:val="24"/>
              </w:rPr>
            </w:pPr>
            <w:r>
              <w:rPr>
                <w:rFonts w:ascii="Arial" w:hAnsi="Arial" w:cs="Arial"/>
                <w:szCs w:val="24"/>
              </w:rPr>
              <w:t>$0.75</w:t>
            </w:r>
          </w:p>
        </w:tc>
      </w:tr>
      <w:tr w:rsidR="00171523" w14:paraId="44E12DA7" w14:textId="77777777" w:rsidTr="004617B1">
        <w:trPr>
          <w:trHeight w:val="150"/>
        </w:trPr>
        <w:tc>
          <w:tcPr>
            <w:tcW w:w="2988" w:type="dxa"/>
            <w:tcBorders>
              <w:top w:val="single" w:sz="12" w:space="0" w:color="auto"/>
              <w:left w:val="single" w:sz="12" w:space="0" w:color="auto"/>
              <w:bottom w:val="single" w:sz="12" w:space="0" w:color="auto"/>
            </w:tcBorders>
            <w:vAlign w:val="center"/>
          </w:tcPr>
          <w:p w14:paraId="3686FA95" w14:textId="77777777" w:rsidR="00171523" w:rsidRDefault="00171523" w:rsidP="004617B1">
            <w:pPr>
              <w:rPr>
                <w:rFonts w:ascii="Arial" w:hAnsi="Arial" w:cs="Arial"/>
                <w:szCs w:val="24"/>
              </w:rPr>
            </w:pPr>
            <w:r>
              <w:rPr>
                <w:rFonts w:ascii="Arial" w:hAnsi="Arial" w:cs="Arial"/>
                <w:szCs w:val="24"/>
              </w:rPr>
              <w:t>Combined Leasehold</w:t>
            </w:r>
          </w:p>
        </w:tc>
        <w:tc>
          <w:tcPr>
            <w:tcW w:w="1080" w:type="dxa"/>
            <w:tcBorders>
              <w:top w:val="single" w:sz="12" w:space="0" w:color="auto"/>
              <w:bottom w:val="single" w:sz="12" w:space="0" w:color="auto"/>
            </w:tcBorders>
          </w:tcPr>
          <w:p w14:paraId="734809DB" w14:textId="77777777" w:rsidR="00171523" w:rsidRDefault="00171523" w:rsidP="004617B1">
            <w:pPr>
              <w:jc w:val="center"/>
              <w:rPr>
                <w:rFonts w:ascii="Arial" w:hAnsi="Arial" w:cs="Arial"/>
                <w:szCs w:val="24"/>
              </w:rPr>
            </w:pPr>
          </w:p>
        </w:tc>
        <w:tc>
          <w:tcPr>
            <w:tcW w:w="1599" w:type="dxa"/>
            <w:tcBorders>
              <w:top w:val="single" w:sz="12" w:space="0" w:color="auto"/>
              <w:bottom w:val="single" w:sz="12" w:space="0" w:color="auto"/>
            </w:tcBorders>
            <w:vAlign w:val="bottom"/>
          </w:tcPr>
          <w:p w14:paraId="2DAF0DB2" w14:textId="77777777" w:rsidR="00171523" w:rsidRPr="003C2F4A" w:rsidRDefault="00171523" w:rsidP="004617B1">
            <w:pPr>
              <w:jc w:val="right"/>
              <w:rPr>
                <w:rFonts w:ascii="Arial" w:hAnsi="Arial" w:cs="Arial"/>
                <w:b/>
                <w:szCs w:val="24"/>
              </w:rPr>
            </w:pPr>
            <w:r w:rsidRPr="003C2F4A">
              <w:rPr>
                <w:rFonts w:ascii="Arial" w:hAnsi="Arial" w:cs="Arial"/>
                <w:b/>
                <w:szCs w:val="24"/>
              </w:rPr>
              <w:t>432,400</w:t>
            </w:r>
          </w:p>
        </w:tc>
        <w:tc>
          <w:tcPr>
            <w:tcW w:w="1551" w:type="dxa"/>
            <w:tcBorders>
              <w:top w:val="single" w:sz="12" w:space="0" w:color="auto"/>
              <w:bottom w:val="single" w:sz="12" w:space="0" w:color="auto"/>
            </w:tcBorders>
            <w:vAlign w:val="bottom"/>
          </w:tcPr>
          <w:p w14:paraId="2FAD3850" w14:textId="77777777" w:rsidR="00171523" w:rsidRPr="003C2F4A" w:rsidRDefault="00171523" w:rsidP="004617B1">
            <w:pPr>
              <w:jc w:val="center"/>
              <w:rPr>
                <w:rFonts w:ascii="Arial" w:hAnsi="Arial" w:cs="Arial"/>
                <w:b/>
                <w:szCs w:val="24"/>
              </w:rPr>
            </w:pPr>
            <w:r w:rsidRPr="003C2F4A">
              <w:rPr>
                <w:rFonts w:ascii="Arial" w:hAnsi="Arial" w:cs="Arial"/>
                <w:b/>
                <w:szCs w:val="24"/>
              </w:rPr>
              <w:t>$11,810,547</w:t>
            </w:r>
          </w:p>
        </w:tc>
        <w:tc>
          <w:tcPr>
            <w:tcW w:w="1530" w:type="dxa"/>
            <w:tcBorders>
              <w:top w:val="single" w:sz="12" w:space="0" w:color="auto"/>
              <w:bottom w:val="single" w:sz="12" w:space="0" w:color="auto"/>
            </w:tcBorders>
            <w:vAlign w:val="bottom"/>
          </w:tcPr>
          <w:p w14:paraId="235615F4" w14:textId="77777777" w:rsidR="00171523" w:rsidRPr="003C2F4A" w:rsidRDefault="00171523" w:rsidP="004617B1">
            <w:pPr>
              <w:jc w:val="center"/>
              <w:rPr>
                <w:rFonts w:ascii="Arial" w:hAnsi="Arial" w:cs="Arial"/>
                <w:b/>
                <w:szCs w:val="24"/>
              </w:rPr>
            </w:pPr>
            <w:r>
              <w:rPr>
                <w:rFonts w:ascii="Arial" w:hAnsi="Arial" w:cs="Arial"/>
                <w:b/>
                <w:szCs w:val="24"/>
              </w:rPr>
              <w:t>$885,791</w:t>
            </w:r>
          </w:p>
        </w:tc>
        <w:tc>
          <w:tcPr>
            <w:tcW w:w="828" w:type="dxa"/>
            <w:tcBorders>
              <w:top w:val="single" w:sz="12" w:space="0" w:color="auto"/>
              <w:bottom w:val="single" w:sz="12" w:space="0" w:color="auto"/>
              <w:right w:val="single" w:sz="12" w:space="0" w:color="auto"/>
            </w:tcBorders>
            <w:vAlign w:val="bottom"/>
          </w:tcPr>
          <w:p w14:paraId="3894F0A8" w14:textId="77777777" w:rsidR="00171523" w:rsidRPr="003C2F4A" w:rsidRDefault="00171523" w:rsidP="004617B1">
            <w:pPr>
              <w:jc w:val="center"/>
              <w:rPr>
                <w:rFonts w:ascii="Arial" w:hAnsi="Arial" w:cs="Arial"/>
                <w:b/>
                <w:szCs w:val="24"/>
              </w:rPr>
            </w:pPr>
            <w:r>
              <w:rPr>
                <w:rFonts w:ascii="Arial" w:hAnsi="Arial" w:cs="Arial"/>
                <w:b/>
                <w:szCs w:val="24"/>
              </w:rPr>
              <w:t>$2.05</w:t>
            </w:r>
          </w:p>
        </w:tc>
      </w:tr>
    </w:tbl>
    <w:p w14:paraId="0DA14A98" w14:textId="77777777" w:rsidR="00171523" w:rsidRDefault="00171523" w:rsidP="00171523">
      <w:pPr>
        <w:rPr>
          <w:rFonts w:ascii="Arial" w:hAnsi="Arial" w:cs="Arial"/>
          <w:szCs w:val="24"/>
        </w:rPr>
      </w:pPr>
      <w:r>
        <w:rPr>
          <w:rFonts w:ascii="Arial" w:hAnsi="Arial" w:cs="Arial"/>
          <w:szCs w:val="24"/>
        </w:rPr>
        <w:t>*</w:t>
      </w:r>
      <w:r w:rsidRPr="006D2D05">
        <w:rPr>
          <w:rFonts w:ascii="Arial" w:hAnsi="Arial" w:cs="Arial"/>
          <w:sz w:val="16"/>
          <w:szCs w:val="16"/>
        </w:rPr>
        <w:t>This portion of the property was previously unused space</w:t>
      </w:r>
      <w:r>
        <w:rPr>
          <w:rFonts w:ascii="Arial" w:hAnsi="Arial" w:cs="Arial"/>
          <w:sz w:val="16"/>
          <w:szCs w:val="16"/>
        </w:rPr>
        <w:t xml:space="preserve">. The relatively low value of this portion of the land reflects the height restrictions and relatively low utility of the parcel. </w:t>
      </w:r>
      <w:r>
        <w:rPr>
          <w:rFonts w:ascii="Arial" w:hAnsi="Arial" w:cs="Arial"/>
          <w:szCs w:val="24"/>
        </w:rPr>
        <w:t xml:space="preserve"> </w:t>
      </w:r>
    </w:p>
    <w:p w14:paraId="7FB76469" w14:textId="77777777" w:rsidR="00171523" w:rsidRDefault="00171523" w:rsidP="005B478C">
      <w:pPr>
        <w:pStyle w:val="BodyText"/>
        <w:jc w:val="both"/>
        <w:rPr>
          <w:rFonts w:ascii="Arial" w:hAnsi="Arial" w:cs="Arial"/>
          <w:i w:val="0"/>
          <w:szCs w:val="24"/>
        </w:rPr>
      </w:pPr>
    </w:p>
    <w:p w14:paraId="3993FD04" w14:textId="77777777" w:rsidR="00171523" w:rsidRDefault="00171523" w:rsidP="005B478C">
      <w:pPr>
        <w:pStyle w:val="BodyText"/>
        <w:jc w:val="both"/>
        <w:rPr>
          <w:rFonts w:ascii="Arial" w:hAnsi="Arial" w:cs="Arial"/>
          <w:i w:val="0"/>
          <w:szCs w:val="24"/>
        </w:rPr>
      </w:pPr>
    </w:p>
    <w:p w14:paraId="08CFBA71" w14:textId="5B92E2A3" w:rsidR="00171523" w:rsidRDefault="00171523" w:rsidP="00171523">
      <w:pPr>
        <w:jc w:val="both"/>
        <w:rPr>
          <w:rFonts w:ascii="Arial" w:hAnsi="Arial" w:cs="Arial"/>
          <w:szCs w:val="24"/>
        </w:rPr>
      </w:pPr>
      <w:r w:rsidRPr="00171523">
        <w:rPr>
          <w:rFonts w:ascii="Arial" w:hAnsi="Arial" w:cs="Arial"/>
          <w:i/>
          <w:szCs w:val="24"/>
        </w:rPr>
        <w:t>Negotiated Lease</w:t>
      </w:r>
      <w:r>
        <w:rPr>
          <w:rFonts w:ascii="Arial" w:hAnsi="Arial" w:cs="Arial"/>
          <w:szCs w:val="24"/>
        </w:rPr>
        <w:t xml:space="preserve">: On April 7, 2017 the </w:t>
      </w:r>
      <w:r w:rsidR="00635864">
        <w:rPr>
          <w:rFonts w:ascii="Arial" w:hAnsi="Arial" w:cs="Arial"/>
          <w:szCs w:val="24"/>
        </w:rPr>
        <w:t xml:space="preserve">Director </w:t>
      </w:r>
      <w:r>
        <w:rPr>
          <w:rFonts w:ascii="Arial" w:hAnsi="Arial" w:cs="Arial"/>
          <w:szCs w:val="24"/>
        </w:rPr>
        <w:t>of the Facilities Management Division</w:t>
      </w:r>
      <w:r w:rsidR="00D80819">
        <w:rPr>
          <w:rFonts w:ascii="Arial" w:hAnsi="Arial" w:cs="Arial"/>
          <w:szCs w:val="24"/>
        </w:rPr>
        <w:t xml:space="preserve"> (FMD)</w:t>
      </w:r>
      <w:r>
        <w:rPr>
          <w:rFonts w:ascii="Arial" w:hAnsi="Arial" w:cs="Arial"/>
          <w:szCs w:val="24"/>
        </w:rPr>
        <w:t xml:space="preserve"> sent a letter</w:t>
      </w:r>
      <w:r>
        <w:rPr>
          <w:rStyle w:val="FootnoteReference"/>
          <w:rFonts w:ascii="Arial" w:hAnsi="Arial" w:cs="Arial"/>
          <w:szCs w:val="24"/>
        </w:rPr>
        <w:footnoteReference w:id="1"/>
      </w:r>
      <w:r>
        <w:rPr>
          <w:rFonts w:ascii="Arial" w:hAnsi="Arial" w:cs="Arial"/>
          <w:szCs w:val="24"/>
        </w:rPr>
        <w:t xml:space="preserve"> informing the Executive that direct negotiation with KAS w</w:t>
      </w:r>
      <w:r w:rsidR="00D80819">
        <w:rPr>
          <w:rFonts w:ascii="Arial" w:hAnsi="Arial" w:cs="Arial"/>
          <w:szCs w:val="24"/>
        </w:rPr>
        <w:t>as in the best interest of the c</w:t>
      </w:r>
      <w:r>
        <w:rPr>
          <w:rFonts w:ascii="Arial" w:hAnsi="Arial" w:cs="Arial"/>
          <w:szCs w:val="24"/>
        </w:rPr>
        <w:t xml:space="preserve">ounty. The Executive agreed with this recommendation based on rationale that will be described in the Analysis section of this staff report. </w:t>
      </w:r>
    </w:p>
    <w:p w14:paraId="67DA9688" w14:textId="77777777" w:rsidR="00171523" w:rsidRDefault="00171523" w:rsidP="00171523">
      <w:pPr>
        <w:jc w:val="both"/>
        <w:rPr>
          <w:rFonts w:ascii="Arial" w:hAnsi="Arial" w:cs="Arial"/>
          <w:szCs w:val="24"/>
        </w:rPr>
      </w:pPr>
    </w:p>
    <w:p w14:paraId="1125013B" w14:textId="0BA783D3" w:rsidR="00171523" w:rsidRDefault="00171523" w:rsidP="00171523">
      <w:pPr>
        <w:jc w:val="both"/>
        <w:rPr>
          <w:rFonts w:ascii="Arial" w:hAnsi="Arial" w:cs="Arial"/>
          <w:szCs w:val="24"/>
        </w:rPr>
      </w:pPr>
      <w:r w:rsidRPr="00171523">
        <w:rPr>
          <w:rFonts w:ascii="Arial" w:hAnsi="Arial" w:cs="Arial"/>
          <w:i/>
          <w:szCs w:val="24"/>
        </w:rPr>
        <w:t>Public Notice</w:t>
      </w:r>
      <w:r>
        <w:rPr>
          <w:rFonts w:ascii="Arial" w:hAnsi="Arial" w:cs="Arial"/>
          <w:szCs w:val="24"/>
        </w:rPr>
        <w:t xml:space="preserve">: </w:t>
      </w:r>
      <w:r w:rsidRPr="00DD3689">
        <w:rPr>
          <w:rFonts w:ascii="Arial" w:hAnsi="Arial" w:cs="Arial"/>
          <w:szCs w:val="24"/>
        </w:rPr>
        <w:t xml:space="preserve">A public notice of intent to negotiate a lease was published in the Seattle Times on July 18, 2018 </w:t>
      </w:r>
      <w:r w:rsidR="005D14DA">
        <w:rPr>
          <w:rFonts w:ascii="Arial" w:hAnsi="Arial" w:cs="Arial"/>
          <w:szCs w:val="24"/>
        </w:rPr>
        <w:t>(Attachment 6 is the Affidavit of P</w:t>
      </w:r>
      <w:r w:rsidRPr="006D2D05">
        <w:rPr>
          <w:rFonts w:ascii="Arial" w:hAnsi="Arial" w:cs="Arial"/>
          <w:szCs w:val="24"/>
        </w:rPr>
        <w:t>ublication).</w:t>
      </w:r>
      <w:r>
        <w:rPr>
          <w:rFonts w:ascii="Arial" w:hAnsi="Arial" w:cs="Arial"/>
          <w:szCs w:val="24"/>
        </w:rPr>
        <w:t xml:space="preserve"> </w:t>
      </w:r>
    </w:p>
    <w:p w14:paraId="53ACEC1B" w14:textId="77777777" w:rsidR="00171523" w:rsidRDefault="00171523" w:rsidP="00171523">
      <w:pPr>
        <w:jc w:val="both"/>
        <w:rPr>
          <w:rFonts w:ascii="Arial" w:hAnsi="Arial" w:cs="Arial"/>
          <w:szCs w:val="24"/>
        </w:rPr>
      </w:pPr>
    </w:p>
    <w:p w14:paraId="2BEAA013" w14:textId="0E7B1B8B" w:rsidR="00171523" w:rsidRDefault="00171523" w:rsidP="00171523">
      <w:pPr>
        <w:jc w:val="both"/>
        <w:rPr>
          <w:rFonts w:ascii="Arial" w:hAnsi="Arial" w:cs="Arial"/>
          <w:szCs w:val="24"/>
        </w:rPr>
      </w:pPr>
      <w:r w:rsidRPr="00171523">
        <w:rPr>
          <w:rFonts w:ascii="Arial" w:hAnsi="Arial" w:cs="Arial"/>
          <w:i/>
          <w:szCs w:val="24"/>
        </w:rPr>
        <w:t>Responsibility Ordinance</w:t>
      </w:r>
      <w:r>
        <w:rPr>
          <w:rFonts w:ascii="Arial" w:hAnsi="Arial" w:cs="Arial"/>
          <w:szCs w:val="24"/>
        </w:rPr>
        <w:t xml:space="preserve">: </w:t>
      </w:r>
      <w:r w:rsidR="00E47475">
        <w:rPr>
          <w:rFonts w:ascii="Arial" w:hAnsi="Arial" w:cs="Arial"/>
          <w:szCs w:val="24"/>
        </w:rPr>
        <w:t>FMD</w:t>
      </w:r>
      <w:r>
        <w:rPr>
          <w:rFonts w:ascii="Arial" w:hAnsi="Arial" w:cs="Arial"/>
          <w:szCs w:val="24"/>
        </w:rPr>
        <w:t>, in its evaluation of KAS’s proposal</w:t>
      </w:r>
      <w:r w:rsidR="00D80819">
        <w:rPr>
          <w:rFonts w:ascii="Arial" w:hAnsi="Arial" w:cs="Arial"/>
          <w:szCs w:val="24"/>
        </w:rPr>
        <w:t>,</w:t>
      </w:r>
      <w:r>
        <w:rPr>
          <w:rFonts w:ascii="Arial" w:hAnsi="Arial" w:cs="Arial"/>
          <w:szCs w:val="24"/>
        </w:rPr>
        <w:t xml:space="preserve"> assessed the company on several responsibility criteria including financial accountability, environmental compliance and worker safety. </w:t>
      </w:r>
    </w:p>
    <w:p w14:paraId="630BD1B1" w14:textId="77777777" w:rsidR="00171523" w:rsidRDefault="00171523" w:rsidP="00171523">
      <w:pPr>
        <w:jc w:val="both"/>
        <w:rPr>
          <w:rFonts w:ascii="Arial" w:hAnsi="Arial" w:cs="Arial"/>
          <w:szCs w:val="24"/>
        </w:rPr>
      </w:pPr>
    </w:p>
    <w:p w14:paraId="57785681" w14:textId="2D0D70CA" w:rsidR="00171523" w:rsidRDefault="00171523" w:rsidP="00171523">
      <w:pPr>
        <w:jc w:val="both"/>
        <w:rPr>
          <w:rFonts w:ascii="Arial" w:hAnsi="Arial" w:cs="Arial"/>
          <w:szCs w:val="24"/>
        </w:rPr>
      </w:pPr>
      <w:r>
        <w:rPr>
          <w:rFonts w:ascii="Arial" w:hAnsi="Arial" w:cs="Arial"/>
          <w:szCs w:val="24"/>
        </w:rPr>
        <w:t>According to executive staff,</w:t>
      </w:r>
      <w:r w:rsidRPr="004C73E6">
        <w:rPr>
          <w:rFonts w:ascii="Arial" w:hAnsi="Arial" w:cs="Arial"/>
        </w:rPr>
        <w:t xml:space="preserve"> KAS answered several financial questions </w:t>
      </w:r>
      <w:r>
        <w:rPr>
          <w:rFonts w:ascii="Arial" w:hAnsi="Arial" w:cs="Arial"/>
        </w:rPr>
        <w:t>a</w:t>
      </w:r>
      <w:r w:rsidRPr="004C73E6">
        <w:rPr>
          <w:rFonts w:ascii="Arial" w:hAnsi="Arial" w:cs="Arial"/>
        </w:rPr>
        <w:t>s part of the King County Responsibility Lease Detail and Attestation Form</w:t>
      </w:r>
      <w:r>
        <w:rPr>
          <w:rFonts w:ascii="Arial" w:hAnsi="Arial" w:cs="Arial"/>
        </w:rPr>
        <w:t>,</w:t>
      </w:r>
      <w:r w:rsidRPr="004C73E6">
        <w:rPr>
          <w:rFonts w:ascii="Arial" w:hAnsi="Arial" w:cs="Arial"/>
        </w:rPr>
        <w:t xml:space="preserve"> regarding the last </w:t>
      </w:r>
      <w:r>
        <w:rPr>
          <w:rFonts w:ascii="Arial" w:hAnsi="Arial" w:cs="Arial"/>
        </w:rPr>
        <w:t>three years of operation. KAS stated</w:t>
      </w:r>
      <w:r w:rsidRPr="004C73E6">
        <w:rPr>
          <w:rFonts w:ascii="Arial" w:hAnsi="Arial" w:cs="Arial"/>
        </w:rPr>
        <w:t xml:space="preserve"> that they have not been a debtor in a bankruptcy in the last three years; they are not in the process of being sold; they have not received a notice of default within the past three years; they have not been a defendant in a unlawful detainer action; they have not been subject to a judgement attachment or lien; and they have not received any notice of default from King County regarding leases or subleases.</w:t>
      </w:r>
      <w:r>
        <w:rPr>
          <w:rFonts w:ascii="Arial" w:hAnsi="Arial" w:cs="Arial"/>
        </w:rPr>
        <w:t xml:space="preserve"> Furthermore</w:t>
      </w:r>
      <w:r w:rsidRPr="004C73E6">
        <w:rPr>
          <w:rFonts w:ascii="Arial" w:hAnsi="Arial" w:cs="Arial"/>
          <w:szCs w:val="24"/>
        </w:rPr>
        <w:t>, the principals of Kenmore Air, Inc. are the principals of Kenmore Aero Services, plus an FBO owner/operator from Texas</w:t>
      </w:r>
      <w:r>
        <w:rPr>
          <w:rStyle w:val="FootnoteReference"/>
          <w:rFonts w:ascii="Arial" w:hAnsi="Arial" w:cs="Arial"/>
          <w:szCs w:val="24"/>
        </w:rPr>
        <w:footnoteReference w:id="2"/>
      </w:r>
      <w:r w:rsidRPr="004C73E6">
        <w:rPr>
          <w:rFonts w:ascii="Arial" w:hAnsi="Arial" w:cs="Arial"/>
          <w:szCs w:val="24"/>
        </w:rPr>
        <w:t>. </w:t>
      </w:r>
    </w:p>
    <w:p w14:paraId="3E9B7F96" w14:textId="77777777" w:rsidR="00171523" w:rsidRDefault="00171523" w:rsidP="00171523">
      <w:pPr>
        <w:jc w:val="both"/>
        <w:rPr>
          <w:rFonts w:ascii="Arial" w:hAnsi="Arial" w:cs="Arial"/>
          <w:szCs w:val="24"/>
        </w:rPr>
      </w:pPr>
    </w:p>
    <w:p w14:paraId="6E7A6678" w14:textId="3AF0BA56" w:rsidR="00171523" w:rsidRPr="004C73E6" w:rsidRDefault="00171523" w:rsidP="00171523">
      <w:pPr>
        <w:jc w:val="both"/>
        <w:rPr>
          <w:rFonts w:ascii="Arial" w:hAnsi="Arial" w:cs="Arial"/>
        </w:rPr>
      </w:pPr>
      <w:r>
        <w:rPr>
          <w:rFonts w:ascii="Arial" w:hAnsi="Arial" w:cs="Arial"/>
          <w:szCs w:val="24"/>
        </w:rPr>
        <w:lastRenderedPageBreak/>
        <w:t>As for environmental compliance and worker safety, executive staff reports that KAS completed a Responsibility Ordinance and had no negative worker safety violations.</w:t>
      </w:r>
      <w:r w:rsidR="00BF500E">
        <w:rPr>
          <w:rFonts w:ascii="Arial" w:hAnsi="Arial" w:cs="Arial"/>
          <w:szCs w:val="24"/>
        </w:rPr>
        <w:t xml:space="preserve"> </w:t>
      </w:r>
      <w:r>
        <w:rPr>
          <w:rFonts w:ascii="Arial" w:hAnsi="Arial" w:cs="Arial"/>
          <w:szCs w:val="24"/>
        </w:rPr>
        <w:t>However, Kenmore Air, KAS’ joint venture partner, did, and this was reported</w:t>
      </w:r>
      <w:r>
        <w:rPr>
          <w:rStyle w:val="FootnoteReference"/>
          <w:rFonts w:ascii="Arial" w:hAnsi="Arial" w:cs="Arial"/>
          <w:szCs w:val="24"/>
        </w:rPr>
        <w:footnoteReference w:id="3"/>
      </w:r>
      <w:r>
        <w:rPr>
          <w:rFonts w:ascii="Arial" w:hAnsi="Arial" w:cs="Arial"/>
          <w:szCs w:val="24"/>
        </w:rPr>
        <w:t xml:space="preserve">. </w:t>
      </w:r>
      <w:r w:rsidRPr="0019590C">
        <w:rPr>
          <w:rFonts w:ascii="Arial" w:hAnsi="Arial" w:cs="Arial"/>
          <w:szCs w:val="24"/>
        </w:rPr>
        <w:t xml:space="preserve">In June 2015, the U. S. Environmental Protection Agency expedited settlement agreement and final order was executed </w:t>
      </w:r>
      <w:r>
        <w:rPr>
          <w:rFonts w:ascii="Arial" w:hAnsi="Arial" w:cs="Arial"/>
          <w:szCs w:val="24"/>
        </w:rPr>
        <w:t>with</w:t>
      </w:r>
      <w:r w:rsidRPr="0019590C">
        <w:rPr>
          <w:rFonts w:ascii="Arial" w:hAnsi="Arial" w:cs="Arial"/>
          <w:szCs w:val="24"/>
        </w:rPr>
        <w:t xml:space="preserve"> Kenmore Air regarding storage of waste pursuant to Section 3008 of the Resource Conservation and Recovery Act (RCRA) and 40 CFR 22.13(b). </w:t>
      </w:r>
      <w:r>
        <w:rPr>
          <w:rFonts w:ascii="Arial" w:hAnsi="Arial" w:cs="Arial"/>
          <w:szCs w:val="24"/>
        </w:rPr>
        <w:t>On July 26, 2017, the Washington State Department of Ecology (DOE) issued a violation to Kenmore Air for failing to determine whether its</w:t>
      </w:r>
      <w:r w:rsidRPr="00EB23F3">
        <w:rPr>
          <w:rFonts w:ascii="Arial" w:hAnsi="Arial" w:cs="Arial"/>
          <w:szCs w:val="24"/>
        </w:rPr>
        <w:t xml:space="preserve"> wastes should be designated as dangerous waste, properly label</w:t>
      </w:r>
      <w:r>
        <w:rPr>
          <w:rFonts w:ascii="Arial" w:hAnsi="Arial" w:cs="Arial"/>
          <w:szCs w:val="24"/>
        </w:rPr>
        <w:t>ing and closing</w:t>
      </w:r>
      <w:r w:rsidRPr="00EB23F3">
        <w:rPr>
          <w:rFonts w:ascii="Arial" w:hAnsi="Arial" w:cs="Arial"/>
          <w:szCs w:val="24"/>
        </w:rPr>
        <w:t xml:space="preserve"> all its dangerous waste containers, and keep</w:t>
      </w:r>
      <w:r>
        <w:rPr>
          <w:rFonts w:ascii="Arial" w:hAnsi="Arial" w:cs="Arial"/>
          <w:szCs w:val="24"/>
        </w:rPr>
        <w:t>ing</w:t>
      </w:r>
      <w:r w:rsidRPr="00EB23F3">
        <w:rPr>
          <w:rFonts w:ascii="Arial" w:hAnsi="Arial" w:cs="Arial"/>
          <w:szCs w:val="24"/>
        </w:rPr>
        <w:t xml:space="preserve"> required records of dangerous waste shipments</w:t>
      </w:r>
      <w:r>
        <w:rPr>
          <w:rFonts w:ascii="Arial" w:hAnsi="Arial" w:cs="Arial"/>
          <w:szCs w:val="24"/>
        </w:rPr>
        <w:t xml:space="preserve"> at an aircraft maintenance facility on Lake Washington</w:t>
      </w:r>
      <w:r>
        <w:rPr>
          <w:rStyle w:val="FootnoteReference"/>
          <w:rFonts w:ascii="Arial" w:hAnsi="Arial" w:cs="Arial"/>
          <w:szCs w:val="24"/>
        </w:rPr>
        <w:footnoteReference w:id="4"/>
      </w:r>
      <w:r>
        <w:rPr>
          <w:rFonts w:ascii="Arial" w:hAnsi="Arial" w:cs="Arial"/>
          <w:szCs w:val="24"/>
        </w:rPr>
        <w:t xml:space="preserve">. </w:t>
      </w:r>
      <w:r w:rsidRPr="00FB5546">
        <w:rPr>
          <w:rFonts w:ascii="Arial" w:hAnsi="Arial" w:cs="Arial"/>
          <w:szCs w:val="24"/>
        </w:rPr>
        <w:t xml:space="preserve">The most recent DOE inspection of the facility on April 25, 2018 </w:t>
      </w:r>
      <w:r>
        <w:rPr>
          <w:rFonts w:ascii="Arial" w:hAnsi="Arial" w:cs="Arial"/>
          <w:szCs w:val="24"/>
        </w:rPr>
        <w:t>identified</w:t>
      </w:r>
      <w:r w:rsidRPr="00FB5546">
        <w:rPr>
          <w:rFonts w:ascii="Arial" w:hAnsi="Arial" w:cs="Arial"/>
          <w:szCs w:val="24"/>
        </w:rPr>
        <w:t xml:space="preserve"> several additional violations</w:t>
      </w:r>
      <w:r>
        <w:rPr>
          <w:rFonts w:ascii="Arial" w:hAnsi="Arial" w:cs="Arial"/>
          <w:szCs w:val="24"/>
        </w:rPr>
        <w:t xml:space="preserve"> related to storage, handling and reporting of dangerous wastes</w:t>
      </w:r>
      <w:r>
        <w:rPr>
          <w:rStyle w:val="FootnoteReference"/>
          <w:rFonts w:ascii="Arial" w:hAnsi="Arial" w:cs="Arial"/>
          <w:szCs w:val="24"/>
        </w:rPr>
        <w:footnoteReference w:id="5"/>
      </w:r>
      <w:r w:rsidRPr="00FB5546">
        <w:rPr>
          <w:rFonts w:ascii="Arial" w:hAnsi="Arial" w:cs="Arial"/>
          <w:szCs w:val="24"/>
        </w:rPr>
        <w:t>.</w:t>
      </w:r>
      <w:r>
        <w:rPr>
          <w:rFonts w:ascii="Arial" w:hAnsi="Arial" w:cs="Arial"/>
          <w:szCs w:val="24"/>
        </w:rPr>
        <w:t xml:space="preserve"> </w:t>
      </w:r>
    </w:p>
    <w:p w14:paraId="7D5E5971" w14:textId="77777777" w:rsidR="00171523" w:rsidRDefault="00171523" w:rsidP="005B478C">
      <w:pPr>
        <w:pStyle w:val="BodyText"/>
        <w:jc w:val="both"/>
        <w:rPr>
          <w:rFonts w:ascii="Arial" w:hAnsi="Arial" w:cs="Arial"/>
          <w:i w:val="0"/>
          <w:szCs w:val="24"/>
        </w:rPr>
      </w:pPr>
    </w:p>
    <w:p w14:paraId="6B203C21" w14:textId="56D168C1" w:rsidR="00171523" w:rsidRDefault="00171523" w:rsidP="005B478C">
      <w:pPr>
        <w:pStyle w:val="BodyText"/>
        <w:jc w:val="both"/>
        <w:rPr>
          <w:rFonts w:ascii="Arial" w:hAnsi="Arial" w:cs="Arial"/>
          <w:i w:val="0"/>
          <w:szCs w:val="24"/>
          <w:u w:val="single"/>
        </w:rPr>
      </w:pPr>
      <w:r>
        <w:rPr>
          <w:rFonts w:ascii="Arial" w:hAnsi="Arial" w:cs="Arial"/>
          <w:i w:val="0"/>
          <w:szCs w:val="24"/>
          <w:u w:val="single"/>
        </w:rPr>
        <w:t>KCC 4.56.17</w:t>
      </w:r>
      <w:r w:rsidRPr="00171523">
        <w:rPr>
          <w:rFonts w:ascii="Arial" w:hAnsi="Arial" w:cs="Arial"/>
          <w:i w:val="0"/>
          <w:szCs w:val="24"/>
          <w:u w:val="single"/>
        </w:rPr>
        <w:t>0</w:t>
      </w:r>
    </w:p>
    <w:p w14:paraId="3AAC9FA3" w14:textId="77777777" w:rsidR="00171523" w:rsidRPr="00171523" w:rsidRDefault="00171523" w:rsidP="005B478C">
      <w:pPr>
        <w:pStyle w:val="BodyText"/>
        <w:jc w:val="both"/>
        <w:rPr>
          <w:rFonts w:ascii="Arial" w:hAnsi="Arial" w:cs="Arial"/>
          <w:i w:val="0"/>
          <w:szCs w:val="24"/>
        </w:rPr>
      </w:pPr>
    </w:p>
    <w:p w14:paraId="279A3FD6" w14:textId="2A864912" w:rsidR="00171523" w:rsidRPr="00171523" w:rsidRDefault="00171523" w:rsidP="005B478C">
      <w:pPr>
        <w:pStyle w:val="BodyText"/>
        <w:jc w:val="both"/>
        <w:rPr>
          <w:rFonts w:ascii="Arial" w:hAnsi="Arial" w:cs="Arial"/>
          <w:i w:val="0"/>
          <w:szCs w:val="24"/>
        </w:rPr>
      </w:pPr>
      <w:r w:rsidRPr="00171523">
        <w:rPr>
          <w:rFonts w:ascii="Arial" w:hAnsi="Arial" w:cs="Arial"/>
          <w:szCs w:val="24"/>
        </w:rPr>
        <w:t>Deposit</w:t>
      </w:r>
      <w:r>
        <w:rPr>
          <w:rFonts w:ascii="Arial" w:hAnsi="Arial" w:cs="Arial"/>
          <w:i w:val="0"/>
          <w:szCs w:val="24"/>
        </w:rPr>
        <w:t xml:space="preserve">: </w:t>
      </w:r>
      <w:r w:rsidRPr="00171523">
        <w:rPr>
          <w:rFonts w:ascii="Arial" w:hAnsi="Arial" w:cs="Arial"/>
          <w:i w:val="0"/>
          <w:szCs w:val="24"/>
        </w:rPr>
        <w:t>The proposed lease requires a deposit equal to two months of regular lease payments and excise tax.</w:t>
      </w:r>
    </w:p>
    <w:p w14:paraId="638FAAEA" w14:textId="77777777" w:rsidR="00171523" w:rsidRDefault="00171523" w:rsidP="005B478C">
      <w:pPr>
        <w:pStyle w:val="BodyText"/>
        <w:jc w:val="both"/>
        <w:rPr>
          <w:rFonts w:ascii="Arial" w:hAnsi="Arial" w:cs="Arial"/>
          <w:i w:val="0"/>
          <w:szCs w:val="24"/>
        </w:rPr>
      </w:pPr>
    </w:p>
    <w:p w14:paraId="44E89138" w14:textId="2917E9FC" w:rsidR="00171523" w:rsidRDefault="00171523" w:rsidP="005B478C">
      <w:pPr>
        <w:pStyle w:val="BodyText"/>
        <w:jc w:val="both"/>
        <w:rPr>
          <w:rFonts w:ascii="Arial" w:hAnsi="Arial" w:cs="Arial"/>
          <w:i w:val="0"/>
          <w:szCs w:val="24"/>
        </w:rPr>
      </w:pPr>
      <w:r w:rsidRPr="00171523">
        <w:rPr>
          <w:rFonts w:ascii="Arial" w:hAnsi="Arial" w:cs="Arial"/>
          <w:i w:val="0"/>
          <w:szCs w:val="24"/>
          <w:u w:val="single"/>
        </w:rPr>
        <w:t>KCC 4.56.180</w:t>
      </w:r>
    </w:p>
    <w:p w14:paraId="2A598847" w14:textId="77777777" w:rsidR="00171523" w:rsidRDefault="00171523" w:rsidP="005B478C">
      <w:pPr>
        <w:pStyle w:val="BodyText"/>
        <w:jc w:val="both"/>
        <w:rPr>
          <w:rFonts w:ascii="Arial" w:hAnsi="Arial" w:cs="Arial"/>
          <w:i w:val="0"/>
          <w:szCs w:val="24"/>
        </w:rPr>
      </w:pPr>
    </w:p>
    <w:p w14:paraId="199CB95D" w14:textId="76FB519A" w:rsidR="00171523" w:rsidRPr="00171523" w:rsidRDefault="00171523" w:rsidP="005B478C">
      <w:pPr>
        <w:pStyle w:val="BodyText"/>
        <w:jc w:val="both"/>
        <w:rPr>
          <w:rFonts w:ascii="Arial" w:hAnsi="Arial" w:cs="Arial"/>
          <w:i w:val="0"/>
          <w:szCs w:val="24"/>
        </w:rPr>
      </w:pPr>
      <w:r w:rsidRPr="00171523">
        <w:rPr>
          <w:rFonts w:ascii="Arial" w:hAnsi="Arial" w:cs="Arial"/>
          <w:szCs w:val="24"/>
        </w:rPr>
        <w:t>Long-Term Lease</w:t>
      </w:r>
      <w:r>
        <w:rPr>
          <w:rFonts w:ascii="Arial" w:hAnsi="Arial" w:cs="Arial"/>
          <w:szCs w:val="24"/>
        </w:rPr>
        <w:t xml:space="preserve"> Capital</w:t>
      </w:r>
      <w:r w:rsidRPr="00171523">
        <w:rPr>
          <w:rFonts w:ascii="Arial" w:hAnsi="Arial" w:cs="Arial"/>
          <w:szCs w:val="24"/>
        </w:rPr>
        <w:t xml:space="preserve"> </w:t>
      </w:r>
      <w:r>
        <w:rPr>
          <w:rFonts w:ascii="Arial" w:hAnsi="Arial" w:cs="Arial"/>
          <w:szCs w:val="24"/>
        </w:rPr>
        <w:t>Investment</w:t>
      </w:r>
      <w:r>
        <w:rPr>
          <w:rFonts w:ascii="Arial" w:hAnsi="Arial" w:cs="Arial"/>
          <w:i w:val="0"/>
          <w:szCs w:val="24"/>
        </w:rPr>
        <w:t xml:space="preserve">: </w:t>
      </w:r>
      <w:r w:rsidRPr="00171523">
        <w:rPr>
          <w:rFonts w:ascii="Arial" w:hAnsi="Arial" w:cs="Arial"/>
          <w:i w:val="0"/>
          <w:szCs w:val="24"/>
        </w:rPr>
        <w:t>The proposed leased property is approximately 9.54 acres. The most recent appraisal values the property at $11.8 million. The improvements in the proposed lease agreement have an estimated value of $14.8 million. This investment would represent one hundred twenty-five percent of what is required by the lessee in order to qualify for a 35-year lease.</w:t>
      </w:r>
    </w:p>
    <w:p w14:paraId="1BD3973C" w14:textId="77777777" w:rsidR="00171523" w:rsidRDefault="00171523" w:rsidP="005B478C">
      <w:pPr>
        <w:pStyle w:val="BodyText"/>
        <w:jc w:val="both"/>
        <w:rPr>
          <w:rFonts w:ascii="Arial" w:hAnsi="Arial" w:cs="Arial"/>
          <w:i w:val="0"/>
          <w:szCs w:val="24"/>
        </w:rPr>
      </w:pPr>
    </w:p>
    <w:p w14:paraId="64DCEFF7" w14:textId="77777777" w:rsidR="00BF500E" w:rsidRDefault="00171523" w:rsidP="00171523">
      <w:pPr>
        <w:pStyle w:val="BodyText"/>
        <w:rPr>
          <w:rFonts w:ascii="Arial" w:hAnsi="Arial" w:cs="Arial"/>
          <w:szCs w:val="24"/>
          <w:u w:val="single"/>
        </w:rPr>
      </w:pPr>
      <w:r w:rsidRPr="00171523">
        <w:rPr>
          <w:rFonts w:ascii="Arial" w:hAnsi="Arial" w:cs="Arial"/>
          <w:szCs w:val="24"/>
          <w:u w:val="single"/>
        </w:rPr>
        <w:t>Code Provisions</w:t>
      </w:r>
    </w:p>
    <w:p w14:paraId="053A3D36" w14:textId="77777777" w:rsidR="00BF500E" w:rsidRPr="00BF500E" w:rsidRDefault="00BF500E" w:rsidP="00171523">
      <w:pPr>
        <w:pStyle w:val="BodyText"/>
        <w:rPr>
          <w:rFonts w:ascii="Arial" w:hAnsi="Arial" w:cs="Arial"/>
          <w:i w:val="0"/>
          <w:szCs w:val="24"/>
        </w:rPr>
      </w:pPr>
    </w:p>
    <w:p w14:paraId="202FE425" w14:textId="0AEEC64D" w:rsidR="00171523" w:rsidRPr="00171523" w:rsidRDefault="00171523" w:rsidP="00635864">
      <w:pPr>
        <w:pStyle w:val="BodyText"/>
        <w:jc w:val="both"/>
        <w:rPr>
          <w:rFonts w:ascii="Arial" w:hAnsi="Arial" w:cs="Arial"/>
          <w:szCs w:val="24"/>
        </w:rPr>
      </w:pPr>
      <w:r w:rsidRPr="00171523">
        <w:rPr>
          <w:rFonts w:ascii="Arial" w:hAnsi="Arial" w:cs="Arial"/>
          <w:i w:val="0"/>
          <w:szCs w:val="24"/>
        </w:rPr>
        <w:t>From the evaluation above,</w:t>
      </w:r>
      <w:r>
        <w:rPr>
          <w:rFonts w:ascii="Arial" w:hAnsi="Arial" w:cs="Arial"/>
          <w:szCs w:val="24"/>
        </w:rPr>
        <w:t xml:space="preserve"> </w:t>
      </w:r>
      <w:r>
        <w:rPr>
          <w:rFonts w:ascii="Arial" w:hAnsi="Arial" w:cs="Arial"/>
          <w:i w:val="0"/>
          <w:szCs w:val="24"/>
        </w:rPr>
        <w:t>it</w:t>
      </w:r>
      <w:r w:rsidRPr="00171523">
        <w:rPr>
          <w:rFonts w:ascii="Arial" w:hAnsi="Arial" w:cs="Arial"/>
          <w:i w:val="0"/>
          <w:szCs w:val="24"/>
        </w:rPr>
        <w:t xml:space="preserve"> appears</w:t>
      </w:r>
      <w:r>
        <w:rPr>
          <w:rFonts w:ascii="Arial" w:hAnsi="Arial" w:cs="Arial"/>
          <w:i w:val="0"/>
          <w:szCs w:val="24"/>
        </w:rPr>
        <w:t xml:space="preserve"> the proposed lease</w:t>
      </w:r>
      <w:r w:rsidRPr="00171523">
        <w:rPr>
          <w:rFonts w:ascii="Arial" w:hAnsi="Arial" w:cs="Arial"/>
          <w:i w:val="0"/>
          <w:szCs w:val="24"/>
        </w:rPr>
        <w:t xml:space="preserve"> meet</w:t>
      </w:r>
      <w:r>
        <w:rPr>
          <w:rFonts w:ascii="Arial" w:hAnsi="Arial" w:cs="Arial"/>
          <w:i w:val="0"/>
          <w:szCs w:val="24"/>
        </w:rPr>
        <w:t>s</w:t>
      </w:r>
      <w:r w:rsidRPr="00171523">
        <w:rPr>
          <w:rFonts w:ascii="Arial" w:hAnsi="Arial" w:cs="Arial"/>
          <w:i w:val="0"/>
          <w:szCs w:val="24"/>
        </w:rPr>
        <w:t xml:space="preserve"> all relevant code provisions including fair market</w:t>
      </w:r>
      <w:r>
        <w:rPr>
          <w:rFonts w:ascii="Arial" w:hAnsi="Arial" w:cs="Arial"/>
          <w:i w:val="0"/>
          <w:szCs w:val="24"/>
        </w:rPr>
        <w:t xml:space="preserve"> rental</w:t>
      </w:r>
      <w:r w:rsidRPr="00171523">
        <w:rPr>
          <w:rFonts w:ascii="Arial" w:hAnsi="Arial" w:cs="Arial"/>
          <w:i w:val="0"/>
          <w:szCs w:val="24"/>
        </w:rPr>
        <w:t xml:space="preserve"> value, level of investment, term of lease, rental deposit and public notice published in a newspaper for two consecutive weeks.</w:t>
      </w:r>
    </w:p>
    <w:p w14:paraId="78B1D14E" w14:textId="77777777" w:rsidR="00171523" w:rsidRDefault="00171523" w:rsidP="000C0C11">
      <w:pPr>
        <w:pStyle w:val="BodyText"/>
        <w:rPr>
          <w:rFonts w:ascii="Arial" w:hAnsi="Arial" w:cs="Arial"/>
          <w:i w:val="0"/>
          <w:szCs w:val="24"/>
          <w:u w:val="single"/>
        </w:rPr>
      </w:pPr>
    </w:p>
    <w:p w14:paraId="316C6EA7" w14:textId="77777777" w:rsidR="000C0C11" w:rsidRDefault="000C0C11" w:rsidP="000C0C11">
      <w:pPr>
        <w:pStyle w:val="BodyText"/>
        <w:rPr>
          <w:rFonts w:ascii="Arial" w:hAnsi="Arial" w:cs="Arial"/>
          <w:i w:val="0"/>
          <w:szCs w:val="24"/>
        </w:rPr>
      </w:pPr>
      <w:r w:rsidRPr="000C0C11">
        <w:rPr>
          <w:rFonts w:ascii="Arial" w:hAnsi="Arial" w:cs="Arial"/>
          <w:i w:val="0"/>
          <w:szCs w:val="24"/>
          <w:u w:val="single"/>
        </w:rPr>
        <w:t>Bid versus Negotiation of Lease</w:t>
      </w:r>
      <w:r>
        <w:rPr>
          <w:rFonts w:ascii="Arial" w:hAnsi="Arial" w:cs="Arial"/>
          <w:i w:val="0"/>
          <w:szCs w:val="24"/>
        </w:rPr>
        <w:t xml:space="preserve"> </w:t>
      </w:r>
    </w:p>
    <w:p w14:paraId="27DDDAEE" w14:textId="77777777" w:rsidR="000C0C11" w:rsidRDefault="000C0C11" w:rsidP="000C0C11">
      <w:pPr>
        <w:pStyle w:val="BodyText"/>
        <w:rPr>
          <w:rFonts w:ascii="Arial" w:hAnsi="Arial" w:cs="Arial"/>
          <w:i w:val="0"/>
          <w:szCs w:val="24"/>
        </w:rPr>
      </w:pPr>
    </w:p>
    <w:p w14:paraId="0524A346" w14:textId="77777777" w:rsidR="000C0C11" w:rsidRDefault="000C0C11" w:rsidP="00635864">
      <w:pPr>
        <w:pStyle w:val="BodyText"/>
        <w:jc w:val="both"/>
        <w:rPr>
          <w:rFonts w:ascii="Arial" w:hAnsi="Arial" w:cs="Arial"/>
          <w:i w:val="0"/>
          <w:szCs w:val="24"/>
        </w:rPr>
      </w:pPr>
      <w:r w:rsidRPr="000C0C11">
        <w:rPr>
          <w:rFonts w:ascii="Arial" w:hAnsi="Arial" w:cs="Arial"/>
          <w:i w:val="0"/>
          <w:szCs w:val="24"/>
        </w:rPr>
        <w:t xml:space="preserve">The following paragraphs describe and analyze the </w:t>
      </w:r>
      <w:r>
        <w:rPr>
          <w:rFonts w:ascii="Arial" w:hAnsi="Arial" w:cs="Arial"/>
          <w:i w:val="0"/>
          <w:szCs w:val="24"/>
        </w:rPr>
        <w:t>rationale behind</w:t>
      </w:r>
      <w:r w:rsidRPr="000C0C11">
        <w:rPr>
          <w:rFonts w:ascii="Arial" w:hAnsi="Arial" w:cs="Arial"/>
          <w:i w:val="0"/>
          <w:szCs w:val="24"/>
        </w:rPr>
        <w:t xml:space="preserve"> the </w:t>
      </w:r>
      <w:r w:rsidR="00886E18">
        <w:rPr>
          <w:rFonts w:ascii="Arial" w:hAnsi="Arial" w:cs="Arial"/>
          <w:i w:val="0"/>
          <w:szCs w:val="24"/>
        </w:rPr>
        <w:t>Director</w:t>
      </w:r>
      <w:r w:rsidRPr="000C0C11">
        <w:rPr>
          <w:rFonts w:ascii="Arial" w:hAnsi="Arial" w:cs="Arial"/>
          <w:i w:val="0"/>
          <w:szCs w:val="24"/>
        </w:rPr>
        <w:t xml:space="preserve"> of the Facilities Management Division and the Executive</w:t>
      </w:r>
      <w:r>
        <w:rPr>
          <w:rFonts w:ascii="Arial" w:hAnsi="Arial" w:cs="Arial"/>
          <w:i w:val="0"/>
          <w:szCs w:val="24"/>
        </w:rPr>
        <w:t>’s</w:t>
      </w:r>
      <w:r w:rsidRPr="000C0C11">
        <w:rPr>
          <w:rFonts w:ascii="Arial" w:hAnsi="Arial" w:cs="Arial"/>
          <w:i w:val="0"/>
          <w:szCs w:val="24"/>
        </w:rPr>
        <w:t xml:space="preserve"> </w:t>
      </w:r>
      <w:r>
        <w:rPr>
          <w:rFonts w:ascii="Arial" w:hAnsi="Arial" w:cs="Arial"/>
          <w:i w:val="0"/>
          <w:szCs w:val="24"/>
        </w:rPr>
        <w:t xml:space="preserve">recommendation for a negotiated lease. </w:t>
      </w:r>
    </w:p>
    <w:p w14:paraId="264AEDCD" w14:textId="77777777" w:rsidR="00BF500E" w:rsidRPr="00600DA9" w:rsidRDefault="00BF500E" w:rsidP="000C0C11">
      <w:pPr>
        <w:pStyle w:val="BodyText"/>
        <w:rPr>
          <w:rFonts w:ascii="Arial" w:hAnsi="Arial" w:cs="Arial"/>
          <w:i w:val="0"/>
          <w:szCs w:val="24"/>
        </w:rPr>
      </w:pPr>
    </w:p>
    <w:p w14:paraId="2D306ED6" w14:textId="2DF4934C" w:rsidR="000C0C11" w:rsidRDefault="000C0C11" w:rsidP="00635864">
      <w:pPr>
        <w:pStyle w:val="BodyText"/>
        <w:jc w:val="both"/>
        <w:rPr>
          <w:rFonts w:ascii="Arial" w:hAnsi="Arial" w:cs="Arial"/>
          <w:i w:val="0"/>
          <w:szCs w:val="24"/>
        </w:rPr>
      </w:pPr>
      <w:r w:rsidRPr="00744488">
        <w:rPr>
          <w:rFonts w:ascii="Arial" w:hAnsi="Arial" w:cs="Arial"/>
          <w:szCs w:val="24"/>
        </w:rPr>
        <w:t>Benefits</w:t>
      </w:r>
      <w:r w:rsidR="00BF500E" w:rsidRPr="00600DA9">
        <w:rPr>
          <w:rFonts w:ascii="Arial" w:hAnsi="Arial" w:cs="Arial"/>
          <w:i w:val="0"/>
          <w:szCs w:val="24"/>
        </w:rPr>
        <w:t>:</w:t>
      </w:r>
      <w:r w:rsidRPr="00600DA9">
        <w:rPr>
          <w:rFonts w:ascii="Arial" w:hAnsi="Arial" w:cs="Arial"/>
          <w:i w:val="0"/>
          <w:szCs w:val="24"/>
        </w:rPr>
        <w:t xml:space="preserve"> </w:t>
      </w:r>
      <w:r>
        <w:rPr>
          <w:rFonts w:ascii="Arial" w:hAnsi="Arial" w:cs="Arial"/>
          <w:i w:val="0"/>
          <w:szCs w:val="24"/>
        </w:rPr>
        <w:t>KAS, while having only been in operation since 2016,</w:t>
      </w:r>
      <w:r w:rsidR="00EB1971">
        <w:rPr>
          <w:rFonts w:ascii="Arial" w:hAnsi="Arial" w:cs="Arial"/>
          <w:i w:val="0"/>
          <w:szCs w:val="24"/>
        </w:rPr>
        <w:t xml:space="preserve"> is part of a</w:t>
      </w:r>
      <w:r>
        <w:rPr>
          <w:rFonts w:ascii="Arial" w:hAnsi="Arial" w:cs="Arial"/>
          <w:i w:val="0"/>
          <w:szCs w:val="24"/>
        </w:rPr>
        <w:t xml:space="preserve"> </w:t>
      </w:r>
      <w:r w:rsidR="00EB1971">
        <w:rPr>
          <w:rFonts w:ascii="Arial" w:hAnsi="Arial" w:cs="Arial"/>
          <w:i w:val="0"/>
          <w:szCs w:val="24"/>
        </w:rPr>
        <w:t>group</w:t>
      </w:r>
      <w:r w:rsidR="00EB1971" w:rsidRPr="00EB1971">
        <w:rPr>
          <w:rFonts w:ascii="Arial" w:hAnsi="Arial" w:cs="Arial"/>
          <w:i w:val="0"/>
          <w:szCs w:val="24"/>
        </w:rPr>
        <w:t xml:space="preserve"> of King County companies</w:t>
      </w:r>
      <w:r w:rsidR="00EB1971">
        <w:rPr>
          <w:rFonts w:ascii="Arial" w:hAnsi="Arial" w:cs="Arial"/>
          <w:i w:val="0"/>
          <w:szCs w:val="24"/>
        </w:rPr>
        <w:t xml:space="preserve"> that has been</w:t>
      </w:r>
      <w:r w:rsidR="00EB1971" w:rsidRPr="00EB1971">
        <w:rPr>
          <w:rFonts w:ascii="Arial" w:hAnsi="Arial" w:cs="Arial"/>
          <w:i w:val="0"/>
          <w:szCs w:val="24"/>
        </w:rPr>
        <w:t xml:space="preserve"> operating continuously in the</w:t>
      </w:r>
      <w:r w:rsidR="00EB1971">
        <w:rPr>
          <w:rFonts w:ascii="Arial" w:hAnsi="Arial" w:cs="Arial"/>
          <w:i w:val="0"/>
          <w:szCs w:val="24"/>
        </w:rPr>
        <w:t xml:space="preserve"> Pacific Northwest since 1946. KAS assumed the former Aeroflight FBO and offers a</w:t>
      </w:r>
      <w:r w:rsidR="00EB1971" w:rsidRPr="00EB1971">
        <w:rPr>
          <w:rFonts w:ascii="Arial" w:hAnsi="Arial" w:cs="Arial"/>
          <w:i w:val="0"/>
          <w:szCs w:val="24"/>
        </w:rPr>
        <w:t xml:space="preserve"> </w:t>
      </w:r>
      <w:r w:rsidR="00EB1971">
        <w:rPr>
          <w:rFonts w:ascii="Arial" w:hAnsi="Arial" w:cs="Arial"/>
          <w:i w:val="0"/>
          <w:szCs w:val="24"/>
        </w:rPr>
        <w:t xml:space="preserve">business </w:t>
      </w:r>
      <w:r w:rsidR="00EB1971" w:rsidRPr="00EB1971">
        <w:rPr>
          <w:rFonts w:ascii="Arial" w:hAnsi="Arial" w:cs="Arial"/>
          <w:i w:val="0"/>
          <w:szCs w:val="24"/>
        </w:rPr>
        <w:t>platform</w:t>
      </w:r>
      <w:r w:rsidR="00EB1971">
        <w:rPr>
          <w:rFonts w:ascii="Arial" w:hAnsi="Arial" w:cs="Arial"/>
          <w:i w:val="0"/>
          <w:szCs w:val="24"/>
        </w:rPr>
        <w:t xml:space="preserve"> which</w:t>
      </w:r>
      <w:r w:rsidR="00EB1971" w:rsidRPr="00EB1971">
        <w:rPr>
          <w:rFonts w:ascii="Arial" w:hAnsi="Arial" w:cs="Arial"/>
          <w:i w:val="0"/>
          <w:szCs w:val="24"/>
        </w:rPr>
        <w:t xml:space="preserve"> includes service to the diverse constitu</w:t>
      </w:r>
      <w:r w:rsidR="00EB1971">
        <w:rPr>
          <w:rFonts w:ascii="Arial" w:hAnsi="Arial" w:cs="Arial"/>
          <w:i w:val="0"/>
          <w:szCs w:val="24"/>
        </w:rPr>
        <w:t xml:space="preserve">ents of </w:t>
      </w:r>
      <w:r w:rsidR="001955D9">
        <w:rPr>
          <w:rFonts w:ascii="Arial" w:hAnsi="Arial" w:cs="Arial"/>
          <w:i w:val="0"/>
          <w:szCs w:val="24"/>
        </w:rPr>
        <w:t>KCIA</w:t>
      </w:r>
      <w:r w:rsidR="00EB1971">
        <w:rPr>
          <w:rFonts w:ascii="Arial" w:hAnsi="Arial" w:cs="Arial"/>
          <w:i w:val="0"/>
          <w:szCs w:val="24"/>
        </w:rPr>
        <w:t xml:space="preserve"> </w:t>
      </w:r>
      <w:r w:rsidR="00344FA6">
        <w:rPr>
          <w:rFonts w:ascii="Arial" w:hAnsi="Arial" w:cs="Arial"/>
          <w:i w:val="0"/>
          <w:szCs w:val="24"/>
        </w:rPr>
        <w:t>including L</w:t>
      </w:r>
      <w:r w:rsidR="00EB1971" w:rsidRPr="00EB1971">
        <w:rPr>
          <w:rFonts w:ascii="Arial" w:hAnsi="Arial" w:cs="Arial"/>
          <w:i w:val="0"/>
          <w:szCs w:val="24"/>
        </w:rPr>
        <w:t xml:space="preserve">ight General Aviation, Corporate and Business Aviation, and the Cargo/Freight Forwarding sectors of the </w:t>
      </w:r>
      <w:r w:rsidR="00EB1971" w:rsidRPr="00EB1971">
        <w:rPr>
          <w:rFonts w:ascii="Arial" w:hAnsi="Arial" w:cs="Arial"/>
          <w:i w:val="0"/>
          <w:szCs w:val="24"/>
        </w:rPr>
        <w:lastRenderedPageBreak/>
        <w:t>airport marketplace</w:t>
      </w:r>
      <w:r w:rsidR="00EB1971">
        <w:rPr>
          <w:rFonts w:ascii="Arial" w:hAnsi="Arial" w:cs="Arial"/>
          <w:i w:val="0"/>
          <w:szCs w:val="24"/>
        </w:rPr>
        <w:t xml:space="preserve">. </w:t>
      </w:r>
      <w:r w:rsidR="00CD691A">
        <w:rPr>
          <w:rFonts w:ascii="Arial" w:hAnsi="Arial" w:cs="Arial"/>
          <w:i w:val="0"/>
          <w:szCs w:val="24"/>
        </w:rPr>
        <w:t>Table 2</w:t>
      </w:r>
      <w:r w:rsidR="003C3126">
        <w:rPr>
          <w:rFonts w:ascii="Arial" w:hAnsi="Arial" w:cs="Arial"/>
          <w:i w:val="0"/>
          <w:szCs w:val="24"/>
        </w:rPr>
        <w:t xml:space="preserve"> provides a summary of the benefits to the County under the proposed lease. </w:t>
      </w:r>
      <w:r>
        <w:rPr>
          <w:rFonts w:ascii="Arial" w:hAnsi="Arial" w:cs="Arial"/>
          <w:i w:val="0"/>
          <w:szCs w:val="24"/>
        </w:rPr>
        <w:t xml:space="preserve"> </w:t>
      </w:r>
    </w:p>
    <w:p w14:paraId="3618E40E" w14:textId="77777777" w:rsidR="003C3126" w:rsidRDefault="003C3126" w:rsidP="005B478C">
      <w:pPr>
        <w:pStyle w:val="BodyText"/>
        <w:jc w:val="both"/>
        <w:rPr>
          <w:rFonts w:ascii="Arial" w:hAnsi="Arial" w:cs="Arial"/>
          <w:i w:val="0"/>
          <w:szCs w:val="24"/>
        </w:rPr>
      </w:pPr>
    </w:p>
    <w:p w14:paraId="73F1BE88" w14:textId="77777777" w:rsidR="003C3126" w:rsidRPr="00852684" w:rsidRDefault="003C3126" w:rsidP="003C3126">
      <w:pPr>
        <w:ind w:left="-90" w:right="-450"/>
        <w:jc w:val="center"/>
        <w:rPr>
          <w:rFonts w:ascii="Arial" w:hAnsi="Arial" w:cs="Arial"/>
          <w:b/>
          <w:szCs w:val="24"/>
        </w:rPr>
      </w:pPr>
      <w:r>
        <w:rPr>
          <w:rFonts w:ascii="Arial" w:hAnsi="Arial" w:cs="Arial"/>
          <w:b/>
          <w:szCs w:val="24"/>
        </w:rPr>
        <w:t>Table 2</w:t>
      </w:r>
      <w:r w:rsidRPr="00852684">
        <w:rPr>
          <w:rFonts w:ascii="Arial" w:hAnsi="Arial" w:cs="Arial"/>
          <w:b/>
          <w:szCs w:val="24"/>
        </w:rPr>
        <w:t xml:space="preserve"> - Total County Benefits</w:t>
      </w:r>
    </w:p>
    <w:tbl>
      <w:tblPr>
        <w:tblStyle w:val="TableGrid"/>
        <w:tblW w:w="0" w:type="auto"/>
        <w:tblLook w:val="04A0" w:firstRow="1" w:lastRow="0" w:firstColumn="1" w:lastColumn="0" w:noHBand="0" w:noVBand="1"/>
      </w:tblPr>
      <w:tblGrid>
        <w:gridCol w:w="5958"/>
        <w:gridCol w:w="3618"/>
      </w:tblGrid>
      <w:tr w:rsidR="00AB7FB5" w14:paraId="1D48EF43" w14:textId="77777777" w:rsidTr="00D80819">
        <w:tc>
          <w:tcPr>
            <w:tcW w:w="5958" w:type="dxa"/>
          </w:tcPr>
          <w:p w14:paraId="1C275242" w14:textId="77777777" w:rsidR="00AB7FB5" w:rsidRPr="00AB7FB5" w:rsidRDefault="00AB7FB5" w:rsidP="00AB7FB5">
            <w:pPr>
              <w:rPr>
                <w:rFonts w:ascii="Arial" w:hAnsi="Arial" w:cs="Arial"/>
                <w:b/>
                <w:szCs w:val="24"/>
              </w:rPr>
            </w:pPr>
            <w:r w:rsidRPr="00AB7FB5">
              <w:rPr>
                <w:rFonts w:ascii="Arial" w:hAnsi="Arial" w:cs="Arial"/>
                <w:b/>
                <w:szCs w:val="24"/>
              </w:rPr>
              <w:t>Action</w:t>
            </w:r>
          </w:p>
        </w:tc>
        <w:tc>
          <w:tcPr>
            <w:tcW w:w="3618" w:type="dxa"/>
          </w:tcPr>
          <w:p w14:paraId="2B8B625A" w14:textId="77777777" w:rsidR="00AB7FB5" w:rsidRPr="00AB7FB5" w:rsidRDefault="00AB7FB5" w:rsidP="00AB7FB5">
            <w:pPr>
              <w:jc w:val="center"/>
              <w:rPr>
                <w:rFonts w:ascii="Arial" w:hAnsi="Arial" w:cs="Arial"/>
                <w:b/>
                <w:szCs w:val="24"/>
              </w:rPr>
            </w:pPr>
            <w:r w:rsidRPr="00AB7FB5">
              <w:rPr>
                <w:rFonts w:ascii="Arial" w:hAnsi="Arial" w:cs="Arial"/>
                <w:b/>
                <w:szCs w:val="24"/>
              </w:rPr>
              <w:t>Benefit</w:t>
            </w:r>
          </w:p>
        </w:tc>
      </w:tr>
      <w:tr w:rsidR="00AB7FB5" w14:paraId="595EA2D4" w14:textId="77777777" w:rsidTr="00D80819">
        <w:tc>
          <w:tcPr>
            <w:tcW w:w="5958" w:type="dxa"/>
          </w:tcPr>
          <w:p w14:paraId="120FABA5" w14:textId="77777777" w:rsidR="00AB7FB5" w:rsidRPr="00AB7FB5" w:rsidRDefault="00891A7B" w:rsidP="00AB7FB5">
            <w:pPr>
              <w:rPr>
                <w:rFonts w:ascii="Arial" w:hAnsi="Arial" w:cs="Arial"/>
                <w:szCs w:val="24"/>
              </w:rPr>
            </w:pPr>
            <w:r>
              <w:rPr>
                <w:rFonts w:ascii="Arial" w:hAnsi="Arial" w:cs="Arial"/>
                <w:szCs w:val="24"/>
              </w:rPr>
              <w:t>19</w:t>
            </w:r>
            <w:r w:rsidR="00AB7FB5" w:rsidRPr="00AB7FB5">
              <w:rPr>
                <w:rFonts w:ascii="Arial" w:hAnsi="Arial" w:cs="Arial"/>
                <w:szCs w:val="24"/>
              </w:rPr>
              <w:t xml:space="preserve"> Employees</w:t>
            </w:r>
          </w:p>
        </w:tc>
        <w:tc>
          <w:tcPr>
            <w:tcW w:w="3618" w:type="dxa"/>
          </w:tcPr>
          <w:p w14:paraId="7E38854C" w14:textId="77777777" w:rsidR="00AB7FB5" w:rsidRPr="00AB7FB5" w:rsidRDefault="00AB7FB5" w:rsidP="00AB7FB5">
            <w:pPr>
              <w:jc w:val="center"/>
              <w:rPr>
                <w:rFonts w:ascii="Arial" w:hAnsi="Arial" w:cs="Arial"/>
                <w:szCs w:val="24"/>
              </w:rPr>
            </w:pPr>
            <w:r w:rsidRPr="00AB7FB5">
              <w:rPr>
                <w:rFonts w:ascii="Arial" w:hAnsi="Arial" w:cs="Arial"/>
                <w:szCs w:val="24"/>
              </w:rPr>
              <w:t>Payroll</w:t>
            </w:r>
          </w:p>
        </w:tc>
      </w:tr>
      <w:tr w:rsidR="00AB7FB5" w14:paraId="30747CE4" w14:textId="77777777" w:rsidTr="00D80819">
        <w:tc>
          <w:tcPr>
            <w:tcW w:w="5958" w:type="dxa"/>
          </w:tcPr>
          <w:p w14:paraId="1E99805A" w14:textId="13BB7505" w:rsidR="00AB7FB5" w:rsidRPr="00AB7FB5" w:rsidRDefault="00C76212" w:rsidP="00AB7FB5">
            <w:pPr>
              <w:rPr>
                <w:rFonts w:ascii="Arial" w:hAnsi="Arial" w:cs="Arial"/>
                <w:szCs w:val="24"/>
              </w:rPr>
            </w:pPr>
            <w:r>
              <w:rPr>
                <w:rFonts w:ascii="Arial" w:hAnsi="Arial" w:cs="Arial"/>
                <w:szCs w:val="24"/>
              </w:rPr>
              <w:t>Significant e</w:t>
            </w:r>
            <w:r w:rsidR="00AB7FB5" w:rsidRPr="00AB7FB5">
              <w:rPr>
                <w:rFonts w:ascii="Arial" w:hAnsi="Arial" w:cs="Arial"/>
                <w:szCs w:val="24"/>
              </w:rPr>
              <w:t xml:space="preserve">xpansion of FBO services provided since 2016 </w:t>
            </w:r>
            <w:r>
              <w:rPr>
                <w:rFonts w:ascii="Arial" w:hAnsi="Arial" w:cs="Arial"/>
                <w:szCs w:val="24"/>
              </w:rPr>
              <w:t xml:space="preserve">(44,000 </w:t>
            </w:r>
            <w:r w:rsidR="00DA4938">
              <w:rPr>
                <w:rFonts w:ascii="Arial" w:hAnsi="Arial" w:cs="Arial"/>
                <w:szCs w:val="24"/>
              </w:rPr>
              <w:t>sq</w:t>
            </w:r>
            <w:r>
              <w:rPr>
                <w:rFonts w:ascii="Arial" w:hAnsi="Arial" w:cs="Arial"/>
                <w:szCs w:val="24"/>
              </w:rPr>
              <w:t>/f FBO terminal &amp; hangar space)</w:t>
            </w:r>
          </w:p>
        </w:tc>
        <w:tc>
          <w:tcPr>
            <w:tcW w:w="3618" w:type="dxa"/>
          </w:tcPr>
          <w:p w14:paraId="01DDAE4D" w14:textId="77777777" w:rsidR="00AB7FB5" w:rsidRPr="00AB7FB5" w:rsidRDefault="00AB7FB5" w:rsidP="00AB7FB5">
            <w:pPr>
              <w:jc w:val="center"/>
              <w:rPr>
                <w:rFonts w:ascii="Arial" w:hAnsi="Arial" w:cs="Arial"/>
                <w:szCs w:val="24"/>
              </w:rPr>
            </w:pPr>
            <w:r w:rsidRPr="00AB7FB5">
              <w:rPr>
                <w:rFonts w:ascii="Arial" w:hAnsi="Arial" w:cs="Arial"/>
                <w:szCs w:val="24"/>
              </w:rPr>
              <w:t>Services to tenants and transient aircraft</w:t>
            </w:r>
          </w:p>
        </w:tc>
      </w:tr>
      <w:tr w:rsidR="00AB7FB5" w14:paraId="717046D7" w14:textId="77777777" w:rsidTr="00D80819">
        <w:tc>
          <w:tcPr>
            <w:tcW w:w="5958" w:type="dxa"/>
            <w:vAlign w:val="center"/>
          </w:tcPr>
          <w:p w14:paraId="7FE80427" w14:textId="77777777" w:rsidR="00AB7FB5" w:rsidRPr="00AB7FB5" w:rsidRDefault="00AB7FB5" w:rsidP="00D80819">
            <w:pPr>
              <w:rPr>
                <w:rFonts w:ascii="Arial" w:hAnsi="Arial" w:cs="Arial"/>
                <w:szCs w:val="24"/>
              </w:rPr>
            </w:pPr>
            <w:r w:rsidRPr="00AB7FB5">
              <w:rPr>
                <w:rFonts w:ascii="Arial" w:hAnsi="Arial" w:cs="Arial"/>
                <w:szCs w:val="24"/>
              </w:rPr>
              <w:t>Commitment to support for LGA community</w:t>
            </w:r>
          </w:p>
        </w:tc>
        <w:tc>
          <w:tcPr>
            <w:tcW w:w="3618" w:type="dxa"/>
          </w:tcPr>
          <w:p w14:paraId="02F44E66" w14:textId="77777777" w:rsidR="00AB7FB5" w:rsidRPr="00AB7FB5" w:rsidRDefault="00AB7FB5" w:rsidP="00AB7FB5">
            <w:pPr>
              <w:jc w:val="center"/>
              <w:rPr>
                <w:rFonts w:ascii="Arial" w:hAnsi="Arial" w:cs="Arial"/>
                <w:szCs w:val="24"/>
              </w:rPr>
            </w:pPr>
            <w:r w:rsidRPr="00AB7FB5">
              <w:rPr>
                <w:rFonts w:ascii="Arial" w:hAnsi="Arial" w:cs="Arial"/>
                <w:szCs w:val="24"/>
              </w:rPr>
              <w:t>Dedicated LGA services and parking</w:t>
            </w:r>
          </w:p>
        </w:tc>
      </w:tr>
      <w:tr w:rsidR="00FF7609" w14:paraId="6FCD80A3" w14:textId="77777777" w:rsidTr="00D80819">
        <w:tc>
          <w:tcPr>
            <w:tcW w:w="5958" w:type="dxa"/>
            <w:vAlign w:val="center"/>
          </w:tcPr>
          <w:p w14:paraId="4D3D8F93" w14:textId="3B76B027" w:rsidR="00FF7609" w:rsidRPr="00AB7FB5" w:rsidRDefault="00FF7609" w:rsidP="00D80819">
            <w:pPr>
              <w:rPr>
                <w:rFonts w:ascii="Arial" w:hAnsi="Arial" w:cs="Arial"/>
                <w:szCs w:val="24"/>
              </w:rPr>
            </w:pPr>
            <w:r>
              <w:rPr>
                <w:rFonts w:ascii="Arial" w:hAnsi="Arial" w:cs="Arial"/>
                <w:szCs w:val="24"/>
              </w:rPr>
              <w:t>Acceptance of sight “as-is,” including unknown environmental contamination</w:t>
            </w:r>
          </w:p>
        </w:tc>
        <w:tc>
          <w:tcPr>
            <w:tcW w:w="3618" w:type="dxa"/>
          </w:tcPr>
          <w:p w14:paraId="4DB9E686" w14:textId="236E3F76" w:rsidR="00FF7609" w:rsidRPr="00AB7FB5" w:rsidRDefault="00D80819" w:rsidP="00FF7609">
            <w:pPr>
              <w:jc w:val="center"/>
              <w:rPr>
                <w:rFonts w:ascii="Arial" w:hAnsi="Arial" w:cs="Arial"/>
                <w:szCs w:val="24"/>
              </w:rPr>
            </w:pPr>
            <w:r>
              <w:rPr>
                <w:rFonts w:ascii="Arial" w:hAnsi="Arial" w:cs="Arial"/>
                <w:szCs w:val="24"/>
              </w:rPr>
              <w:t>KAS</w:t>
            </w:r>
            <w:r w:rsidR="00C76212">
              <w:rPr>
                <w:rFonts w:ascii="Arial" w:hAnsi="Arial" w:cs="Arial"/>
                <w:szCs w:val="24"/>
              </w:rPr>
              <w:t xml:space="preserve"> </w:t>
            </w:r>
            <w:r w:rsidR="00FF7609">
              <w:rPr>
                <w:rFonts w:ascii="Arial" w:hAnsi="Arial" w:cs="Arial"/>
                <w:szCs w:val="24"/>
              </w:rPr>
              <w:t>responsible for</w:t>
            </w:r>
            <w:r>
              <w:rPr>
                <w:rFonts w:ascii="Arial" w:hAnsi="Arial" w:cs="Arial"/>
                <w:szCs w:val="24"/>
              </w:rPr>
              <w:t xml:space="preserve"> remediation associated with </w:t>
            </w:r>
            <w:r w:rsidR="00FF7609">
              <w:rPr>
                <w:rFonts w:ascii="Arial" w:hAnsi="Arial" w:cs="Arial"/>
                <w:szCs w:val="24"/>
              </w:rPr>
              <w:t>clean-up</w:t>
            </w:r>
            <w:r>
              <w:rPr>
                <w:rFonts w:ascii="Arial" w:hAnsi="Arial" w:cs="Arial"/>
                <w:szCs w:val="24"/>
              </w:rPr>
              <w:t xml:space="preserve"> during development</w:t>
            </w:r>
          </w:p>
        </w:tc>
      </w:tr>
      <w:tr w:rsidR="00AB7FB5" w14:paraId="34E590DE" w14:textId="77777777" w:rsidTr="00D80819">
        <w:tc>
          <w:tcPr>
            <w:tcW w:w="5958" w:type="dxa"/>
          </w:tcPr>
          <w:p w14:paraId="7B5A9141" w14:textId="77777777" w:rsidR="00AB7FB5" w:rsidRPr="00AB7FB5" w:rsidRDefault="00AB7FB5" w:rsidP="00AB7FB5">
            <w:pPr>
              <w:rPr>
                <w:rFonts w:ascii="Arial" w:hAnsi="Arial" w:cs="Arial"/>
                <w:szCs w:val="24"/>
              </w:rPr>
            </w:pPr>
            <w:r w:rsidRPr="00AB7FB5">
              <w:rPr>
                <w:rFonts w:ascii="Arial" w:hAnsi="Arial" w:cs="Arial"/>
                <w:szCs w:val="24"/>
              </w:rPr>
              <w:t>Total Facility Investment</w:t>
            </w:r>
          </w:p>
        </w:tc>
        <w:tc>
          <w:tcPr>
            <w:tcW w:w="3618" w:type="dxa"/>
          </w:tcPr>
          <w:p w14:paraId="5C8351CA" w14:textId="77777777" w:rsidR="00AB7FB5" w:rsidRPr="00AB7FB5" w:rsidRDefault="00AB7FB5" w:rsidP="00AB7FB5">
            <w:pPr>
              <w:jc w:val="center"/>
              <w:rPr>
                <w:rFonts w:ascii="Arial" w:hAnsi="Arial" w:cs="Arial"/>
                <w:szCs w:val="24"/>
              </w:rPr>
            </w:pPr>
            <w:r w:rsidRPr="00AB7FB5">
              <w:rPr>
                <w:rFonts w:ascii="Arial" w:hAnsi="Arial" w:cs="Arial"/>
                <w:szCs w:val="24"/>
              </w:rPr>
              <w:t>$14.8 million</w:t>
            </w:r>
          </w:p>
        </w:tc>
      </w:tr>
      <w:tr w:rsidR="00AB7FB5" w14:paraId="3FABED49" w14:textId="77777777" w:rsidTr="00D80819">
        <w:tc>
          <w:tcPr>
            <w:tcW w:w="5958" w:type="dxa"/>
          </w:tcPr>
          <w:p w14:paraId="65F3705C" w14:textId="77777777" w:rsidR="00AB7FB5" w:rsidRPr="00AB7FB5" w:rsidRDefault="00AB7FB5" w:rsidP="00AB7FB5">
            <w:pPr>
              <w:rPr>
                <w:rFonts w:ascii="Arial" w:hAnsi="Arial" w:cs="Arial"/>
                <w:szCs w:val="24"/>
              </w:rPr>
            </w:pPr>
            <w:r w:rsidRPr="00AB7FB5">
              <w:rPr>
                <w:rFonts w:ascii="Arial" w:hAnsi="Arial" w:cs="Arial"/>
                <w:szCs w:val="24"/>
              </w:rPr>
              <w:t>Excess site improvement value</w:t>
            </w:r>
          </w:p>
        </w:tc>
        <w:tc>
          <w:tcPr>
            <w:tcW w:w="3618" w:type="dxa"/>
          </w:tcPr>
          <w:p w14:paraId="472A5FD9" w14:textId="77777777" w:rsidR="00AB7FB5" w:rsidRPr="00AB7FB5" w:rsidRDefault="00AB7FB5" w:rsidP="00AB7FB5">
            <w:pPr>
              <w:jc w:val="center"/>
              <w:rPr>
                <w:rFonts w:ascii="Arial" w:hAnsi="Arial" w:cs="Arial"/>
                <w:szCs w:val="24"/>
              </w:rPr>
            </w:pPr>
            <w:r w:rsidRPr="00AB7FB5">
              <w:rPr>
                <w:rFonts w:ascii="Arial" w:hAnsi="Arial" w:cs="Arial"/>
                <w:szCs w:val="24"/>
              </w:rPr>
              <w:t>$3 million</w:t>
            </w:r>
          </w:p>
        </w:tc>
      </w:tr>
      <w:tr w:rsidR="00AB7FB5" w14:paraId="6CCF9363" w14:textId="77777777" w:rsidTr="00D80819">
        <w:tc>
          <w:tcPr>
            <w:tcW w:w="5958" w:type="dxa"/>
          </w:tcPr>
          <w:p w14:paraId="41BAE11C" w14:textId="77777777" w:rsidR="00AB7FB5" w:rsidRPr="00AB7FB5" w:rsidRDefault="00AB7FB5" w:rsidP="00AB7FB5">
            <w:pPr>
              <w:rPr>
                <w:rFonts w:ascii="Arial" w:hAnsi="Arial" w:cs="Arial"/>
                <w:szCs w:val="24"/>
              </w:rPr>
            </w:pPr>
            <w:r>
              <w:rPr>
                <w:rFonts w:ascii="Arial" w:hAnsi="Arial" w:cs="Arial"/>
                <w:szCs w:val="24"/>
              </w:rPr>
              <w:t>Annual Lease Payment &amp; Leasehold Tax</w:t>
            </w:r>
          </w:p>
        </w:tc>
        <w:tc>
          <w:tcPr>
            <w:tcW w:w="3618" w:type="dxa"/>
          </w:tcPr>
          <w:p w14:paraId="395AD5F9" w14:textId="77777777" w:rsidR="00AB7FB5" w:rsidRPr="00AB7FB5" w:rsidRDefault="00AB7FB5" w:rsidP="00AB7FB5">
            <w:pPr>
              <w:jc w:val="center"/>
              <w:rPr>
                <w:rFonts w:ascii="Arial" w:hAnsi="Arial" w:cs="Arial"/>
                <w:szCs w:val="24"/>
              </w:rPr>
            </w:pPr>
            <w:r>
              <w:rPr>
                <w:rFonts w:ascii="Arial" w:hAnsi="Arial" w:cs="Arial"/>
                <w:szCs w:val="24"/>
              </w:rPr>
              <w:t>$1,116,696</w:t>
            </w:r>
          </w:p>
        </w:tc>
      </w:tr>
    </w:tbl>
    <w:p w14:paraId="27E9EBD8" w14:textId="77777777" w:rsidR="006D2D05" w:rsidRDefault="006D2D05" w:rsidP="006D2D05">
      <w:pPr>
        <w:pStyle w:val="BodyText"/>
        <w:jc w:val="both"/>
        <w:rPr>
          <w:rFonts w:ascii="Arial" w:hAnsi="Arial" w:cs="Arial"/>
          <w:i w:val="0"/>
          <w:szCs w:val="24"/>
        </w:rPr>
      </w:pPr>
    </w:p>
    <w:p w14:paraId="5AEFB7D6" w14:textId="77ACCC99" w:rsidR="00600DA9" w:rsidRPr="00600DA9" w:rsidRDefault="006D2D05" w:rsidP="00600DA9">
      <w:pPr>
        <w:ind w:left="-90" w:right="-450"/>
        <w:jc w:val="both"/>
        <w:rPr>
          <w:rFonts w:ascii="Arial" w:hAnsi="Arial" w:cs="Arial"/>
          <w:szCs w:val="24"/>
        </w:rPr>
      </w:pPr>
      <w:r w:rsidRPr="00600DA9">
        <w:rPr>
          <w:rFonts w:ascii="Arial" w:hAnsi="Arial" w:cs="Arial"/>
          <w:szCs w:val="24"/>
        </w:rPr>
        <w:t>In his direct negotiation letter</w:t>
      </w:r>
      <w:r w:rsidR="006E4365" w:rsidRPr="00744488">
        <w:rPr>
          <w:rStyle w:val="FootnoteReference"/>
          <w:rFonts w:ascii="Arial" w:hAnsi="Arial" w:cs="Arial"/>
          <w:szCs w:val="24"/>
        </w:rPr>
        <w:footnoteReference w:id="6"/>
      </w:r>
      <w:r w:rsidR="00744488">
        <w:rPr>
          <w:rFonts w:ascii="Arial" w:hAnsi="Arial" w:cs="Arial"/>
          <w:szCs w:val="24"/>
        </w:rPr>
        <w:t xml:space="preserve">, </w:t>
      </w:r>
      <w:r w:rsidRPr="00600DA9">
        <w:rPr>
          <w:rFonts w:ascii="Arial" w:hAnsi="Arial" w:cs="Arial"/>
          <w:szCs w:val="24"/>
        </w:rPr>
        <w:t xml:space="preserve">the </w:t>
      </w:r>
      <w:r w:rsidR="00E47475">
        <w:rPr>
          <w:rFonts w:ascii="Arial" w:hAnsi="Arial" w:cs="Arial"/>
          <w:szCs w:val="24"/>
        </w:rPr>
        <w:t>FMD</w:t>
      </w:r>
      <w:r w:rsidRPr="00600DA9">
        <w:rPr>
          <w:rFonts w:ascii="Arial" w:hAnsi="Arial" w:cs="Arial"/>
          <w:szCs w:val="24"/>
        </w:rPr>
        <w:t xml:space="preserve"> Director</w:t>
      </w:r>
      <w:r w:rsidR="00600DA9" w:rsidRPr="00600DA9">
        <w:rPr>
          <w:rFonts w:ascii="Arial" w:hAnsi="Arial" w:cs="Arial"/>
          <w:szCs w:val="24"/>
        </w:rPr>
        <w:t xml:space="preserve"> describes the operating revenue generated by KAS’ expansion into a full service FBO as comparing favorably against that which would be produced by a private corporate hangar tenant. </w:t>
      </w:r>
      <w:r w:rsidR="00DA4938">
        <w:rPr>
          <w:rFonts w:ascii="Arial" w:hAnsi="Arial" w:cs="Arial"/>
          <w:szCs w:val="24"/>
        </w:rPr>
        <w:t>According to e</w:t>
      </w:r>
      <w:r w:rsidR="00600DA9" w:rsidRPr="00600DA9">
        <w:rPr>
          <w:rFonts w:ascii="Arial" w:hAnsi="Arial" w:cs="Arial"/>
          <w:szCs w:val="24"/>
        </w:rPr>
        <w:t>xecutive staff, the operating revenue from KAS includes the same ground rent as a corporate hangar user, generates more fuel flowage fees and more landing fees. Corporate hangar tenants typically pay the same ground rent, generate much less fuel flowage fees and do not pay landing fees as aircraft based at KCIA do not pay landing fees</w:t>
      </w:r>
      <w:r w:rsidR="00744488" w:rsidRPr="00744488">
        <w:rPr>
          <w:rStyle w:val="FootnoteReference"/>
          <w:rFonts w:ascii="Arial" w:hAnsi="Arial" w:cs="Arial"/>
          <w:szCs w:val="24"/>
        </w:rPr>
        <w:footnoteReference w:id="7"/>
      </w:r>
      <w:r w:rsidR="00744488">
        <w:rPr>
          <w:rFonts w:ascii="Arial" w:hAnsi="Arial" w:cs="Arial"/>
          <w:szCs w:val="24"/>
        </w:rPr>
        <w:t>.</w:t>
      </w:r>
    </w:p>
    <w:p w14:paraId="1B604763" w14:textId="77777777" w:rsidR="00600DA9" w:rsidRPr="00600DA9" w:rsidRDefault="00600DA9" w:rsidP="00600DA9">
      <w:pPr>
        <w:ind w:left="-90" w:right="-450"/>
        <w:jc w:val="both"/>
        <w:rPr>
          <w:rFonts w:ascii="Arial" w:hAnsi="Arial" w:cs="Arial"/>
          <w:szCs w:val="24"/>
        </w:rPr>
      </w:pPr>
    </w:p>
    <w:p w14:paraId="6E0C146B" w14:textId="3B31F3E8" w:rsidR="00135D25" w:rsidRPr="00600DA9" w:rsidRDefault="00600DA9" w:rsidP="00600DA9">
      <w:pPr>
        <w:ind w:left="-90" w:right="-450"/>
        <w:jc w:val="both"/>
        <w:rPr>
          <w:rFonts w:ascii="Arial" w:hAnsi="Arial" w:cs="Arial"/>
          <w:szCs w:val="24"/>
        </w:rPr>
      </w:pPr>
      <w:r w:rsidRPr="00600DA9">
        <w:rPr>
          <w:rFonts w:ascii="Arial" w:hAnsi="Arial" w:cs="Arial"/>
          <w:szCs w:val="24"/>
        </w:rPr>
        <w:t>The</w:t>
      </w:r>
      <w:r w:rsidR="00DA4938">
        <w:rPr>
          <w:rFonts w:ascii="Arial" w:hAnsi="Arial" w:cs="Arial"/>
          <w:szCs w:val="24"/>
        </w:rPr>
        <w:t xml:space="preserve"> Director’s</w:t>
      </w:r>
      <w:r w:rsidRPr="00600DA9">
        <w:rPr>
          <w:rFonts w:ascii="Arial" w:hAnsi="Arial" w:cs="Arial"/>
          <w:szCs w:val="24"/>
        </w:rPr>
        <w:t xml:space="preserve"> letter also </w:t>
      </w:r>
      <w:r w:rsidR="00594C1E" w:rsidRPr="00600DA9">
        <w:rPr>
          <w:rFonts w:ascii="Arial" w:hAnsi="Arial" w:cs="Arial"/>
          <w:szCs w:val="24"/>
        </w:rPr>
        <w:t>makes several</w:t>
      </w:r>
      <w:r w:rsidR="006D2D05" w:rsidRPr="00600DA9">
        <w:rPr>
          <w:rFonts w:ascii="Arial" w:hAnsi="Arial" w:cs="Arial"/>
          <w:szCs w:val="24"/>
        </w:rPr>
        <w:t xml:space="preserve"> </w:t>
      </w:r>
      <w:r w:rsidR="00594C1E" w:rsidRPr="00600DA9">
        <w:rPr>
          <w:rFonts w:ascii="Arial" w:hAnsi="Arial" w:cs="Arial"/>
          <w:szCs w:val="24"/>
        </w:rPr>
        <w:t xml:space="preserve">references to KAS’ </w:t>
      </w:r>
      <w:r w:rsidR="006D2D05" w:rsidRPr="00600DA9">
        <w:rPr>
          <w:rFonts w:ascii="Arial" w:hAnsi="Arial" w:cs="Arial"/>
          <w:szCs w:val="24"/>
        </w:rPr>
        <w:t>commitment to serving and growing the LGA community</w:t>
      </w:r>
      <w:r w:rsidR="00594C1E" w:rsidRPr="00600DA9">
        <w:rPr>
          <w:rFonts w:ascii="Arial" w:hAnsi="Arial" w:cs="Arial"/>
          <w:szCs w:val="24"/>
        </w:rPr>
        <w:t xml:space="preserve"> at KCIA as</w:t>
      </w:r>
      <w:r w:rsidR="006D2D05" w:rsidRPr="00600DA9">
        <w:rPr>
          <w:rFonts w:ascii="Arial" w:hAnsi="Arial" w:cs="Arial"/>
          <w:szCs w:val="24"/>
        </w:rPr>
        <w:t xml:space="preserve"> advantageous </w:t>
      </w:r>
      <w:r w:rsidR="00594C1E" w:rsidRPr="00600DA9">
        <w:rPr>
          <w:rFonts w:ascii="Arial" w:hAnsi="Arial" w:cs="Arial"/>
          <w:szCs w:val="24"/>
        </w:rPr>
        <w:t>and</w:t>
      </w:r>
      <w:r w:rsidR="006D2D05" w:rsidRPr="00600DA9">
        <w:rPr>
          <w:rFonts w:ascii="Arial" w:hAnsi="Arial" w:cs="Arial"/>
          <w:szCs w:val="24"/>
        </w:rPr>
        <w:t xml:space="preserve"> a contributing factor </w:t>
      </w:r>
      <w:r w:rsidR="006E4365" w:rsidRPr="00600DA9">
        <w:rPr>
          <w:rFonts w:ascii="Arial" w:hAnsi="Arial" w:cs="Arial"/>
          <w:szCs w:val="24"/>
        </w:rPr>
        <w:t>in</w:t>
      </w:r>
      <w:r w:rsidR="006D2D05" w:rsidRPr="00600DA9">
        <w:rPr>
          <w:rFonts w:ascii="Arial" w:hAnsi="Arial" w:cs="Arial"/>
          <w:szCs w:val="24"/>
        </w:rPr>
        <w:t xml:space="preserve"> pursu</w:t>
      </w:r>
      <w:r w:rsidR="00594C1E" w:rsidRPr="00600DA9">
        <w:rPr>
          <w:rFonts w:ascii="Arial" w:hAnsi="Arial" w:cs="Arial"/>
          <w:szCs w:val="24"/>
        </w:rPr>
        <w:t xml:space="preserve">ing </w:t>
      </w:r>
      <w:r w:rsidR="00253F1A" w:rsidRPr="00600DA9">
        <w:rPr>
          <w:rFonts w:ascii="Arial" w:hAnsi="Arial" w:cs="Arial"/>
          <w:szCs w:val="24"/>
        </w:rPr>
        <w:t>a</w:t>
      </w:r>
      <w:r w:rsidR="006D2D05" w:rsidRPr="00600DA9">
        <w:rPr>
          <w:rFonts w:ascii="Arial" w:hAnsi="Arial" w:cs="Arial"/>
          <w:szCs w:val="24"/>
        </w:rPr>
        <w:t xml:space="preserve"> negotiated lease</w:t>
      </w:r>
      <w:r w:rsidR="00253F1A" w:rsidRPr="00600DA9">
        <w:rPr>
          <w:rFonts w:ascii="Arial" w:hAnsi="Arial" w:cs="Arial"/>
          <w:szCs w:val="24"/>
        </w:rPr>
        <w:t xml:space="preserve"> with KAS</w:t>
      </w:r>
      <w:r w:rsidR="006D2D05" w:rsidRPr="00600DA9">
        <w:rPr>
          <w:rFonts w:ascii="Arial" w:hAnsi="Arial" w:cs="Arial"/>
          <w:szCs w:val="24"/>
        </w:rPr>
        <w:t>.</w:t>
      </w:r>
      <w:r w:rsidR="00594C1E" w:rsidRPr="00600DA9">
        <w:rPr>
          <w:rFonts w:ascii="Arial" w:hAnsi="Arial" w:cs="Arial"/>
          <w:szCs w:val="24"/>
        </w:rPr>
        <w:t xml:space="preserve"> This commitment is represented in</w:t>
      </w:r>
      <w:r w:rsidR="006D2D05" w:rsidRPr="00600DA9">
        <w:rPr>
          <w:rFonts w:ascii="Arial" w:hAnsi="Arial" w:cs="Arial"/>
          <w:szCs w:val="24"/>
        </w:rPr>
        <w:t xml:space="preserve"> </w:t>
      </w:r>
      <w:r w:rsidR="00594C1E" w:rsidRPr="00600DA9">
        <w:rPr>
          <w:rFonts w:ascii="Arial" w:hAnsi="Arial" w:cs="Arial"/>
          <w:szCs w:val="24"/>
        </w:rPr>
        <w:t>t</w:t>
      </w:r>
      <w:r w:rsidR="006D2D05" w:rsidRPr="00600DA9">
        <w:rPr>
          <w:rFonts w:ascii="Arial" w:hAnsi="Arial" w:cs="Arial"/>
          <w:szCs w:val="24"/>
        </w:rPr>
        <w:t>he proposed lease</w:t>
      </w:r>
      <w:r w:rsidR="00594C1E" w:rsidRPr="00600DA9">
        <w:rPr>
          <w:rFonts w:ascii="Arial" w:hAnsi="Arial" w:cs="Arial"/>
          <w:szCs w:val="24"/>
        </w:rPr>
        <w:t xml:space="preserve"> which</w:t>
      </w:r>
      <w:r w:rsidR="006D2D05" w:rsidRPr="00600DA9">
        <w:rPr>
          <w:rFonts w:ascii="Arial" w:hAnsi="Arial" w:cs="Arial"/>
          <w:szCs w:val="24"/>
        </w:rPr>
        <w:t xml:space="preserve"> defines the Southern Triangle portion of the property as the, “Light General Aviation Area</w:t>
      </w:r>
      <w:r w:rsidR="00BF5123" w:rsidRPr="00744488">
        <w:rPr>
          <w:rStyle w:val="FootnoteReference"/>
          <w:rFonts w:ascii="Arial" w:hAnsi="Arial" w:cs="Arial"/>
          <w:szCs w:val="24"/>
        </w:rPr>
        <w:footnoteReference w:id="8"/>
      </w:r>
      <w:r w:rsidR="00744488">
        <w:rPr>
          <w:rFonts w:ascii="Arial" w:hAnsi="Arial" w:cs="Arial"/>
          <w:szCs w:val="24"/>
        </w:rPr>
        <w:t xml:space="preserve">,” </w:t>
      </w:r>
      <w:r w:rsidR="006D2D05" w:rsidRPr="00600DA9">
        <w:rPr>
          <w:rFonts w:ascii="Arial" w:hAnsi="Arial" w:cs="Arial"/>
          <w:szCs w:val="24"/>
        </w:rPr>
        <w:t>and requires that area to be dedicated in supp</w:t>
      </w:r>
      <w:r w:rsidR="00DA4938">
        <w:rPr>
          <w:rFonts w:ascii="Arial" w:hAnsi="Arial" w:cs="Arial"/>
          <w:szCs w:val="24"/>
        </w:rPr>
        <w:t>ort of LGA. Support for LGA is</w:t>
      </w:r>
      <w:r w:rsidR="006D2D05" w:rsidRPr="00600DA9">
        <w:rPr>
          <w:rFonts w:ascii="Arial" w:hAnsi="Arial" w:cs="Arial"/>
          <w:szCs w:val="24"/>
        </w:rPr>
        <w:t xml:space="preserve"> defined as including, LGA ramp and tie down parking, the construction and maintenance of a self-fueling island for avgas, and flight training support. According to Executive staff, the inclusion of these LGA provisions in the proposed lease </w:t>
      </w:r>
      <w:r w:rsidR="00635864">
        <w:rPr>
          <w:rFonts w:ascii="Arial" w:hAnsi="Arial" w:cs="Arial"/>
          <w:szCs w:val="24"/>
        </w:rPr>
        <w:t>would be</w:t>
      </w:r>
      <w:r w:rsidR="006D2D05" w:rsidRPr="00600DA9">
        <w:rPr>
          <w:rFonts w:ascii="Arial" w:hAnsi="Arial" w:cs="Arial"/>
          <w:szCs w:val="24"/>
        </w:rPr>
        <w:t xml:space="preserve"> a significant benefit to the County that would not likely have been achieved through the public bidding process. </w:t>
      </w:r>
    </w:p>
    <w:p w14:paraId="5ABA1906" w14:textId="77777777" w:rsidR="00BF500E" w:rsidRPr="00600DA9" w:rsidRDefault="00BF500E" w:rsidP="00600DA9">
      <w:pPr>
        <w:ind w:left="-90" w:right="-450"/>
        <w:jc w:val="both"/>
        <w:rPr>
          <w:rFonts w:ascii="Arial" w:hAnsi="Arial" w:cs="Arial"/>
          <w:szCs w:val="24"/>
        </w:rPr>
      </w:pPr>
    </w:p>
    <w:p w14:paraId="305EF4A4" w14:textId="4989DA0E" w:rsidR="00BF500E" w:rsidRPr="00600DA9" w:rsidRDefault="00600DA9" w:rsidP="00600DA9">
      <w:pPr>
        <w:ind w:left="-90" w:right="-450"/>
        <w:jc w:val="both"/>
        <w:rPr>
          <w:rFonts w:ascii="Arial" w:hAnsi="Arial" w:cs="Arial"/>
          <w:szCs w:val="24"/>
        </w:rPr>
      </w:pPr>
      <w:r w:rsidRPr="00600DA9">
        <w:rPr>
          <w:rFonts w:ascii="Arial" w:hAnsi="Arial" w:cs="Arial"/>
          <w:szCs w:val="24"/>
        </w:rPr>
        <w:t>Whether or not the Council agrees</w:t>
      </w:r>
      <w:r>
        <w:rPr>
          <w:rFonts w:ascii="Arial" w:hAnsi="Arial" w:cs="Arial"/>
          <w:szCs w:val="24"/>
        </w:rPr>
        <w:t xml:space="preserve"> with the determination that the </w:t>
      </w:r>
      <w:r w:rsidRPr="00600DA9">
        <w:rPr>
          <w:rFonts w:ascii="Arial" w:hAnsi="Arial" w:cs="Arial"/>
          <w:szCs w:val="24"/>
        </w:rPr>
        <w:t>inclusion of these LGA provisions</w:t>
      </w:r>
      <w:r>
        <w:rPr>
          <w:rFonts w:ascii="Arial" w:hAnsi="Arial" w:cs="Arial"/>
          <w:szCs w:val="24"/>
        </w:rPr>
        <w:t xml:space="preserve"> in the proposed lease are</w:t>
      </w:r>
      <w:r w:rsidRPr="00600DA9">
        <w:rPr>
          <w:rFonts w:ascii="Arial" w:hAnsi="Arial" w:cs="Arial"/>
          <w:szCs w:val="24"/>
        </w:rPr>
        <w:t xml:space="preserve"> a benefit to the County is a policy choice. </w:t>
      </w:r>
    </w:p>
    <w:p w14:paraId="619AB0FD" w14:textId="77777777" w:rsidR="00CD24D4" w:rsidRDefault="00CD24D4" w:rsidP="006E4365">
      <w:pPr>
        <w:pStyle w:val="BodyText"/>
        <w:jc w:val="both"/>
        <w:rPr>
          <w:rFonts w:ascii="Arial" w:hAnsi="Arial" w:cs="Arial"/>
          <w:i w:val="0"/>
          <w:szCs w:val="24"/>
        </w:rPr>
      </w:pPr>
    </w:p>
    <w:p w14:paraId="0684CAD5" w14:textId="5C45884A" w:rsidR="0019590C" w:rsidRDefault="008F55E0" w:rsidP="0019590C">
      <w:pPr>
        <w:ind w:left="-90" w:right="-450"/>
        <w:jc w:val="both"/>
        <w:rPr>
          <w:rFonts w:ascii="Arial" w:hAnsi="Arial" w:cs="Arial"/>
          <w:b/>
          <w:szCs w:val="24"/>
          <w:u w:val="single"/>
        </w:rPr>
      </w:pPr>
      <w:r>
        <w:rPr>
          <w:rFonts w:ascii="Arial" w:hAnsi="Arial" w:cs="Arial"/>
          <w:b/>
          <w:szCs w:val="24"/>
          <w:u w:val="single"/>
        </w:rPr>
        <w:t>Fiscal</w:t>
      </w:r>
      <w:r w:rsidR="0019590C">
        <w:rPr>
          <w:rFonts w:ascii="Arial" w:hAnsi="Arial" w:cs="Arial"/>
          <w:b/>
          <w:szCs w:val="24"/>
          <w:u w:val="single"/>
        </w:rPr>
        <w:t xml:space="preserve"> </w:t>
      </w:r>
      <w:r w:rsidR="00AF2B22">
        <w:rPr>
          <w:rFonts w:ascii="Arial" w:hAnsi="Arial" w:cs="Arial"/>
          <w:b/>
          <w:szCs w:val="24"/>
          <w:u w:val="single"/>
        </w:rPr>
        <w:t>Analysis</w:t>
      </w:r>
    </w:p>
    <w:p w14:paraId="2F65F697" w14:textId="77777777" w:rsidR="0019590C" w:rsidRPr="00EE3E60" w:rsidRDefault="0019590C" w:rsidP="0019590C">
      <w:pPr>
        <w:ind w:left="-90" w:right="-450"/>
        <w:jc w:val="both"/>
        <w:rPr>
          <w:rFonts w:ascii="Arial" w:hAnsi="Arial" w:cs="Arial"/>
          <w:b/>
          <w:szCs w:val="24"/>
          <w:u w:val="single"/>
        </w:rPr>
      </w:pPr>
    </w:p>
    <w:p w14:paraId="1EA86A49" w14:textId="7F94D33F" w:rsidR="00FA5FA8" w:rsidRDefault="00FA5FA8" w:rsidP="00FA5FA8">
      <w:pPr>
        <w:ind w:left="-90" w:right="-450"/>
        <w:jc w:val="both"/>
        <w:rPr>
          <w:rFonts w:ascii="Arial" w:hAnsi="Arial" w:cs="Arial"/>
          <w:szCs w:val="24"/>
        </w:rPr>
      </w:pPr>
      <w:r>
        <w:rPr>
          <w:rFonts w:ascii="Arial" w:hAnsi="Arial" w:cs="Arial"/>
          <w:szCs w:val="24"/>
        </w:rPr>
        <w:t xml:space="preserve">The proposed lease stipulates that </w:t>
      </w:r>
      <w:r w:rsidRPr="00D4035F">
        <w:rPr>
          <w:rFonts w:ascii="Arial" w:hAnsi="Arial" w:cs="Arial"/>
          <w:szCs w:val="24"/>
        </w:rPr>
        <w:t>th</w:t>
      </w:r>
      <w:r>
        <w:rPr>
          <w:rFonts w:ascii="Arial" w:hAnsi="Arial" w:cs="Arial"/>
          <w:szCs w:val="24"/>
        </w:rPr>
        <w:t>e</w:t>
      </w:r>
      <w:r w:rsidR="00D967BD">
        <w:rPr>
          <w:rFonts w:ascii="Arial" w:hAnsi="Arial" w:cs="Arial"/>
          <w:szCs w:val="24"/>
        </w:rPr>
        <w:t xml:space="preserve"> first rental adjustment, based on a fair market</w:t>
      </w:r>
      <w:r w:rsidR="00DA4938">
        <w:rPr>
          <w:rFonts w:ascii="Arial" w:hAnsi="Arial" w:cs="Arial"/>
          <w:szCs w:val="24"/>
        </w:rPr>
        <w:t xml:space="preserve"> rental </w:t>
      </w:r>
      <w:r w:rsidR="00D967BD">
        <w:rPr>
          <w:rFonts w:ascii="Arial" w:hAnsi="Arial" w:cs="Arial"/>
          <w:szCs w:val="24"/>
        </w:rPr>
        <w:t xml:space="preserve">value appraisal, </w:t>
      </w:r>
      <w:r w:rsidR="00635864">
        <w:rPr>
          <w:rFonts w:ascii="Arial" w:hAnsi="Arial" w:cs="Arial"/>
          <w:szCs w:val="24"/>
        </w:rPr>
        <w:t xml:space="preserve">would </w:t>
      </w:r>
      <w:r w:rsidR="00D967BD">
        <w:rPr>
          <w:rFonts w:ascii="Arial" w:hAnsi="Arial" w:cs="Arial"/>
          <w:szCs w:val="24"/>
        </w:rPr>
        <w:t>occur no earlier than the anniversary of the commencement date in 2020. Subsequent</w:t>
      </w:r>
      <w:r>
        <w:rPr>
          <w:rFonts w:ascii="Arial" w:hAnsi="Arial" w:cs="Arial"/>
          <w:szCs w:val="24"/>
        </w:rPr>
        <w:t xml:space="preserve"> </w:t>
      </w:r>
      <w:r w:rsidR="00D967BD">
        <w:rPr>
          <w:rFonts w:ascii="Arial" w:hAnsi="Arial" w:cs="Arial"/>
          <w:szCs w:val="24"/>
        </w:rPr>
        <w:t>fair market value rental</w:t>
      </w:r>
      <w:r>
        <w:rPr>
          <w:rFonts w:ascii="Arial" w:hAnsi="Arial" w:cs="Arial"/>
          <w:szCs w:val="24"/>
        </w:rPr>
        <w:t xml:space="preserve"> adjust</w:t>
      </w:r>
      <w:r w:rsidR="00D967BD">
        <w:rPr>
          <w:rFonts w:ascii="Arial" w:hAnsi="Arial" w:cs="Arial"/>
          <w:szCs w:val="24"/>
        </w:rPr>
        <w:t xml:space="preserve">ments </w:t>
      </w:r>
      <w:r w:rsidR="00635864">
        <w:rPr>
          <w:rFonts w:ascii="Arial" w:hAnsi="Arial" w:cs="Arial"/>
          <w:szCs w:val="24"/>
        </w:rPr>
        <w:t xml:space="preserve">would </w:t>
      </w:r>
      <w:r w:rsidR="00D967BD">
        <w:rPr>
          <w:rFonts w:ascii="Arial" w:hAnsi="Arial" w:cs="Arial"/>
          <w:szCs w:val="24"/>
        </w:rPr>
        <w:t>occur</w:t>
      </w:r>
      <w:r>
        <w:rPr>
          <w:rFonts w:ascii="Arial" w:hAnsi="Arial" w:cs="Arial"/>
          <w:szCs w:val="24"/>
        </w:rPr>
        <w:t xml:space="preserve"> every fif</w:t>
      </w:r>
      <w:r w:rsidRPr="00D4035F">
        <w:rPr>
          <w:rFonts w:ascii="Arial" w:hAnsi="Arial" w:cs="Arial"/>
          <w:szCs w:val="24"/>
        </w:rPr>
        <w:t>th year.</w:t>
      </w:r>
      <w:r>
        <w:rPr>
          <w:rFonts w:ascii="Arial" w:hAnsi="Arial" w:cs="Arial"/>
          <w:szCs w:val="24"/>
        </w:rPr>
        <w:t xml:space="preserve"> </w:t>
      </w:r>
      <w:r w:rsidR="00D967BD">
        <w:rPr>
          <w:rFonts w:ascii="Arial" w:hAnsi="Arial" w:cs="Arial"/>
          <w:szCs w:val="24"/>
        </w:rPr>
        <w:t>Additionally, t</w:t>
      </w:r>
      <w:r>
        <w:rPr>
          <w:rFonts w:ascii="Arial" w:hAnsi="Arial" w:cs="Arial"/>
          <w:szCs w:val="24"/>
        </w:rPr>
        <w:t xml:space="preserve">he </w:t>
      </w:r>
      <w:r w:rsidR="00635864">
        <w:rPr>
          <w:rFonts w:ascii="Arial" w:hAnsi="Arial" w:cs="Arial"/>
          <w:szCs w:val="24"/>
        </w:rPr>
        <w:t xml:space="preserve">transmitted </w:t>
      </w:r>
      <w:r>
        <w:rPr>
          <w:rFonts w:ascii="Arial" w:hAnsi="Arial" w:cs="Arial"/>
          <w:szCs w:val="24"/>
        </w:rPr>
        <w:t>Fiscal Note</w:t>
      </w:r>
      <w:r w:rsidR="00D967BD">
        <w:rPr>
          <w:rStyle w:val="FootnoteReference"/>
          <w:rFonts w:ascii="Arial" w:hAnsi="Arial" w:cs="Arial"/>
          <w:szCs w:val="24"/>
        </w:rPr>
        <w:footnoteReference w:id="9"/>
      </w:r>
      <w:r>
        <w:rPr>
          <w:rFonts w:ascii="Arial" w:hAnsi="Arial" w:cs="Arial"/>
          <w:szCs w:val="24"/>
        </w:rPr>
        <w:t xml:space="preserve"> assumes the base rent </w:t>
      </w:r>
      <w:r w:rsidR="00225381">
        <w:rPr>
          <w:rFonts w:ascii="Arial" w:hAnsi="Arial" w:cs="Arial"/>
          <w:szCs w:val="24"/>
        </w:rPr>
        <w:t xml:space="preserve">would </w:t>
      </w:r>
      <w:r w:rsidR="00635864">
        <w:rPr>
          <w:rFonts w:ascii="Arial" w:hAnsi="Arial" w:cs="Arial"/>
          <w:szCs w:val="24"/>
        </w:rPr>
        <w:t>adjust up</w:t>
      </w:r>
      <w:r w:rsidR="00225381">
        <w:rPr>
          <w:rFonts w:ascii="Arial" w:hAnsi="Arial" w:cs="Arial"/>
          <w:szCs w:val="24"/>
        </w:rPr>
        <w:t>wards by</w:t>
      </w:r>
      <w:r w:rsidR="00635864">
        <w:rPr>
          <w:rFonts w:ascii="Arial" w:hAnsi="Arial" w:cs="Arial"/>
          <w:szCs w:val="24"/>
        </w:rPr>
        <w:t xml:space="preserve"> 2.5 percent</w:t>
      </w:r>
      <w:r w:rsidRPr="00D4035F">
        <w:rPr>
          <w:rFonts w:ascii="Arial" w:hAnsi="Arial" w:cs="Arial"/>
          <w:szCs w:val="24"/>
        </w:rPr>
        <w:t xml:space="preserve"> </w:t>
      </w:r>
      <w:r>
        <w:rPr>
          <w:rFonts w:ascii="Arial" w:hAnsi="Arial" w:cs="Arial"/>
          <w:szCs w:val="24"/>
        </w:rPr>
        <w:t>d</w:t>
      </w:r>
      <w:r w:rsidR="0019590C" w:rsidRPr="00D4035F">
        <w:rPr>
          <w:rFonts w:ascii="Arial" w:hAnsi="Arial" w:cs="Arial"/>
          <w:szCs w:val="24"/>
        </w:rPr>
        <w:t>uring non-appraisal years</w:t>
      </w:r>
      <w:r w:rsidR="00D967BD">
        <w:rPr>
          <w:rFonts w:ascii="Arial" w:hAnsi="Arial" w:cs="Arial"/>
          <w:szCs w:val="24"/>
        </w:rPr>
        <w:t>, also</w:t>
      </w:r>
      <w:r w:rsidR="0019590C" w:rsidRPr="00D4035F">
        <w:rPr>
          <w:rFonts w:ascii="Arial" w:hAnsi="Arial" w:cs="Arial"/>
          <w:szCs w:val="24"/>
        </w:rPr>
        <w:t xml:space="preserve"> on the annivers</w:t>
      </w:r>
      <w:r>
        <w:rPr>
          <w:rFonts w:ascii="Arial" w:hAnsi="Arial" w:cs="Arial"/>
          <w:szCs w:val="24"/>
        </w:rPr>
        <w:t>ary of the commenc</w:t>
      </w:r>
      <w:r w:rsidR="00D967BD">
        <w:rPr>
          <w:rFonts w:ascii="Arial" w:hAnsi="Arial" w:cs="Arial"/>
          <w:szCs w:val="24"/>
        </w:rPr>
        <w:t xml:space="preserve">ement date. In </w:t>
      </w:r>
      <w:r w:rsidR="00D967BD">
        <w:rPr>
          <w:rFonts w:ascii="Arial" w:hAnsi="Arial" w:cs="Arial"/>
          <w:szCs w:val="24"/>
        </w:rPr>
        <w:lastRenderedPageBreak/>
        <w:t>total, the Fiscal Note</w:t>
      </w:r>
      <w:r>
        <w:rPr>
          <w:rFonts w:ascii="Arial" w:hAnsi="Arial" w:cs="Arial"/>
          <w:szCs w:val="24"/>
        </w:rPr>
        <w:t xml:space="preserve"> projects the County </w:t>
      </w:r>
      <w:r w:rsidR="00225381">
        <w:rPr>
          <w:rFonts w:ascii="Arial" w:hAnsi="Arial" w:cs="Arial"/>
          <w:szCs w:val="24"/>
        </w:rPr>
        <w:t>would</w:t>
      </w:r>
      <w:r>
        <w:rPr>
          <w:rFonts w:ascii="Arial" w:hAnsi="Arial" w:cs="Arial"/>
          <w:szCs w:val="24"/>
        </w:rPr>
        <w:t xml:space="preserve"> receive $49.9 million in revenue, including operating expenditures and capital investments, over the life of the proposed lease.  </w:t>
      </w:r>
      <w:r w:rsidR="0019590C" w:rsidRPr="00D4035F">
        <w:rPr>
          <w:rFonts w:ascii="Arial" w:hAnsi="Arial" w:cs="Arial"/>
          <w:szCs w:val="24"/>
        </w:rPr>
        <w:t xml:space="preserve"> </w:t>
      </w:r>
    </w:p>
    <w:p w14:paraId="5793B5EC" w14:textId="77777777" w:rsidR="005D14DA" w:rsidRDefault="005D14DA" w:rsidP="00FA5FA8">
      <w:pPr>
        <w:ind w:left="-90" w:right="-450"/>
        <w:jc w:val="both"/>
        <w:rPr>
          <w:rFonts w:ascii="Arial" w:hAnsi="Arial" w:cs="Arial"/>
          <w:szCs w:val="24"/>
        </w:rPr>
      </w:pPr>
    </w:p>
    <w:p w14:paraId="0D6BB643" w14:textId="2C83860E" w:rsidR="00F900FB" w:rsidRDefault="00F900FB" w:rsidP="00F900FB">
      <w:pPr>
        <w:ind w:left="-90" w:right="-450"/>
        <w:jc w:val="both"/>
        <w:rPr>
          <w:rFonts w:ascii="Arial" w:hAnsi="Arial" w:cs="Arial"/>
          <w:b/>
          <w:szCs w:val="24"/>
          <w:u w:val="single"/>
        </w:rPr>
      </w:pPr>
      <w:r>
        <w:rPr>
          <w:rFonts w:ascii="Arial" w:hAnsi="Arial" w:cs="Arial"/>
          <w:b/>
          <w:szCs w:val="24"/>
          <w:u w:val="single"/>
        </w:rPr>
        <w:t>Legal Analysis</w:t>
      </w:r>
    </w:p>
    <w:p w14:paraId="4CBA9071" w14:textId="77777777" w:rsidR="00F900FB" w:rsidRDefault="00F900FB" w:rsidP="00F900FB">
      <w:pPr>
        <w:ind w:left="-90" w:right="-450"/>
        <w:jc w:val="both"/>
        <w:rPr>
          <w:rFonts w:ascii="Arial" w:hAnsi="Arial" w:cs="Arial"/>
          <w:b/>
          <w:szCs w:val="24"/>
          <w:u w:val="single"/>
        </w:rPr>
      </w:pPr>
    </w:p>
    <w:p w14:paraId="2C441239" w14:textId="09E66DC2" w:rsidR="00F900FB" w:rsidRPr="00F900FB" w:rsidRDefault="00225381" w:rsidP="00F900FB">
      <w:pPr>
        <w:ind w:left="-90" w:right="-450"/>
        <w:jc w:val="both"/>
        <w:rPr>
          <w:rFonts w:ascii="Arial" w:hAnsi="Arial" w:cs="Arial"/>
          <w:szCs w:val="24"/>
        </w:rPr>
      </w:pPr>
      <w:r>
        <w:rPr>
          <w:rFonts w:ascii="Arial" w:hAnsi="Arial" w:cs="Arial"/>
          <w:szCs w:val="24"/>
        </w:rPr>
        <w:t>Legal analysis is still on</w:t>
      </w:r>
      <w:r w:rsidR="00F900FB" w:rsidRPr="00F900FB">
        <w:rPr>
          <w:rFonts w:ascii="Arial" w:hAnsi="Arial" w:cs="Arial"/>
          <w:szCs w:val="24"/>
        </w:rPr>
        <w:t xml:space="preserve">going. </w:t>
      </w:r>
    </w:p>
    <w:p w14:paraId="738CE9BF" w14:textId="77777777" w:rsidR="00600DA9" w:rsidRDefault="00600DA9" w:rsidP="00FA5FA8">
      <w:pPr>
        <w:ind w:left="-90" w:right="-450"/>
        <w:jc w:val="both"/>
        <w:rPr>
          <w:rFonts w:ascii="Arial" w:hAnsi="Arial" w:cs="Arial"/>
          <w:szCs w:val="24"/>
        </w:rPr>
      </w:pPr>
    </w:p>
    <w:p w14:paraId="73393C27" w14:textId="77777777" w:rsidR="00FA5FA8" w:rsidRDefault="00FA5FA8" w:rsidP="00FA5FA8">
      <w:pPr>
        <w:ind w:left="-90" w:right="-450"/>
        <w:jc w:val="both"/>
        <w:rPr>
          <w:rFonts w:ascii="Arial" w:hAnsi="Arial" w:cs="Arial"/>
          <w:szCs w:val="24"/>
        </w:rPr>
      </w:pPr>
    </w:p>
    <w:p w14:paraId="15561BDB" w14:textId="3E022459" w:rsidR="00EE00F3" w:rsidRPr="00FA5FA8" w:rsidRDefault="00293D02" w:rsidP="00FA5FA8">
      <w:pPr>
        <w:ind w:left="-90" w:right="-450"/>
        <w:jc w:val="both"/>
        <w:rPr>
          <w:rFonts w:ascii="Arial" w:hAnsi="Arial" w:cs="Arial"/>
          <w:szCs w:val="24"/>
        </w:rPr>
      </w:pPr>
      <w:r w:rsidRPr="001C4B19">
        <w:rPr>
          <w:rFonts w:ascii="Arial" w:hAnsi="Arial" w:cs="Arial"/>
          <w:b/>
          <w:szCs w:val="24"/>
          <w:u w:val="single"/>
        </w:rPr>
        <w:t>ATTACHMENTS</w:t>
      </w:r>
    </w:p>
    <w:p w14:paraId="23775A7B" w14:textId="77777777" w:rsidR="00B24961" w:rsidRPr="001C4B19" w:rsidRDefault="00B24961" w:rsidP="005B478C">
      <w:pPr>
        <w:pStyle w:val="BodyText"/>
        <w:jc w:val="both"/>
        <w:rPr>
          <w:rFonts w:ascii="Arial" w:hAnsi="Arial" w:cs="Arial"/>
          <w:i w:val="0"/>
          <w:szCs w:val="24"/>
        </w:rPr>
      </w:pPr>
    </w:p>
    <w:p w14:paraId="34D6E3D2" w14:textId="16CA3C5F"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FA5FA8">
        <w:rPr>
          <w:rFonts w:ascii="Arial" w:hAnsi="Arial" w:cs="Arial"/>
          <w:i w:val="0"/>
          <w:szCs w:val="24"/>
        </w:rPr>
        <w:t>Ordinance 2018-0283</w:t>
      </w:r>
      <w:r w:rsidR="006B1932">
        <w:rPr>
          <w:rFonts w:ascii="Arial" w:hAnsi="Arial" w:cs="Arial"/>
          <w:i w:val="0"/>
          <w:szCs w:val="24"/>
        </w:rPr>
        <w:t xml:space="preserve"> (with attachment)</w:t>
      </w:r>
    </w:p>
    <w:p w14:paraId="0C36D938"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5D6E1386" w14:textId="5627AE09" w:rsidR="005F74FE" w:rsidRDefault="005F74FE" w:rsidP="005B478C">
      <w:pPr>
        <w:pStyle w:val="BodyText"/>
        <w:numPr>
          <w:ilvl w:val="0"/>
          <w:numId w:val="35"/>
        </w:numPr>
        <w:jc w:val="both"/>
        <w:rPr>
          <w:rFonts w:ascii="Arial" w:hAnsi="Arial" w:cs="Arial"/>
          <w:i w:val="0"/>
          <w:szCs w:val="24"/>
        </w:rPr>
      </w:pPr>
      <w:r>
        <w:rPr>
          <w:rFonts w:ascii="Arial" w:hAnsi="Arial" w:cs="Arial"/>
          <w:i w:val="0"/>
          <w:szCs w:val="24"/>
        </w:rPr>
        <w:t>Direct Negotiation Letter – KCIA Kenmore Aero Lease</w:t>
      </w:r>
    </w:p>
    <w:p w14:paraId="2F37E2C8"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Fiscal Note</w:t>
      </w:r>
    </w:p>
    <w:p w14:paraId="0E03D74B" w14:textId="12F6A81F" w:rsidR="00C521D8" w:rsidRDefault="005F74FE" w:rsidP="005B478C">
      <w:pPr>
        <w:pStyle w:val="BodyText"/>
        <w:numPr>
          <w:ilvl w:val="0"/>
          <w:numId w:val="35"/>
        </w:numPr>
        <w:jc w:val="both"/>
        <w:rPr>
          <w:rFonts w:ascii="Arial" w:hAnsi="Arial" w:cs="Arial"/>
          <w:i w:val="0"/>
          <w:szCs w:val="24"/>
        </w:rPr>
      </w:pPr>
      <w:r>
        <w:rPr>
          <w:rFonts w:ascii="Arial" w:hAnsi="Arial" w:cs="Arial"/>
          <w:i w:val="0"/>
          <w:szCs w:val="24"/>
        </w:rPr>
        <w:t xml:space="preserve">Property Summary </w:t>
      </w:r>
      <w:r w:rsidR="00135D25">
        <w:rPr>
          <w:rFonts w:ascii="Arial" w:hAnsi="Arial" w:cs="Arial"/>
          <w:i w:val="0"/>
          <w:szCs w:val="24"/>
        </w:rPr>
        <w:t>–</w:t>
      </w:r>
      <w:r>
        <w:rPr>
          <w:rFonts w:ascii="Arial" w:hAnsi="Arial" w:cs="Arial"/>
          <w:i w:val="0"/>
          <w:szCs w:val="24"/>
        </w:rPr>
        <w:t xml:space="preserve"> </w:t>
      </w:r>
      <w:r w:rsidR="00135D25">
        <w:rPr>
          <w:rFonts w:ascii="Arial" w:hAnsi="Arial" w:cs="Arial"/>
          <w:i w:val="0"/>
          <w:szCs w:val="24"/>
        </w:rPr>
        <w:t>KCIA Kenmore Aero Services</w:t>
      </w:r>
    </w:p>
    <w:p w14:paraId="1B9C66F6" w14:textId="5A269999" w:rsidR="00135D25" w:rsidRDefault="00135D25" w:rsidP="005B478C">
      <w:pPr>
        <w:pStyle w:val="BodyText"/>
        <w:numPr>
          <w:ilvl w:val="0"/>
          <w:numId w:val="35"/>
        </w:numPr>
        <w:jc w:val="both"/>
        <w:rPr>
          <w:rFonts w:ascii="Arial" w:hAnsi="Arial" w:cs="Arial"/>
          <w:i w:val="0"/>
          <w:szCs w:val="24"/>
        </w:rPr>
      </w:pPr>
      <w:r>
        <w:rPr>
          <w:rFonts w:ascii="Arial" w:hAnsi="Arial" w:cs="Arial"/>
          <w:i w:val="0"/>
          <w:szCs w:val="24"/>
        </w:rPr>
        <w:t>Affidavit of Publication</w:t>
      </w:r>
    </w:p>
    <w:p w14:paraId="778D8CBE" w14:textId="0FB3BA1A" w:rsidR="0078108F" w:rsidRDefault="0078108F" w:rsidP="005B478C">
      <w:pPr>
        <w:pStyle w:val="BodyText"/>
        <w:numPr>
          <w:ilvl w:val="0"/>
          <w:numId w:val="35"/>
        </w:numPr>
        <w:jc w:val="both"/>
        <w:rPr>
          <w:rFonts w:ascii="Arial" w:hAnsi="Arial" w:cs="Arial"/>
          <w:i w:val="0"/>
          <w:szCs w:val="24"/>
        </w:rPr>
      </w:pPr>
      <w:r>
        <w:rPr>
          <w:rFonts w:ascii="Arial" w:hAnsi="Arial" w:cs="Arial"/>
          <w:i w:val="0"/>
          <w:szCs w:val="24"/>
        </w:rPr>
        <w:t xml:space="preserve">Exhibit A – Legal Description of Premises Leased </w:t>
      </w:r>
    </w:p>
    <w:p w14:paraId="3F7A49B8" w14:textId="64462C33" w:rsidR="00CE6436" w:rsidRDefault="00C77396" w:rsidP="005B478C">
      <w:pPr>
        <w:pStyle w:val="BodyText"/>
        <w:numPr>
          <w:ilvl w:val="0"/>
          <w:numId w:val="35"/>
        </w:numPr>
        <w:jc w:val="both"/>
        <w:rPr>
          <w:rFonts w:ascii="Arial" w:hAnsi="Arial" w:cs="Arial"/>
          <w:i w:val="0"/>
          <w:szCs w:val="24"/>
        </w:rPr>
      </w:pPr>
      <w:r>
        <w:rPr>
          <w:rFonts w:ascii="Arial" w:hAnsi="Arial" w:cs="Arial"/>
          <w:i w:val="0"/>
          <w:szCs w:val="24"/>
        </w:rPr>
        <w:t>Exhibit A-1</w:t>
      </w:r>
      <w:r w:rsidR="0078108F">
        <w:rPr>
          <w:rFonts w:ascii="Arial" w:hAnsi="Arial" w:cs="Arial"/>
          <w:i w:val="0"/>
          <w:szCs w:val="24"/>
        </w:rPr>
        <w:t xml:space="preserve"> –</w:t>
      </w:r>
      <w:r>
        <w:rPr>
          <w:rFonts w:ascii="Arial" w:hAnsi="Arial" w:cs="Arial"/>
          <w:i w:val="0"/>
          <w:szCs w:val="24"/>
        </w:rPr>
        <w:t xml:space="preserve"> </w:t>
      </w:r>
      <w:r w:rsidR="00530085">
        <w:rPr>
          <w:rFonts w:ascii="Arial" w:hAnsi="Arial" w:cs="Arial"/>
          <w:i w:val="0"/>
          <w:szCs w:val="24"/>
        </w:rPr>
        <w:t>Diagram of Premises Under Lease</w:t>
      </w:r>
    </w:p>
    <w:p w14:paraId="14A9136B" w14:textId="0B1FDF76" w:rsidR="00530085" w:rsidRPr="001C4B19" w:rsidRDefault="00530085" w:rsidP="005B478C">
      <w:pPr>
        <w:pStyle w:val="BodyText"/>
        <w:numPr>
          <w:ilvl w:val="0"/>
          <w:numId w:val="35"/>
        </w:numPr>
        <w:jc w:val="both"/>
        <w:rPr>
          <w:rFonts w:ascii="Arial" w:hAnsi="Arial" w:cs="Arial"/>
          <w:i w:val="0"/>
          <w:szCs w:val="24"/>
        </w:rPr>
      </w:pPr>
      <w:r>
        <w:rPr>
          <w:rFonts w:ascii="Arial" w:hAnsi="Arial" w:cs="Arial"/>
          <w:i w:val="0"/>
          <w:szCs w:val="24"/>
        </w:rPr>
        <w:t xml:space="preserve">Exhibit B </w:t>
      </w:r>
      <w:r w:rsidR="0078108F">
        <w:rPr>
          <w:rFonts w:ascii="Arial" w:hAnsi="Arial" w:cs="Arial"/>
          <w:i w:val="0"/>
          <w:szCs w:val="24"/>
        </w:rPr>
        <w:t>– Conceptual Plan</w:t>
      </w:r>
    </w:p>
    <w:p w14:paraId="44671A68" w14:textId="77777777" w:rsidR="00C521D8" w:rsidRPr="001C4B19" w:rsidRDefault="00C521D8" w:rsidP="005B478C">
      <w:pPr>
        <w:pStyle w:val="BodyText"/>
        <w:jc w:val="both"/>
        <w:rPr>
          <w:rFonts w:ascii="Arial" w:hAnsi="Arial" w:cs="Arial"/>
          <w:b/>
          <w:i w:val="0"/>
          <w:szCs w:val="24"/>
          <w:u w:val="single"/>
        </w:rPr>
      </w:pPr>
    </w:p>
    <w:p w14:paraId="426CF088"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685468B2" w14:textId="77777777" w:rsidR="00734F2E" w:rsidRPr="001C4B19" w:rsidRDefault="00734F2E" w:rsidP="005B478C">
      <w:pPr>
        <w:jc w:val="both"/>
        <w:rPr>
          <w:rFonts w:ascii="Arial" w:hAnsi="Arial" w:cs="Arial"/>
          <w:szCs w:val="24"/>
        </w:rPr>
      </w:pPr>
    </w:p>
    <w:p w14:paraId="094165F6" w14:textId="2A3E4672" w:rsidR="00C521D8" w:rsidRDefault="008728EC" w:rsidP="005B478C">
      <w:pPr>
        <w:pStyle w:val="ListParagraph0"/>
        <w:numPr>
          <w:ilvl w:val="0"/>
          <w:numId w:val="24"/>
        </w:numPr>
        <w:spacing w:line="240" w:lineRule="auto"/>
        <w:jc w:val="both"/>
        <w:rPr>
          <w:rFonts w:ascii="Arial" w:hAnsi="Arial" w:cs="Arial"/>
        </w:rPr>
      </w:pPr>
      <w:r>
        <w:rPr>
          <w:rFonts w:ascii="Arial" w:hAnsi="Arial" w:cs="Arial"/>
        </w:rPr>
        <w:t>Anthony</w:t>
      </w:r>
      <w:r w:rsidR="00135D25">
        <w:rPr>
          <w:rFonts w:ascii="Arial" w:hAnsi="Arial" w:cs="Arial"/>
        </w:rPr>
        <w:t xml:space="preserve"> Wright, Director</w:t>
      </w:r>
      <w:r w:rsidR="00C521D8" w:rsidRPr="001C4B19">
        <w:rPr>
          <w:rFonts w:ascii="Arial" w:hAnsi="Arial" w:cs="Arial"/>
        </w:rPr>
        <w:t xml:space="preserve">, </w:t>
      </w:r>
      <w:r w:rsidR="00135D25">
        <w:rPr>
          <w:rFonts w:ascii="Arial" w:hAnsi="Arial" w:cs="Arial"/>
        </w:rPr>
        <w:t>Facilities Management Division</w:t>
      </w:r>
    </w:p>
    <w:p w14:paraId="44BDC012" w14:textId="60CC6651" w:rsidR="00530085" w:rsidRPr="001C4B19" w:rsidRDefault="00530085" w:rsidP="005B478C">
      <w:pPr>
        <w:pStyle w:val="ListParagraph0"/>
        <w:numPr>
          <w:ilvl w:val="0"/>
          <w:numId w:val="24"/>
        </w:numPr>
        <w:spacing w:line="240" w:lineRule="auto"/>
        <w:jc w:val="both"/>
        <w:rPr>
          <w:rFonts w:ascii="Arial" w:hAnsi="Arial" w:cs="Arial"/>
        </w:rPr>
      </w:pPr>
      <w:r>
        <w:rPr>
          <w:rFonts w:ascii="Arial" w:hAnsi="Arial" w:cs="Arial"/>
        </w:rPr>
        <w:t xml:space="preserve">Brian Hague, </w:t>
      </w:r>
      <w:r w:rsidR="0078108F">
        <w:rPr>
          <w:rFonts w:ascii="Arial" w:hAnsi="Arial" w:cs="Arial"/>
        </w:rPr>
        <w:t>Real Estate Services Manager, Department of Executive Services</w:t>
      </w:r>
    </w:p>
    <w:p w14:paraId="2CF1340F" w14:textId="77777777" w:rsidR="001C4B19" w:rsidRPr="001C4B19" w:rsidRDefault="001C4B19" w:rsidP="005B478C">
      <w:pPr>
        <w:jc w:val="both"/>
        <w:rPr>
          <w:rFonts w:ascii="Arial" w:hAnsi="Arial" w:cs="Arial"/>
          <w:szCs w:val="24"/>
        </w:rPr>
      </w:pPr>
    </w:p>
    <w:sectPr w:rsidR="001C4B19" w:rsidRPr="001C4B19"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88AB5" w14:textId="77777777" w:rsidR="00E9668B" w:rsidRDefault="00E9668B">
      <w:r>
        <w:separator/>
      </w:r>
    </w:p>
  </w:endnote>
  <w:endnote w:type="continuationSeparator" w:id="0">
    <w:p w14:paraId="05FB1B69" w14:textId="77777777" w:rsidR="00E9668B" w:rsidRDefault="00E9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83A31" w14:textId="77777777" w:rsidR="008A5F35" w:rsidRDefault="008A5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3195E" w14:textId="77777777" w:rsidR="008A5F35" w:rsidRDefault="008A5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26021" w14:textId="77777777" w:rsidR="008A5F35" w:rsidRDefault="008A5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BA719" w14:textId="77777777" w:rsidR="00E9668B" w:rsidRDefault="00E9668B">
      <w:r>
        <w:separator/>
      </w:r>
    </w:p>
  </w:footnote>
  <w:footnote w:type="continuationSeparator" w:id="0">
    <w:p w14:paraId="48D31DAF" w14:textId="77777777" w:rsidR="00E9668B" w:rsidRDefault="00E9668B">
      <w:r>
        <w:continuationSeparator/>
      </w:r>
    </w:p>
  </w:footnote>
  <w:footnote w:id="1">
    <w:p w14:paraId="68BA06A6" w14:textId="77777777" w:rsidR="00171523" w:rsidRDefault="00171523" w:rsidP="00171523">
      <w:pPr>
        <w:pStyle w:val="FootnoteText"/>
      </w:pPr>
      <w:r>
        <w:rPr>
          <w:rStyle w:val="FootnoteReference"/>
        </w:rPr>
        <w:footnoteRef/>
      </w:r>
      <w:r>
        <w:t xml:space="preserve"> Attachment 3</w:t>
      </w:r>
    </w:p>
  </w:footnote>
  <w:footnote w:id="2">
    <w:p w14:paraId="1CCB5A83" w14:textId="77777777" w:rsidR="00171523" w:rsidRDefault="00171523" w:rsidP="00171523">
      <w:pPr>
        <w:pStyle w:val="FootnoteText"/>
      </w:pPr>
      <w:r>
        <w:rPr>
          <w:rStyle w:val="FootnoteReference"/>
        </w:rPr>
        <w:footnoteRef/>
      </w:r>
      <w:r>
        <w:t xml:space="preserve"> Executive staff response to council staff inquiries July 10</w:t>
      </w:r>
      <w:r w:rsidRPr="004C73E6">
        <w:rPr>
          <w:vertAlign w:val="superscript"/>
        </w:rPr>
        <w:t>th</w:t>
      </w:r>
      <w:r>
        <w:t xml:space="preserve"> 2018  </w:t>
      </w:r>
    </w:p>
  </w:footnote>
  <w:footnote w:id="3">
    <w:p w14:paraId="405C0DF6" w14:textId="6C06AFD0" w:rsidR="00171523" w:rsidRDefault="00171523" w:rsidP="00171523">
      <w:pPr>
        <w:pStyle w:val="FootnoteText"/>
      </w:pPr>
      <w:r>
        <w:rPr>
          <w:rStyle w:val="FootnoteReference"/>
        </w:rPr>
        <w:footnoteRef/>
      </w:r>
      <w:r w:rsidR="005D14DA">
        <w:t xml:space="preserve"> Attachment 5</w:t>
      </w:r>
      <w:r>
        <w:t xml:space="preserve"> and Executive staff response to council staff inquiries July 10th, 2018</w:t>
      </w:r>
    </w:p>
  </w:footnote>
  <w:footnote w:id="4">
    <w:p w14:paraId="26905CF4" w14:textId="77777777" w:rsidR="00171523" w:rsidRDefault="00171523" w:rsidP="00171523">
      <w:pPr>
        <w:pStyle w:val="FootnoteText"/>
      </w:pPr>
      <w:r>
        <w:rPr>
          <w:rStyle w:val="FootnoteReference"/>
        </w:rPr>
        <w:footnoteRef/>
      </w:r>
      <w:r>
        <w:t xml:space="preserve"> </w:t>
      </w:r>
      <w:hyperlink r:id="rId1" w:history="1">
        <w:r w:rsidRPr="006744E2">
          <w:rPr>
            <w:rStyle w:val="Hyperlink"/>
          </w:rPr>
          <w:t>https://ecology.wa.gov/About-us/Get-to-know-us/News/2017/Aug-01-Facility-in-Kenmore-fined-for-dangerous-was</w:t>
        </w:r>
      </w:hyperlink>
      <w:r>
        <w:t xml:space="preserve"> </w:t>
      </w:r>
    </w:p>
  </w:footnote>
  <w:footnote w:id="5">
    <w:p w14:paraId="0B4AB42B" w14:textId="77777777" w:rsidR="00171523" w:rsidRDefault="00171523" w:rsidP="00171523">
      <w:pPr>
        <w:pStyle w:val="FootnoteText"/>
      </w:pPr>
      <w:r>
        <w:rPr>
          <w:rStyle w:val="FootnoteReference"/>
        </w:rPr>
        <w:footnoteRef/>
      </w:r>
      <w:r>
        <w:t xml:space="preserve"> Dept. of Ecology staff response to council staff inquiries July 16</w:t>
      </w:r>
      <w:r w:rsidRPr="009B5C3F">
        <w:rPr>
          <w:vertAlign w:val="superscript"/>
        </w:rPr>
        <w:t>th</w:t>
      </w:r>
      <w:r>
        <w:t>, 2018</w:t>
      </w:r>
    </w:p>
  </w:footnote>
  <w:footnote w:id="6">
    <w:p w14:paraId="5E33CCE2" w14:textId="195B44E0" w:rsidR="006E4365" w:rsidRDefault="006E4365">
      <w:pPr>
        <w:pStyle w:val="FootnoteText"/>
      </w:pPr>
      <w:r>
        <w:rPr>
          <w:rStyle w:val="FootnoteReference"/>
        </w:rPr>
        <w:footnoteRef/>
      </w:r>
      <w:r w:rsidR="005F74FE">
        <w:t xml:space="preserve"> Attachment 3</w:t>
      </w:r>
    </w:p>
  </w:footnote>
  <w:footnote w:id="7">
    <w:p w14:paraId="6BD19BC4" w14:textId="77777777" w:rsidR="00744488" w:rsidRDefault="00744488" w:rsidP="00744488">
      <w:pPr>
        <w:pStyle w:val="FootnoteText"/>
      </w:pPr>
      <w:r>
        <w:rPr>
          <w:rStyle w:val="FootnoteReference"/>
        </w:rPr>
        <w:footnoteRef/>
      </w:r>
      <w:r>
        <w:t xml:space="preserve"> Executive staff response to council staff inquiries July 12</w:t>
      </w:r>
      <w:r w:rsidRPr="00600DA9">
        <w:rPr>
          <w:vertAlign w:val="superscript"/>
        </w:rPr>
        <w:t>th</w:t>
      </w:r>
      <w:r>
        <w:t xml:space="preserve"> 2018</w:t>
      </w:r>
    </w:p>
  </w:footnote>
  <w:footnote w:id="8">
    <w:p w14:paraId="3FB44D8F" w14:textId="105B3E53" w:rsidR="00BF5123" w:rsidRDefault="00BF5123">
      <w:pPr>
        <w:pStyle w:val="FootnoteText"/>
      </w:pPr>
      <w:r>
        <w:rPr>
          <w:rStyle w:val="FootnoteReference"/>
        </w:rPr>
        <w:footnoteRef/>
      </w:r>
      <w:r w:rsidR="005D14DA">
        <w:t xml:space="preserve"> Attachment 8</w:t>
      </w:r>
    </w:p>
  </w:footnote>
  <w:footnote w:id="9">
    <w:p w14:paraId="3B733C2D" w14:textId="28660EAF" w:rsidR="00D967BD" w:rsidRDefault="00D967BD">
      <w:pPr>
        <w:pStyle w:val="FootnoteText"/>
      </w:pPr>
      <w:r>
        <w:rPr>
          <w:rStyle w:val="FootnoteReference"/>
        </w:rPr>
        <w:footnoteRef/>
      </w:r>
      <w:r w:rsidR="005D14DA">
        <w:t xml:space="preserve"> Attachment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CF676" w14:textId="77777777" w:rsidR="008A5F35" w:rsidRDefault="008A5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F466A" w14:textId="77777777" w:rsidR="008A5F35" w:rsidRDefault="008A5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21BD0" w14:textId="77777777" w:rsidR="00C75025" w:rsidRDefault="00C75025" w:rsidP="00C75025">
    <w:pPr>
      <w:jc w:val="center"/>
    </w:pPr>
    <w:r>
      <w:rPr>
        <w:noProof/>
      </w:rPr>
      <w:drawing>
        <wp:inline distT="0" distB="0" distL="0" distR="0" wp14:anchorId="62BFD19E" wp14:editId="73D99581">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571C9EA" w14:textId="77777777" w:rsidR="00C75025" w:rsidRPr="003B03EF" w:rsidRDefault="00C75025" w:rsidP="00C75025">
    <w:pPr>
      <w:jc w:val="center"/>
      <w:rPr>
        <w:rFonts w:ascii="Arial" w:hAnsi="Arial"/>
        <w:szCs w:val="22"/>
      </w:rPr>
    </w:pPr>
  </w:p>
  <w:p w14:paraId="495BD732"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35B740D"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38381F"/>
    <w:multiLevelType w:val="hybridMultilevel"/>
    <w:tmpl w:val="6B2CF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12"/>
  </w:num>
  <w:num w:numId="4">
    <w:abstractNumId w:val="41"/>
  </w:num>
  <w:num w:numId="5">
    <w:abstractNumId w:val="38"/>
  </w:num>
  <w:num w:numId="6">
    <w:abstractNumId w:val="13"/>
  </w:num>
  <w:num w:numId="7">
    <w:abstractNumId w:val="39"/>
  </w:num>
  <w:num w:numId="8">
    <w:abstractNumId w:val="15"/>
  </w:num>
  <w:num w:numId="9">
    <w:abstractNumId w:val="3"/>
  </w:num>
  <w:num w:numId="10">
    <w:abstractNumId w:val="40"/>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3"/>
  </w:num>
  <w:num w:numId="18">
    <w:abstractNumId w:val="22"/>
  </w:num>
  <w:num w:numId="19">
    <w:abstractNumId w:val="30"/>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7"/>
  </w:num>
  <w:num w:numId="30">
    <w:abstractNumId w:val="1"/>
  </w:num>
  <w:num w:numId="31">
    <w:abstractNumId w:val="32"/>
  </w:num>
  <w:num w:numId="32">
    <w:abstractNumId w:val="34"/>
  </w:num>
  <w:num w:numId="33">
    <w:abstractNumId w:val="14"/>
  </w:num>
  <w:num w:numId="34">
    <w:abstractNumId w:val="11"/>
  </w:num>
  <w:num w:numId="35">
    <w:abstractNumId w:val="7"/>
  </w:num>
  <w:num w:numId="36">
    <w:abstractNumId w:val="26"/>
  </w:num>
  <w:num w:numId="37">
    <w:abstractNumId w:val="35"/>
  </w:num>
  <w:num w:numId="38">
    <w:abstractNumId w:val="19"/>
  </w:num>
  <w:num w:numId="39">
    <w:abstractNumId w:val="31"/>
  </w:num>
  <w:num w:numId="40">
    <w:abstractNumId w:val="28"/>
  </w:num>
  <w:num w:numId="41">
    <w:abstractNumId w:val="36"/>
  </w:num>
  <w:num w:numId="42">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26BF"/>
    <w:rsid w:val="000A2873"/>
    <w:rsid w:val="000A4A4E"/>
    <w:rsid w:val="000A4CB2"/>
    <w:rsid w:val="000A5F9C"/>
    <w:rsid w:val="000A5FD0"/>
    <w:rsid w:val="000A714D"/>
    <w:rsid w:val="000A73BE"/>
    <w:rsid w:val="000A78D8"/>
    <w:rsid w:val="000A7CCC"/>
    <w:rsid w:val="000A7E01"/>
    <w:rsid w:val="000B0291"/>
    <w:rsid w:val="000B3172"/>
    <w:rsid w:val="000B650C"/>
    <w:rsid w:val="000B70C3"/>
    <w:rsid w:val="000C0C11"/>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5D25"/>
    <w:rsid w:val="00136122"/>
    <w:rsid w:val="00137469"/>
    <w:rsid w:val="00137B21"/>
    <w:rsid w:val="001404CF"/>
    <w:rsid w:val="00140D86"/>
    <w:rsid w:val="00141B7A"/>
    <w:rsid w:val="001426ED"/>
    <w:rsid w:val="00142F7E"/>
    <w:rsid w:val="001440C8"/>
    <w:rsid w:val="001440E6"/>
    <w:rsid w:val="001463CF"/>
    <w:rsid w:val="00146A76"/>
    <w:rsid w:val="001509B2"/>
    <w:rsid w:val="0015229A"/>
    <w:rsid w:val="00152D09"/>
    <w:rsid w:val="00154E2E"/>
    <w:rsid w:val="00157334"/>
    <w:rsid w:val="00163304"/>
    <w:rsid w:val="00163DEF"/>
    <w:rsid w:val="0016552E"/>
    <w:rsid w:val="00166774"/>
    <w:rsid w:val="001702C8"/>
    <w:rsid w:val="00171523"/>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5D9"/>
    <w:rsid w:val="0019583B"/>
    <w:rsid w:val="0019590C"/>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51F8"/>
    <w:rsid w:val="001F6119"/>
    <w:rsid w:val="001F624F"/>
    <w:rsid w:val="002005DF"/>
    <w:rsid w:val="00201498"/>
    <w:rsid w:val="00202D86"/>
    <w:rsid w:val="00202D9F"/>
    <w:rsid w:val="002054F9"/>
    <w:rsid w:val="002072C9"/>
    <w:rsid w:val="0020735A"/>
    <w:rsid w:val="00210E29"/>
    <w:rsid w:val="00212C08"/>
    <w:rsid w:val="00215732"/>
    <w:rsid w:val="00220282"/>
    <w:rsid w:val="00223040"/>
    <w:rsid w:val="00224F9B"/>
    <w:rsid w:val="00225381"/>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3F1A"/>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0CD"/>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122"/>
    <w:rsid w:val="00332D92"/>
    <w:rsid w:val="00336FF7"/>
    <w:rsid w:val="003377D3"/>
    <w:rsid w:val="003406EB"/>
    <w:rsid w:val="0034168A"/>
    <w:rsid w:val="003416A6"/>
    <w:rsid w:val="00342043"/>
    <w:rsid w:val="00343549"/>
    <w:rsid w:val="00343A9E"/>
    <w:rsid w:val="00344898"/>
    <w:rsid w:val="00344FA6"/>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2F4A"/>
    <w:rsid w:val="003C3117"/>
    <w:rsid w:val="003C3126"/>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7B5"/>
    <w:rsid w:val="00415C99"/>
    <w:rsid w:val="004164CB"/>
    <w:rsid w:val="00416EC1"/>
    <w:rsid w:val="00421A90"/>
    <w:rsid w:val="00421B59"/>
    <w:rsid w:val="00421D84"/>
    <w:rsid w:val="00422570"/>
    <w:rsid w:val="00422ED9"/>
    <w:rsid w:val="00423F29"/>
    <w:rsid w:val="00424662"/>
    <w:rsid w:val="00426722"/>
    <w:rsid w:val="00426D63"/>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3BDB"/>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3E6"/>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305"/>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27FDC"/>
    <w:rsid w:val="00530085"/>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87B05"/>
    <w:rsid w:val="00590A54"/>
    <w:rsid w:val="00590C7D"/>
    <w:rsid w:val="00592A33"/>
    <w:rsid w:val="00594C1E"/>
    <w:rsid w:val="00596ACA"/>
    <w:rsid w:val="005A1377"/>
    <w:rsid w:val="005A2AE5"/>
    <w:rsid w:val="005A2BC9"/>
    <w:rsid w:val="005A3FD9"/>
    <w:rsid w:val="005A4155"/>
    <w:rsid w:val="005A5CC1"/>
    <w:rsid w:val="005A7B2A"/>
    <w:rsid w:val="005A7E12"/>
    <w:rsid w:val="005B0541"/>
    <w:rsid w:val="005B0FD8"/>
    <w:rsid w:val="005B478C"/>
    <w:rsid w:val="005B7232"/>
    <w:rsid w:val="005B7D1A"/>
    <w:rsid w:val="005C44C6"/>
    <w:rsid w:val="005C4BCC"/>
    <w:rsid w:val="005C624B"/>
    <w:rsid w:val="005D056C"/>
    <w:rsid w:val="005D14DA"/>
    <w:rsid w:val="005E440F"/>
    <w:rsid w:val="005E59DE"/>
    <w:rsid w:val="005E611A"/>
    <w:rsid w:val="005E7CF0"/>
    <w:rsid w:val="005F27C6"/>
    <w:rsid w:val="005F2888"/>
    <w:rsid w:val="005F3150"/>
    <w:rsid w:val="005F3567"/>
    <w:rsid w:val="005F4BDA"/>
    <w:rsid w:val="005F4EAE"/>
    <w:rsid w:val="005F5668"/>
    <w:rsid w:val="005F6FD5"/>
    <w:rsid w:val="005F720B"/>
    <w:rsid w:val="005F74FE"/>
    <w:rsid w:val="005F7A5A"/>
    <w:rsid w:val="00600CE0"/>
    <w:rsid w:val="00600DA9"/>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5864"/>
    <w:rsid w:val="00641390"/>
    <w:rsid w:val="006425FE"/>
    <w:rsid w:val="00643BA7"/>
    <w:rsid w:val="00643DFB"/>
    <w:rsid w:val="00643E28"/>
    <w:rsid w:val="006448DD"/>
    <w:rsid w:val="00645C5A"/>
    <w:rsid w:val="00650F7C"/>
    <w:rsid w:val="0065437B"/>
    <w:rsid w:val="0065437F"/>
    <w:rsid w:val="006563B9"/>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1932"/>
    <w:rsid w:val="006B3473"/>
    <w:rsid w:val="006B42A5"/>
    <w:rsid w:val="006B4615"/>
    <w:rsid w:val="006B4D79"/>
    <w:rsid w:val="006B4E42"/>
    <w:rsid w:val="006B577E"/>
    <w:rsid w:val="006B6B31"/>
    <w:rsid w:val="006B7D68"/>
    <w:rsid w:val="006B7DA0"/>
    <w:rsid w:val="006C0C61"/>
    <w:rsid w:val="006C1861"/>
    <w:rsid w:val="006C20F1"/>
    <w:rsid w:val="006C7139"/>
    <w:rsid w:val="006C71C9"/>
    <w:rsid w:val="006D1FAB"/>
    <w:rsid w:val="006D2D05"/>
    <w:rsid w:val="006D3174"/>
    <w:rsid w:val="006D4A90"/>
    <w:rsid w:val="006D5B17"/>
    <w:rsid w:val="006D6BEA"/>
    <w:rsid w:val="006D6C04"/>
    <w:rsid w:val="006D7272"/>
    <w:rsid w:val="006E1DED"/>
    <w:rsid w:val="006E3EC7"/>
    <w:rsid w:val="006E4365"/>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4488"/>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08F"/>
    <w:rsid w:val="007814FF"/>
    <w:rsid w:val="0078206A"/>
    <w:rsid w:val="00782F7C"/>
    <w:rsid w:val="007836C0"/>
    <w:rsid w:val="00784160"/>
    <w:rsid w:val="00790106"/>
    <w:rsid w:val="00790D5F"/>
    <w:rsid w:val="00791045"/>
    <w:rsid w:val="00795056"/>
    <w:rsid w:val="00797DDB"/>
    <w:rsid w:val="007A0645"/>
    <w:rsid w:val="007A0F27"/>
    <w:rsid w:val="007A6D75"/>
    <w:rsid w:val="007B1136"/>
    <w:rsid w:val="007B25E4"/>
    <w:rsid w:val="007B3A44"/>
    <w:rsid w:val="007B4108"/>
    <w:rsid w:val="007B4F30"/>
    <w:rsid w:val="007B5ED6"/>
    <w:rsid w:val="007B63B1"/>
    <w:rsid w:val="007B688B"/>
    <w:rsid w:val="007B76B3"/>
    <w:rsid w:val="007C20EE"/>
    <w:rsid w:val="007C6843"/>
    <w:rsid w:val="007C7456"/>
    <w:rsid w:val="007C7BDF"/>
    <w:rsid w:val="007D178B"/>
    <w:rsid w:val="007D17ED"/>
    <w:rsid w:val="007D2C57"/>
    <w:rsid w:val="007D72EC"/>
    <w:rsid w:val="007D78E8"/>
    <w:rsid w:val="007D7D5A"/>
    <w:rsid w:val="007E3231"/>
    <w:rsid w:val="007E3D17"/>
    <w:rsid w:val="007F0F9A"/>
    <w:rsid w:val="007F2EFD"/>
    <w:rsid w:val="007F566F"/>
    <w:rsid w:val="00800ACE"/>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4005"/>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8EC"/>
    <w:rsid w:val="00872B93"/>
    <w:rsid w:val="00874FC0"/>
    <w:rsid w:val="00875841"/>
    <w:rsid w:val="00875B51"/>
    <w:rsid w:val="00881630"/>
    <w:rsid w:val="00881F37"/>
    <w:rsid w:val="00882407"/>
    <w:rsid w:val="00882B75"/>
    <w:rsid w:val="00882C72"/>
    <w:rsid w:val="00883A48"/>
    <w:rsid w:val="008848DC"/>
    <w:rsid w:val="00885C43"/>
    <w:rsid w:val="00886402"/>
    <w:rsid w:val="00886E18"/>
    <w:rsid w:val="00887986"/>
    <w:rsid w:val="00891A7B"/>
    <w:rsid w:val="00892075"/>
    <w:rsid w:val="00892A2F"/>
    <w:rsid w:val="0089377A"/>
    <w:rsid w:val="00894CDD"/>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301D"/>
    <w:rsid w:val="008D460A"/>
    <w:rsid w:val="008D5184"/>
    <w:rsid w:val="008D79B2"/>
    <w:rsid w:val="008D7ED0"/>
    <w:rsid w:val="008E2972"/>
    <w:rsid w:val="008E30E9"/>
    <w:rsid w:val="008E5F44"/>
    <w:rsid w:val="008F18D1"/>
    <w:rsid w:val="008F3077"/>
    <w:rsid w:val="008F4FEE"/>
    <w:rsid w:val="008F5106"/>
    <w:rsid w:val="008F55E0"/>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5C3F"/>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7A0"/>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026"/>
    <w:rsid w:val="00AB546C"/>
    <w:rsid w:val="00AB5D11"/>
    <w:rsid w:val="00AB62CD"/>
    <w:rsid w:val="00AB745F"/>
    <w:rsid w:val="00AB7EDB"/>
    <w:rsid w:val="00AB7FB5"/>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2B22"/>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CE4"/>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46B4"/>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500E"/>
    <w:rsid w:val="00BF5123"/>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6212"/>
    <w:rsid w:val="00C771DE"/>
    <w:rsid w:val="00C77396"/>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08F"/>
    <w:rsid w:val="00CB2BF5"/>
    <w:rsid w:val="00CB4508"/>
    <w:rsid w:val="00CB5C22"/>
    <w:rsid w:val="00CC0F0F"/>
    <w:rsid w:val="00CC319A"/>
    <w:rsid w:val="00CC35C9"/>
    <w:rsid w:val="00CC36CE"/>
    <w:rsid w:val="00CC383B"/>
    <w:rsid w:val="00CC3C11"/>
    <w:rsid w:val="00CC3CB7"/>
    <w:rsid w:val="00CC4C3C"/>
    <w:rsid w:val="00CC53FD"/>
    <w:rsid w:val="00CC5878"/>
    <w:rsid w:val="00CD24D4"/>
    <w:rsid w:val="00CD299A"/>
    <w:rsid w:val="00CD2CEA"/>
    <w:rsid w:val="00CD691A"/>
    <w:rsid w:val="00CE0613"/>
    <w:rsid w:val="00CE1231"/>
    <w:rsid w:val="00CE1F3A"/>
    <w:rsid w:val="00CE3A29"/>
    <w:rsid w:val="00CE6436"/>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37BCB"/>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0CE6"/>
    <w:rsid w:val="00D72AE4"/>
    <w:rsid w:val="00D742A4"/>
    <w:rsid w:val="00D744E8"/>
    <w:rsid w:val="00D75405"/>
    <w:rsid w:val="00D76D98"/>
    <w:rsid w:val="00D77C59"/>
    <w:rsid w:val="00D80819"/>
    <w:rsid w:val="00D80A14"/>
    <w:rsid w:val="00D80AAF"/>
    <w:rsid w:val="00D81229"/>
    <w:rsid w:val="00D83FC8"/>
    <w:rsid w:val="00D84386"/>
    <w:rsid w:val="00D848AB"/>
    <w:rsid w:val="00D903E2"/>
    <w:rsid w:val="00D91860"/>
    <w:rsid w:val="00D934F8"/>
    <w:rsid w:val="00D946F8"/>
    <w:rsid w:val="00D94FB0"/>
    <w:rsid w:val="00D95887"/>
    <w:rsid w:val="00D9590C"/>
    <w:rsid w:val="00D967BD"/>
    <w:rsid w:val="00D96D1C"/>
    <w:rsid w:val="00D97225"/>
    <w:rsid w:val="00DA06CC"/>
    <w:rsid w:val="00DA243B"/>
    <w:rsid w:val="00DA2597"/>
    <w:rsid w:val="00DA298D"/>
    <w:rsid w:val="00DA4938"/>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689"/>
    <w:rsid w:val="00DD3BC4"/>
    <w:rsid w:val="00DE33C8"/>
    <w:rsid w:val="00DE47C5"/>
    <w:rsid w:val="00DE4D3C"/>
    <w:rsid w:val="00DE63A4"/>
    <w:rsid w:val="00DE673D"/>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47475"/>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68B"/>
    <w:rsid w:val="00E96DDA"/>
    <w:rsid w:val="00EA2581"/>
    <w:rsid w:val="00EA4A24"/>
    <w:rsid w:val="00EA564A"/>
    <w:rsid w:val="00EB1647"/>
    <w:rsid w:val="00EB1971"/>
    <w:rsid w:val="00EB1EDE"/>
    <w:rsid w:val="00EB23F3"/>
    <w:rsid w:val="00EB2C3E"/>
    <w:rsid w:val="00EB474B"/>
    <w:rsid w:val="00EB50D9"/>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5D9"/>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0FB"/>
    <w:rsid w:val="00F90F69"/>
    <w:rsid w:val="00F92AB0"/>
    <w:rsid w:val="00F92FA0"/>
    <w:rsid w:val="00F94922"/>
    <w:rsid w:val="00F964B6"/>
    <w:rsid w:val="00F968C9"/>
    <w:rsid w:val="00F97CCD"/>
    <w:rsid w:val="00FA09E1"/>
    <w:rsid w:val="00FA594E"/>
    <w:rsid w:val="00FA5FA8"/>
    <w:rsid w:val="00FA7679"/>
    <w:rsid w:val="00FB2A39"/>
    <w:rsid w:val="00FB4D01"/>
    <w:rsid w:val="00FB500C"/>
    <w:rsid w:val="00FB5546"/>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2F29"/>
    <w:rsid w:val="00FF48A1"/>
    <w:rsid w:val="00FF57BC"/>
    <w:rsid w:val="00FF5DA0"/>
    <w:rsid w:val="00FF7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4B0FE"/>
  <w15:docId w15:val="{8F5389A8-05A6-4E9E-AB74-B99BB149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ology.wa.gov/About-us/Get-to-know-us/News/2017/Aug-01-Facility-in-Kenmore-fined-for-dangerous-wa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4AD7E-B4A2-483C-8E9C-A5438D83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1947</Words>
  <Characters>11414</Characters>
  <Application>Microsoft Office Word</Application>
  <DocSecurity>0</DocSecurity>
  <Lines>253</Lines>
  <Paragraphs>76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Clarke</dc:creator>
  <cp:keywords/>
  <dc:description/>
  <cp:lastModifiedBy>Daly, Sharon</cp:lastModifiedBy>
  <cp:revision>3</cp:revision>
  <cp:lastPrinted>2015-03-13T15:09:00Z</cp:lastPrinted>
  <dcterms:created xsi:type="dcterms:W3CDTF">2018-07-20T21:43:00Z</dcterms:created>
  <dcterms:modified xsi:type="dcterms:W3CDTF">2018-07-23T17:42:00Z</dcterms:modified>
</cp:coreProperties>
</file>