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3278B" w14:textId="051DF0DB" w:rsidR="00784F7F" w:rsidRPr="00784F7F" w:rsidRDefault="00706CD0" w:rsidP="00536070">
      <w:pPr>
        <w:jc w:val="center"/>
        <w:rPr>
          <w:b/>
        </w:rPr>
      </w:pPr>
      <w:r>
        <w:rPr>
          <w:b/>
        </w:rPr>
        <w:t>First</w:t>
      </w:r>
      <w:r w:rsidR="00784F7F">
        <w:rPr>
          <w:b/>
        </w:rPr>
        <w:t xml:space="preserve"> Amendment to the</w:t>
      </w:r>
    </w:p>
    <w:p w14:paraId="46D0D0D5" w14:textId="77777777" w:rsidR="00784F7F" w:rsidRPr="00784F7F" w:rsidRDefault="00784F7F" w:rsidP="00536070">
      <w:pPr>
        <w:jc w:val="center"/>
        <w:rPr>
          <w:b/>
        </w:rPr>
      </w:pPr>
      <w:proofErr w:type="spellStart"/>
      <w:r w:rsidRPr="00784F7F">
        <w:rPr>
          <w:b/>
        </w:rPr>
        <w:t>Interlocal</w:t>
      </w:r>
      <w:proofErr w:type="spellEnd"/>
      <w:r w:rsidRPr="00784F7F">
        <w:rPr>
          <w:b/>
        </w:rPr>
        <w:t xml:space="preserve"> Agreement for</w:t>
      </w:r>
    </w:p>
    <w:p w14:paraId="53E8488E" w14:textId="77777777" w:rsidR="00784F7F" w:rsidRDefault="00784F7F" w:rsidP="00536070">
      <w:pPr>
        <w:jc w:val="center"/>
        <w:rPr>
          <w:b/>
        </w:rPr>
      </w:pPr>
      <w:r w:rsidRPr="00784F7F">
        <w:rPr>
          <w:b/>
        </w:rPr>
        <w:t xml:space="preserve"> Public Defense Services</w:t>
      </w:r>
    </w:p>
    <w:p w14:paraId="11344CE0" w14:textId="77777777" w:rsidR="00784F7F" w:rsidRPr="00784F7F" w:rsidRDefault="00784F7F" w:rsidP="00536070">
      <w:pPr>
        <w:jc w:val="center"/>
        <w:rPr>
          <w:b/>
        </w:rPr>
      </w:pPr>
      <w:r>
        <w:rPr>
          <w:b/>
        </w:rPr>
        <w:t>Between The City of Seattle and King County</w:t>
      </w:r>
    </w:p>
    <w:p w14:paraId="2C11B36E" w14:textId="77777777" w:rsidR="00784F7F" w:rsidRDefault="00784F7F" w:rsidP="00536070">
      <w:pPr>
        <w:jc w:val="center"/>
        <w:rPr>
          <w:b/>
        </w:rPr>
      </w:pPr>
      <w:bookmarkStart w:id="0" w:name="_GoBack"/>
      <w:bookmarkEnd w:id="0"/>
    </w:p>
    <w:p w14:paraId="3DF154FE" w14:textId="77777777" w:rsidR="0022745A" w:rsidRPr="00784F7F" w:rsidRDefault="0022745A" w:rsidP="00536070">
      <w:pPr>
        <w:jc w:val="center"/>
        <w:rPr>
          <w:b/>
        </w:rPr>
      </w:pPr>
    </w:p>
    <w:p w14:paraId="3E1D3C0F" w14:textId="328CE3DF" w:rsidR="00784F7F" w:rsidRDefault="00784F7F" w:rsidP="00536070">
      <w:pPr>
        <w:suppressAutoHyphens/>
      </w:pPr>
      <w:r w:rsidRPr="00784F7F">
        <w:t xml:space="preserve">This </w:t>
      </w:r>
      <w:r w:rsidR="00706CD0">
        <w:t>First</w:t>
      </w:r>
      <w:r>
        <w:t xml:space="preserve"> Amendment to the </w:t>
      </w:r>
      <w:proofErr w:type="spellStart"/>
      <w:r w:rsidRPr="00784F7F">
        <w:t>Interlocal</w:t>
      </w:r>
      <w:proofErr w:type="spellEnd"/>
      <w:r w:rsidRPr="00784F7F">
        <w:t xml:space="preserve"> Agreement for Public Defense Services (</w:t>
      </w:r>
      <w:r w:rsidR="00A42493">
        <w:t>First</w:t>
      </w:r>
      <w:r>
        <w:t xml:space="preserve"> Amendment</w:t>
      </w:r>
      <w:r w:rsidRPr="00784F7F">
        <w:t>) is entered by and between The City of Seattle, a Washington municipal corporation (City) and King County, a Washington municipal corporation and legal subdivision of the State of Washington (County). The City and County are each a “Party” and together the “Parties” to this Agreement. The Parties agree as follows.</w:t>
      </w:r>
    </w:p>
    <w:p w14:paraId="4C3C5E93" w14:textId="77777777" w:rsidR="004C69F4" w:rsidRPr="00784F7F" w:rsidRDefault="004C69F4" w:rsidP="00536070">
      <w:pPr>
        <w:suppressAutoHyphens/>
      </w:pPr>
    </w:p>
    <w:p w14:paraId="4826009C" w14:textId="77777777" w:rsidR="00784F7F" w:rsidRPr="00784F7F" w:rsidRDefault="00784F7F" w:rsidP="00536070">
      <w:pPr>
        <w:suppressAutoHyphens/>
        <w:jc w:val="center"/>
        <w:rPr>
          <w:b/>
          <w:u w:val="single"/>
        </w:rPr>
      </w:pPr>
      <w:r w:rsidRPr="00784F7F">
        <w:rPr>
          <w:b/>
          <w:u w:val="single"/>
        </w:rPr>
        <w:t>RECITALS</w:t>
      </w:r>
    </w:p>
    <w:p w14:paraId="74F24AFF" w14:textId="77777777" w:rsidR="00784F7F" w:rsidRDefault="00784F7F" w:rsidP="00536070">
      <w:pPr>
        <w:suppressAutoHyphens/>
        <w:rPr>
          <w:b/>
          <w:u w:val="single"/>
        </w:rPr>
      </w:pPr>
    </w:p>
    <w:p w14:paraId="0E33FFD1" w14:textId="3670E801" w:rsidR="00784F7F" w:rsidRDefault="00784F7F" w:rsidP="00536070">
      <w:pPr>
        <w:suppressAutoHyphens/>
        <w:ind w:firstLine="360"/>
      </w:pPr>
      <w:r>
        <w:t xml:space="preserve">This </w:t>
      </w:r>
      <w:r w:rsidR="00A42493">
        <w:t xml:space="preserve">First Amendment </w:t>
      </w:r>
      <w:r>
        <w:t>is made with reference to the following facts:</w:t>
      </w:r>
    </w:p>
    <w:p w14:paraId="7BE9AD0B" w14:textId="77777777" w:rsidR="00784F7F" w:rsidRPr="00784F7F" w:rsidRDefault="00784F7F" w:rsidP="00536070">
      <w:pPr>
        <w:suppressAutoHyphens/>
      </w:pPr>
    </w:p>
    <w:p w14:paraId="4EA08112" w14:textId="1654697E" w:rsidR="00784F7F" w:rsidRPr="00784F7F" w:rsidRDefault="00784F7F" w:rsidP="00536070">
      <w:pPr>
        <w:numPr>
          <w:ilvl w:val="0"/>
          <w:numId w:val="1"/>
        </w:numPr>
        <w:suppressAutoHyphens/>
        <w:ind w:left="720"/>
        <w:rPr>
          <w:spacing w:val="-3"/>
        </w:rPr>
      </w:pPr>
      <w:r>
        <w:t xml:space="preserve">The County and the City are Parties to the </w:t>
      </w:r>
      <w:proofErr w:type="spellStart"/>
      <w:r>
        <w:t>Interlocal</w:t>
      </w:r>
      <w:proofErr w:type="spellEnd"/>
      <w:r>
        <w:t xml:space="preserve"> Agreement for Public Defense Services which became effective on J</w:t>
      </w:r>
      <w:r w:rsidR="00706CD0">
        <w:t xml:space="preserve">anuary </w:t>
      </w:r>
      <w:r>
        <w:t>1, 201</w:t>
      </w:r>
      <w:r w:rsidR="00706CD0">
        <w:t>8</w:t>
      </w:r>
      <w:r>
        <w:t xml:space="preserve"> (the Agreement).</w:t>
      </w:r>
    </w:p>
    <w:p w14:paraId="7E8475F6" w14:textId="77777777" w:rsidR="00784F7F" w:rsidRDefault="00784F7F" w:rsidP="00536070">
      <w:pPr>
        <w:suppressAutoHyphens/>
        <w:ind w:left="720"/>
        <w:rPr>
          <w:spacing w:val="-3"/>
        </w:rPr>
      </w:pPr>
    </w:p>
    <w:p w14:paraId="502C64D1" w14:textId="0DC784ED" w:rsidR="00784F7F" w:rsidRDefault="00574198" w:rsidP="00536070">
      <w:pPr>
        <w:numPr>
          <w:ilvl w:val="0"/>
          <w:numId w:val="1"/>
        </w:numPr>
        <w:suppressAutoHyphens/>
        <w:ind w:left="720"/>
      </w:pPr>
      <w:r>
        <w:t>T</w:t>
      </w:r>
      <w:r w:rsidR="00784F7F">
        <w:t xml:space="preserve">he Parties mutually desire to make </w:t>
      </w:r>
      <w:r w:rsidR="003D7AB4">
        <w:t>an</w:t>
      </w:r>
      <w:r w:rsidR="00784F7F">
        <w:t xml:space="preserve"> amendment to the terms a</w:t>
      </w:r>
      <w:r w:rsidR="00536070">
        <w:t>nd conditions of the Agreement.</w:t>
      </w:r>
    </w:p>
    <w:p w14:paraId="5224744D" w14:textId="77777777" w:rsidR="00784F7F" w:rsidRDefault="00784F7F" w:rsidP="00536070">
      <w:pPr>
        <w:suppressAutoHyphens/>
      </w:pPr>
    </w:p>
    <w:p w14:paraId="5B8E87A9" w14:textId="3F565532" w:rsidR="00784F7F" w:rsidRDefault="00784F7F" w:rsidP="00536070">
      <w:pPr>
        <w:suppressAutoHyphens/>
      </w:pPr>
      <w:r w:rsidRPr="00784F7F">
        <w:t>NOW</w:t>
      </w:r>
      <w:r w:rsidR="00A42493">
        <w:t>,</w:t>
      </w:r>
      <w:r w:rsidRPr="00784F7F">
        <w:t xml:space="preserve"> THEREFORE, in consideration of the mutual covenants contained herein and for other good and valuable consideration, the receipt and sufficiency of which is hereby acknowledged,</w:t>
      </w:r>
      <w:r w:rsidR="00776AD7">
        <w:t xml:space="preserve"> the Parties agree to</w:t>
      </w:r>
      <w:r w:rsidR="002E696B">
        <w:t xml:space="preserve"> </w:t>
      </w:r>
      <w:r w:rsidR="00776AD7">
        <w:t>amend the Agreement as follows:</w:t>
      </w:r>
    </w:p>
    <w:p w14:paraId="6DF58184" w14:textId="77777777" w:rsidR="004C69F4" w:rsidRDefault="004C69F4" w:rsidP="00536070">
      <w:pPr>
        <w:suppressAutoHyphens/>
        <w:rPr>
          <w:b/>
        </w:rPr>
      </w:pPr>
    </w:p>
    <w:p w14:paraId="40D8472A" w14:textId="2A0E996A" w:rsidR="00FD3D1F" w:rsidRDefault="00FD3D1F" w:rsidP="00536070">
      <w:pPr>
        <w:pStyle w:val="ListParagraph"/>
        <w:numPr>
          <w:ilvl w:val="0"/>
          <w:numId w:val="3"/>
        </w:numPr>
        <w:suppressAutoHyphens/>
        <w:rPr>
          <w:b/>
        </w:rPr>
      </w:pPr>
      <w:r w:rsidRPr="002E696B">
        <w:rPr>
          <w:b/>
        </w:rPr>
        <w:t xml:space="preserve">Section </w:t>
      </w:r>
      <w:r w:rsidR="00BA2571" w:rsidRPr="002E696B">
        <w:rPr>
          <w:b/>
        </w:rPr>
        <w:t>6</w:t>
      </w:r>
      <w:r w:rsidRPr="002E696B">
        <w:rPr>
          <w:b/>
        </w:rPr>
        <w:t xml:space="preserve">: </w:t>
      </w:r>
      <w:r w:rsidR="00BA2571" w:rsidRPr="002E696B">
        <w:rPr>
          <w:b/>
        </w:rPr>
        <w:t>Scope of Work</w:t>
      </w:r>
    </w:p>
    <w:p w14:paraId="341783EA" w14:textId="77777777" w:rsidR="00536070" w:rsidRPr="00536070" w:rsidRDefault="00536070" w:rsidP="00536070">
      <w:pPr>
        <w:suppressAutoHyphens/>
        <w:rPr>
          <w:b/>
        </w:rPr>
      </w:pPr>
    </w:p>
    <w:p w14:paraId="646D5C82" w14:textId="3DE24B26" w:rsidR="00CE4E76" w:rsidRPr="00A2146B" w:rsidRDefault="00434420" w:rsidP="00536070">
      <w:pPr>
        <w:pStyle w:val="ListParagraph"/>
        <w:numPr>
          <w:ilvl w:val="0"/>
          <w:numId w:val="4"/>
        </w:numPr>
        <w:suppressAutoHyphens/>
      </w:pPr>
      <w:r>
        <w:t xml:space="preserve">The </w:t>
      </w:r>
      <w:r w:rsidR="00BA2571">
        <w:t xml:space="preserve">civil legal services scope of work </w:t>
      </w:r>
      <w:r w:rsidR="00B45CF2">
        <w:t xml:space="preserve">found in </w:t>
      </w:r>
      <w:r w:rsidR="00B45CF2" w:rsidRPr="004C69F4">
        <w:t xml:space="preserve">Subsection </w:t>
      </w:r>
      <w:r w:rsidR="00B45CF2">
        <w:t>6</w:t>
      </w:r>
      <w:r w:rsidR="00B45CF2" w:rsidRPr="004C69F4">
        <w:t>.</w:t>
      </w:r>
      <w:r w:rsidR="00B45CF2">
        <w:t>E</w:t>
      </w:r>
      <w:r w:rsidR="00B45CF2" w:rsidRPr="004C69F4">
        <w:t>.</w:t>
      </w:r>
      <w:r w:rsidR="00B45CF2">
        <w:t>14</w:t>
      </w:r>
      <w:r w:rsidR="00B45CF2" w:rsidRPr="004C69F4">
        <w:t xml:space="preserve"> </w:t>
      </w:r>
      <w:r w:rsidR="00BA2571">
        <w:t xml:space="preserve">is amended </w:t>
      </w:r>
      <w:r w:rsidR="00CB0AA3" w:rsidRPr="004C69F4">
        <w:t>as follow</w:t>
      </w:r>
      <w:r w:rsidR="00A42493">
        <w:t>s</w:t>
      </w:r>
      <w:r w:rsidRPr="004C69F4">
        <w:t>:</w:t>
      </w:r>
    </w:p>
    <w:p w14:paraId="54DDE20B" w14:textId="77777777" w:rsidR="002E696B" w:rsidRDefault="002E696B" w:rsidP="000B1FAD">
      <w:pPr>
        <w:suppressAutoHyphens/>
      </w:pPr>
    </w:p>
    <w:p w14:paraId="57441BED" w14:textId="5935EE32" w:rsidR="00B45CF2" w:rsidRDefault="002E696B" w:rsidP="000B1FAD">
      <w:pPr>
        <w:tabs>
          <w:tab w:val="left" w:pos="1440"/>
        </w:tabs>
        <w:suppressAutoHyphens/>
        <w:ind w:left="1080"/>
      </w:pPr>
      <w:r>
        <w:t>14.</w:t>
      </w:r>
      <w:r w:rsidR="000B1FAD">
        <w:tab/>
      </w:r>
      <w:r w:rsidR="00BA0AA3">
        <w:t>Civil Legal Services</w:t>
      </w:r>
      <w:r w:rsidR="00FD3D1F">
        <w:t>:</w:t>
      </w:r>
      <w:r w:rsidR="005C539C">
        <w:t xml:space="preserve"> </w:t>
      </w:r>
      <w:r w:rsidR="00B45CF2">
        <w:t xml:space="preserve">The County will </w:t>
      </w:r>
    </w:p>
    <w:p w14:paraId="1E06A1AF" w14:textId="77777777" w:rsidR="00B45CF2" w:rsidRDefault="00B45CF2" w:rsidP="000B1FAD">
      <w:pPr>
        <w:suppressAutoHyphens/>
      </w:pPr>
    </w:p>
    <w:p w14:paraId="2647C69A" w14:textId="08D42975" w:rsidR="005846C1" w:rsidRDefault="00A42493" w:rsidP="000B1FAD">
      <w:pPr>
        <w:pStyle w:val="ListParagraph"/>
        <w:numPr>
          <w:ilvl w:val="0"/>
          <w:numId w:val="10"/>
        </w:numPr>
        <w:suppressAutoHyphens/>
        <w:ind w:left="1800"/>
      </w:pPr>
      <w:r w:rsidRPr="00A42493">
        <w:t>Provide comprehensive advocacy to CLIENTS to fully advise CLIENTS regarding civil collateral consequences related to criminal plea agreements, and to assist CLIENTS in mitigation and avoidance of such consequences. KC-DPD attorneys with experience in civil legal representation will work collaboratively with KC-DPD criminal defense attorneys and social workers to assess CLIENTS’ legal needs and to assist with plea negotiations. These attorneys will also be involved in community trainings, public education, and data collection and analysis.</w:t>
      </w:r>
      <w:r w:rsidR="00536070">
        <w:t xml:space="preserve"> </w:t>
      </w:r>
    </w:p>
    <w:p w14:paraId="1105AA2C" w14:textId="77777777" w:rsidR="005846C1" w:rsidRDefault="005846C1" w:rsidP="000B1FAD">
      <w:pPr>
        <w:suppressAutoHyphens/>
      </w:pPr>
    </w:p>
    <w:p w14:paraId="561095C0" w14:textId="5396E577" w:rsidR="00FD3D1F" w:rsidRDefault="00536070" w:rsidP="000B1FAD">
      <w:pPr>
        <w:pStyle w:val="ListParagraph"/>
        <w:numPr>
          <w:ilvl w:val="0"/>
          <w:numId w:val="10"/>
        </w:numPr>
        <w:suppressAutoHyphens/>
        <w:ind w:left="1800"/>
      </w:pPr>
      <w:r>
        <w:rPr>
          <w:u w:val="single"/>
        </w:rPr>
        <w:t>KC-</w:t>
      </w:r>
      <w:r w:rsidR="00D34B60">
        <w:rPr>
          <w:u w:val="single"/>
        </w:rPr>
        <w:t>DPD</w:t>
      </w:r>
      <w:r w:rsidR="00BA0AA3" w:rsidRPr="00B45CF2">
        <w:rPr>
          <w:u w:val="single"/>
        </w:rPr>
        <w:t xml:space="preserve"> attorneys may also represent</w:t>
      </w:r>
      <w:r w:rsidR="00A112B2" w:rsidRPr="005846C1">
        <w:rPr>
          <w:u w:val="single"/>
        </w:rPr>
        <w:t xml:space="preserve"> C</w:t>
      </w:r>
      <w:r w:rsidR="005846C1">
        <w:rPr>
          <w:u w:val="single"/>
        </w:rPr>
        <w:t>lients</w:t>
      </w:r>
      <w:r w:rsidR="00BA0AA3" w:rsidRPr="005846C1">
        <w:rPr>
          <w:u w:val="single"/>
        </w:rPr>
        <w:t xml:space="preserve"> in civil legal proceedings where doing so will mitigate the harm of criminal justice involvement for the </w:t>
      </w:r>
      <w:r w:rsidR="005846C1">
        <w:rPr>
          <w:u w:val="single"/>
        </w:rPr>
        <w:t>C</w:t>
      </w:r>
      <w:r w:rsidR="00BA0AA3" w:rsidRPr="005846C1">
        <w:rPr>
          <w:u w:val="single"/>
        </w:rPr>
        <w:t>lient</w:t>
      </w:r>
      <w:r w:rsidR="005846C1">
        <w:rPr>
          <w:u w:val="single"/>
        </w:rPr>
        <w:t xml:space="preserve"> under the following circumstances:</w:t>
      </w:r>
    </w:p>
    <w:p w14:paraId="1463FE12" w14:textId="46252F3E" w:rsidR="00911239" w:rsidRDefault="00911239" w:rsidP="000B1FAD">
      <w:pPr>
        <w:suppressAutoHyphens/>
      </w:pPr>
    </w:p>
    <w:p w14:paraId="7884AA0E" w14:textId="6DBF5FDB" w:rsidR="00D267CA" w:rsidRPr="001016F8" w:rsidRDefault="00D267CA" w:rsidP="000B1FAD">
      <w:pPr>
        <w:pStyle w:val="ListParagraph"/>
        <w:numPr>
          <w:ilvl w:val="2"/>
          <w:numId w:val="5"/>
        </w:numPr>
        <w:autoSpaceDE w:val="0"/>
        <w:autoSpaceDN w:val="0"/>
        <w:ind w:left="2340"/>
        <w:rPr>
          <w:rFonts w:ascii="TimesNewRoman" w:hAnsi="TimesNewRoman"/>
          <w:u w:val="single"/>
        </w:rPr>
      </w:pPr>
      <w:r w:rsidRPr="001016F8">
        <w:rPr>
          <w:rFonts w:ascii="TimesNewRoman" w:hAnsi="TimesNewRoman"/>
          <w:u w:val="single"/>
        </w:rPr>
        <w:t xml:space="preserve">The </w:t>
      </w:r>
      <w:r w:rsidR="00B9158F">
        <w:rPr>
          <w:rFonts w:ascii="TimesNewRoman" w:hAnsi="TimesNewRoman"/>
          <w:u w:val="single"/>
        </w:rPr>
        <w:t>C</w:t>
      </w:r>
      <w:r w:rsidR="005846C1">
        <w:rPr>
          <w:rFonts w:ascii="TimesNewRoman" w:hAnsi="TimesNewRoman"/>
          <w:u w:val="single"/>
        </w:rPr>
        <w:t>lient</w:t>
      </w:r>
      <w:r w:rsidRPr="001016F8">
        <w:rPr>
          <w:rFonts w:ascii="TimesNewRoman" w:hAnsi="TimesNewRoman"/>
          <w:u w:val="single"/>
        </w:rPr>
        <w:t xml:space="preserve"> is not represented by a Conflict Attorney Panel attorney;</w:t>
      </w:r>
    </w:p>
    <w:p w14:paraId="64BE9595" w14:textId="77777777" w:rsidR="0022745A" w:rsidRDefault="0022745A">
      <w:pPr>
        <w:spacing w:after="200" w:line="276" w:lineRule="auto"/>
        <w:rPr>
          <w:rFonts w:ascii="TimesNewRoman" w:hAnsi="TimesNewRoman"/>
          <w:u w:val="single"/>
        </w:rPr>
      </w:pPr>
      <w:r>
        <w:rPr>
          <w:rFonts w:ascii="TimesNewRoman" w:hAnsi="TimesNewRoman"/>
          <w:u w:val="single"/>
        </w:rPr>
        <w:br w:type="page"/>
      </w:r>
    </w:p>
    <w:p w14:paraId="147CDEE3" w14:textId="6FCE9F35" w:rsidR="00D267CA" w:rsidRPr="001016F8" w:rsidRDefault="00D267CA" w:rsidP="000B1FAD">
      <w:pPr>
        <w:pStyle w:val="ListParagraph"/>
        <w:numPr>
          <w:ilvl w:val="2"/>
          <w:numId w:val="5"/>
        </w:numPr>
        <w:autoSpaceDE w:val="0"/>
        <w:autoSpaceDN w:val="0"/>
        <w:ind w:left="2340"/>
        <w:rPr>
          <w:rFonts w:ascii="TimesNewRoman" w:hAnsi="TimesNewRoman"/>
          <w:u w:val="single"/>
        </w:rPr>
      </w:pPr>
      <w:r w:rsidRPr="001016F8">
        <w:rPr>
          <w:rFonts w:ascii="TimesNewRoman" w:hAnsi="TimesNewRoman"/>
          <w:u w:val="single"/>
        </w:rPr>
        <w:lastRenderedPageBreak/>
        <w:t xml:space="preserve">The </w:t>
      </w:r>
      <w:r w:rsidR="00B9158F">
        <w:rPr>
          <w:rFonts w:ascii="TimesNewRoman" w:hAnsi="TimesNewRoman"/>
          <w:u w:val="single"/>
        </w:rPr>
        <w:t>C</w:t>
      </w:r>
      <w:r w:rsidR="005846C1">
        <w:rPr>
          <w:rFonts w:ascii="TimesNewRoman" w:hAnsi="TimesNewRoman"/>
          <w:u w:val="single"/>
        </w:rPr>
        <w:t>lient</w:t>
      </w:r>
      <w:r w:rsidRPr="001016F8">
        <w:rPr>
          <w:rFonts w:ascii="TimesNewRoman" w:hAnsi="TimesNewRoman"/>
          <w:u w:val="single"/>
        </w:rPr>
        <w:t xml:space="preserve"> is experiencing legal problems in one or more of the following areas:</w:t>
      </w:r>
    </w:p>
    <w:p w14:paraId="157F716D" w14:textId="77777777" w:rsidR="00D267CA" w:rsidRPr="001016F8" w:rsidRDefault="00D267CA" w:rsidP="000B1FAD">
      <w:pPr>
        <w:pStyle w:val="ListParagraph"/>
        <w:numPr>
          <w:ilvl w:val="0"/>
          <w:numId w:val="9"/>
        </w:numPr>
        <w:autoSpaceDE w:val="0"/>
        <w:autoSpaceDN w:val="0"/>
        <w:ind w:left="2880"/>
        <w:rPr>
          <w:rFonts w:ascii="TimesNewRoman" w:hAnsi="TimesNewRoman"/>
          <w:u w:val="single"/>
        </w:rPr>
      </w:pPr>
      <w:r w:rsidRPr="001016F8">
        <w:rPr>
          <w:rFonts w:ascii="TimesNewRoman" w:hAnsi="TimesNewRoman"/>
          <w:u w:val="single"/>
        </w:rPr>
        <w:t>evictions,</w:t>
      </w:r>
    </w:p>
    <w:p w14:paraId="552F1699" w14:textId="77777777" w:rsidR="00D267CA" w:rsidRPr="001016F8" w:rsidRDefault="00D267CA" w:rsidP="000B1FAD">
      <w:pPr>
        <w:pStyle w:val="ListParagraph"/>
        <w:numPr>
          <w:ilvl w:val="0"/>
          <w:numId w:val="9"/>
        </w:numPr>
        <w:autoSpaceDE w:val="0"/>
        <w:autoSpaceDN w:val="0"/>
        <w:ind w:left="2880"/>
        <w:rPr>
          <w:rFonts w:ascii="TimesNewRoman" w:hAnsi="TimesNewRoman"/>
          <w:u w:val="single"/>
        </w:rPr>
      </w:pPr>
      <w:r w:rsidRPr="001016F8">
        <w:rPr>
          <w:rFonts w:ascii="TimesNewRoman" w:hAnsi="TimesNewRoman"/>
          <w:u w:val="single"/>
        </w:rPr>
        <w:t>housing discrimination,</w:t>
      </w:r>
    </w:p>
    <w:p w14:paraId="0A82C7AC" w14:textId="68747CA4" w:rsidR="00D267CA" w:rsidRPr="001016F8" w:rsidRDefault="00D267CA" w:rsidP="000B1FAD">
      <w:pPr>
        <w:autoSpaceDE w:val="0"/>
        <w:autoSpaceDN w:val="0"/>
        <w:ind w:left="2880" w:hanging="360"/>
        <w:rPr>
          <w:rFonts w:ascii="TimesNewRoman" w:hAnsi="TimesNewRoman"/>
          <w:u w:val="single"/>
        </w:rPr>
      </w:pPr>
      <w:r w:rsidRPr="001016F8">
        <w:rPr>
          <w:rFonts w:ascii="TimesNewRoman" w:hAnsi="TimesNewRoman"/>
          <w:u w:val="single"/>
        </w:rPr>
        <w:t>(c)</w:t>
      </w:r>
      <w:r w:rsidR="000640DC">
        <w:rPr>
          <w:rFonts w:ascii="TimesNewRoman" w:hAnsi="TimesNewRoman"/>
          <w:u w:val="single"/>
        </w:rPr>
        <w:tab/>
      </w:r>
      <w:proofErr w:type="gramStart"/>
      <w:r w:rsidRPr="001016F8">
        <w:rPr>
          <w:rFonts w:ascii="TimesNewRoman" w:hAnsi="TimesNewRoman"/>
          <w:u w:val="single"/>
        </w:rPr>
        <w:t>public</w:t>
      </w:r>
      <w:proofErr w:type="gramEnd"/>
      <w:r w:rsidRPr="001016F8">
        <w:rPr>
          <w:rFonts w:ascii="TimesNewRoman" w:hAnsi="TimesNewRoman"/>
          <w:u w:val="single"/>
        </w:rPr>
        <w:t xml:space="preserve"> benefits,</w:t>
      </w:r>
    </w:p>
    <w:p w14:paraId="5632CE07" w14:textId="0FADAF79" w:rsidR="00D267CA" w:rsidRPr="001016F8" w:rsidRDefault="00D267CA" w:rsidP="000B1FAD">
      <w:pPr>
        <w:autoSpaceDE w:val="0"/>
        <w:autoSpaceDN w:val="0"/>
        <w:ind w:left="2880" w:hanging="360"/>
        <w:rPr>
          <w:rFonts w:ascii="TimesNewRoman" w:hAnsi="TimesNewRoman"/>
          <w:u w:val="single"/>
        </w:rPr>
      </w:pPr>
      <w:r w:rsidRPr="001016F8">
        <w:rPr>
          <w:rFonts w:ascii="TimesNewRoman" w:hAnsi="TimesNewRoman"/>
          <w:u w:val="single"/>
        </w:rPr>
        <w:t>(d)</w:t>
      </w:r>
      <w:r w:rsidR="000640DC">
        <w:rPr>
          <w:rFonts w:ascii="TimesNewRoman" w:hAnsi="TimesNewRoman"/>
          <w:u w:val="single"/>
        </w:rPr>
        <w:tab/>
      </w:r>
      <w:proofErr w:type="gramStart"/>
      <w:r w:rsidRPr="001016F8">
        <w:rPr>
          <w:rFonts w:ascii="TimesNewRoman" w:hAnsi="TimesNewRoman"/>
          <w:u w:val="single"/>
        </w:rPr>
        <w:t>matters</w:t>
      </w:r>
      <w:proofErr w:type="gramEnd"/>
      <w:r w:rsidRPr="001016F8">
        <w:rPr>
          <w:rFonts w:ascii="TimesNewRoman" w:hAnsi="TimesNewRoman"/>
          <w:u w:val="single"/>
        </w:rPr>
        <w:t xml:space="preserve"> involving no contact or protection orders, and</w:t>
      </w:r>
    </w:p>
    <w:p w14:paraId="7616B363" w14:textId="257FE4FA" w:rsidR="00D267CA" w:rsidRPr="001016F8" w:rsidRDefault="00D267CA" w:rsidP="000B1FAD">
      <w:pPr>
        <w:pStyle w:val="ListParagraph"/>
        <w:autoSpaceDE w:val="0"/>
        <w:autoSpaceDN w:val="0"/>
        <w:ind w:left="2880" w:hanging="360"/>
        <w:rPr>
          <w:rFonts w:ascii="TimesNewRoman" w:hAnsi="TimesNewRoman"/>
          <w:u w:val="single"/>
        </w:rPr>
      </w:pPr>
      <w:r w:rsidRPr="001016F8">
        <w:rPr>
          <w:rFonts w:ascii="TimesNewRoman" w:hAnsi="TimesNewRoman"/>
          <w:u w:val="single"/>
        </w:rPr>
        <w:t>(</w:t>
      </w:r>
      <w:proofErr w:type="gramStart"/>
      <w:r w:rsidRPr="001016F8">
        <w:rPr>
          <w:rFonts w:ascii="TimesNewRoman" w:hAnsi="TimesNewRoman"/>
          <w:u w:val="single"/>
        </w:rPr>
        <w:t>e</w:t>
      </w:r>
      <w:proofErr w:type="gramEnd"/>
      <w:r w:rsidRPr="001016F8">
        <w:rPr>
          <w:rFonts w:ascii="TimesNewRoman" w:hAnsi="TimesNewRoman"/>
          <w:u w:val="single"/>
        </w:rPr>
        <w:t>)</w:t>
      </w:r>
      <w:r w:rsidR="000640DC">
        <w:rPr>
          <w:rFonts w:ascii="TimesNewRoman" w:hAnsi="TimesNewRoman"/>
          <w:u w:val="single"/>
        </w:rPr>
        <w:tab/>
      </w:r>
      <w:r w:rsidRPr="001016F8">
        <w:rPr>
          <w:rFonts w:ascii="TimesNewRoman" w:hAnsi="TimesNewRoman"/>
          <w:u w:val="single"/>
        </w:rPr>
        <w:t xml:space="preserve">issues </w:t>
      </w:r>
      <w:r w:rsidRPr="001016F8">
        <w:rPr>
          <w:rFonts w:ascii="TimesNewRoman" w:hAnsi="TimesNewRoman"/>
          <w:color w:val="000000"/>
          <w:u w:val="single"/>
        </w:rPr>
        <w:t>involving licensing, records, and legal financial obligations.</w:t>
      </w:r>
    </w:p>
    <w:p w14:paraId="1CDF2D18" w14:textId="77777777" w:rsidR="00D267CA" w:rsidRDefault="00D267CA" w:rsidP="00536070">
      <w:pPr>
        <w:autoSpaceDE w:val="0"/>
        <w:autoSpaceDN w:val="0"/>
        <w:ind w:left="720"/>
        <w:rPr>
          <w:rFonts w:ascii="TimesNewRoman" w:hAnsi="TimesNewRoman"/>
          <w:color w:val="000000"/>
          <w:u w:val="single"/>
        </w:rPr>
      </w:pPr>
    </w:p>
    <w:p w14:paraId="72070334" w14:textId="005B49EA" w:rsidR="00802560" w:rsidRPr="001016F8" w:rsidRDefault="00802560" w:rsidP="000B1FAD">
      <w:pPr>
        <w:pStyle w:val="ListParagraph"/>
        <w:numPr>
          <w:ilvl w:val="0"/>
          <w:numId w:val="10"/>
        </w:numPr>
        <w:suppressAutoHyphens/>
        <w:ind w:left="1800"/>
        <w:rPr>
          <w:rFonts w:ascii="TimesNewRoman" w:hAnsi="TimesNewRoman"/>
          <w:color w:val="000000"/>
          <w:u w:val="single"/>
        </w:rPr>
      </w:pPr>
      <w:r>
        <w:rPr>
          <w:rFonts w:ascii="TimesNewRoman" w:hAnsi="TimesNewRoman"/>
          <w:color w:val="000000"/>
          <w:u w:val="single"/>
        </w:rPr>
        <w:t xml:space="preserve">Evictions and matters involving clients from communities most adversely impacted by racial inequity in the criminal justice system will be prioritized. In deciding which Clients to represent in civil legal proceedings, </w:t>
      </w:r>
      <w:r w:rsidR="0022745A">
        <w:rPr>
          <w:rFonts w:ascii="TimesNewRoman" w:hAnsi="TimesNewRoman"/>
          <w:color w:val="000000"/>
          <w:u w:val="single"/>
        </w:rPr>
        <w:t>KC-</w:t>
      </w:r>
      <w:r>
        <w:rPr>
          <w:rFonts w:ascii="TimesNewRoman" w:hAnsi="TimesNewRoman"/>
          <w:color w:val="000000"/>
          <w:u w:val="single"/>
        </w:rPr>
        <w:t>DPD will also consider the Client’s ability to represent herself, the complexity of the civil case</w:t>
      </w:r>
      <w:r w:rsidR="00D34B60">
        <w:rPr>
          <w:rFonts w:ascii="TimesNewRoman" w:hAnsi="TimesNewRoman"/>
          <w:color w:val="000000"/>
          <w:u w:val="single"/>
        </w:rPr>
        <w:t>, a</w:t>
      </w:r>
      <w:r>
        <w:rPr>
          <w:rFonts w:ascii="TimesNewRoman" w:hAnsi="TimesNewRoman"/>
          <w:color w:val="000000"/>
          <w:u w:val="single"/>
        </w:rPr>
        <w:t xml:space="preserve">nd departmental resources required to complete the representation. </w:t>
      </w:r>
      <w:r w:rsidR="00D34B60">
        <w:rPr>
          <w:rFonts w:ascii="TimesNewRoman" w:hAnsi="TimesNewRoman"/>
          <w:color w:val="000000"/>
          <w:u w:val="single"/>
        </w:rPr>
        <w:t xml:space="preserve">The Public Defender must approve such representation and this approval process must be consistent across the </w:t>
      </w:r>
      <w:r w:rsidR="0022745A">
        <w:rPr>
          <w:rFonts w:ascii="TimesNewRoman" w:hAnsi="TimesNewRoman"/>
          <w:color w:val="000000"/>
          <w:u w:val="single"/>
        </w:rPr>
        <w:t>KC-</w:t>
      </w:r>
      <w:r w:rsidR="00D34B60">
        <w:rPr>
          <w:rFonts w:ascii="TimesNewRoman" w:hAnsi="TimesNewRoman"/>
          <w:color w:val="000000"/>
          <w:u w:val="single"/>
        </w:rPr>
        <w:t>DPD divisions providing</w:t>
      </w:r>
      <w:r w:rsidR="0022745A">
        <w:rPr>
          <w:rFonts w:ascii="TimesNewRoman" w:hAnsi="TimesNewRoman"/>
          <w:color w:val="000000"/>
          <w:u w:val="single"/>
        </w:rPr>
        <w:t xml:space="preserve"> services under this agreement.</w:t>
      </w:r>
    </w:p>
    <w:p w14:paraId="748F8787" w14:textId="77777777" w:rsidR="00023EFD" w:rsidRDefault="00023EFD" w:rsidP="00536070">
      <w:pPr>
        <w:suppressAutoHyphens/>
        <w:ind w:left="1440"/>
      </w:pPr>
    </w:p>
    <w:p w14:paraId="4D974399" w14:textId="18E44F20" w:rsidR="00434420" w:rsidRDefault="00434420" w:rsidP="00536070">
      <w:pPr>
        <w:pStyle w:val="ListParagraph"/>
        <w:numPr>
          <w:ilvl w:val="0"/>
          <w:numId w:val="4"/>
        </w:numPr>
        <w:suppressAutoHyphens/>
      </w:pPr>
      <w:r>
        <w:t xml:space="preserve">The </w:t>
      </w:r>
      <w:r w:rsidR="00BA0AA3">
        <w:t xml:space="preserve">duties and responsibilities of attorneys is amended in </w:t>
      </w:r>
      <w:r w:rsidR="00CB0AA3" w:rsidRPr="004C69F4">
        <w:t xml:space="preserve">Subsection </w:t>
      </w:r>
      <w:r w:rsidR="00BA0AA3">
        <w:t>6</w:t>
      </w:r>
      <w:r w:rsidR="00CB0AA3" w:rsidRPr="004C69F4">
        <w:t>.</w:t>
      </w:r>
      <w:r w:rsidR="00BA0AA3">
        <w:t>F</w:t>
      </w:r>
      <w:r w:rsidR="00CB0AA3" w:rsidRPr="004C69F4">
        <w:t>.</w:t>
      </w:r>
      <w:r w:rsidR="00BA0AA3">
        <w:t>2</w:t>
      </w:r>
      <w:r w:rsidR="00CB0AA3" w:rsidRPr="004C69F4">
        <w:t xml:space="preserve"> as follows</w:t>
      </w:r>
      <w:r w:rsidRPr="004C69F4">
        <w:t>:</w:t>
      </w:r>
    </w:p>
    <w:p w14:paraId="439CB79C" w14:textId="77777777" w:rsidR="002E696B" w:rsidRDefault="002E696B" w:rsidP="00536070">
      <w:pPr>
        <w:suppressAutoHyphens/>
        <w:ind w:left="1794"/>
      </w:pPr>
    </w:p>
    <w:p w14:paraId="4707D91E" w14:textId="67397E26" w:rsidR="00FD3D1F" w:rsidRPr="00BA0AA3" w:rsidRDefault="005C539C" w:rsidP="000B1FAD">
      <w:pPr>
        <w:pStyle w:val="ListParagraph"/>
        <w:numPr>
          <w:ilvl w:val="0"/>
          <w:numId w:val="3"/>
        </w:numPr>
        <w:suppressAutoHyphens/>
        <w:ind w:left="1440"/>
      </w:pPr>
      <w:r w:rsidRPr="005C539C">
        <w:t xml:space="preserve">Use City funding to represent Clients in criminal matters in SMC and related infractions, writs, and RALJ appeals. </w:t>
      </w:r>
      <w:r w:rsidR="00BA0AA3" w:rsidRPr="00BA0AA3">
        <w:t>KC-DPD attorneys shall not use City funding to represent Clients in any matter which is civil in nature other than infractions and writs arising out of, or relating to a Criminal Case</w:t>
      </w:r>
      <w:r>
        <w:t xml:space="preserve"> and civil legal services </w:t>
      </w:r>
      <w:r w:rsidRPr="0022745A">
        <w:rPr>
          <w:strike/>
        </w:rPr>
        <w:t xml:space="preserve">relating to plea agreements </w:t>
      </w:r>
      <w:r>
        <w:t>as provided under Section 6.E.14.</w:t>
      </w:r>
      <w:r w:rsidR="00BA0AA3" w:rsidRPr="00BA0AA3">
        <w:t xml:space="preserve"> </w:t>
      </w:r>
    </w:p>
    <w:p w14:paraId="33B7D141" w14:textId="626FAE2B" w:rsidR="00FD3D1F" w:rsidRDefault="00FD3D1F" w:rsidP="00536070">
      <w:pPr>
        <w:suppressAutoHyphens/>
      </w:pPr>
    </w:p>
    <w:p w14:paraId="0223C3B2" w14:textId="77777777" w:rsidR="006C3E5E" w:rsidRPr="00A112B2" w:rsidRDefault="006C3E5E" w:rsidP="00536070">
      <w:pPr>
        <w:suppressAutoHyphens/>
        <w:rPr>
          <w:b/>
        </w:rPr>
      </w:pPr>
      <w:r w:rsidRPr="00A112B2">
        <w:rPr>
          <w:b/>
          <w:u w:val="single"/>
        </w:rPr>
        <w:t>Continued Effect of Terms not amended; Agreement includes Amendments</w:t>
      </w:r>
      <w:r w:rsidRPr="00A112B2">
        <w:rPr>
          <w:b/>
        </w:rPr>
        <w:t>.</w:t>
      </w:r>
    </w:p>
    <w:p w14:paraId="3117484D" w14:textId="77777777" w:rsidR="006C3E5E" w:rsidRPr="00A112B2" w:rsidRDefault="006C3E5E" w:rsidP="00536070">
      <w:pPr>
        <w:suppressAutoHyphens/>
        <w:rPr>
          <w:b/>
        </w:rPr>
      </w:pPr>
    </w:p>
    <w:p w14:paraId="653D7422" w14:textId="393484DE" w:rsidR="006C3E5E" w:rsidRDefault="006C3E5E" w:rsidP="00536070">
      <w:pPr>
        <w:suppressAutoHyphens/>
      </w:pPr>
      <w:r w:rsidRPr="00A112B2">
        <w:t xml:space="preserve">All of the terms and conditions of the Agreement, shall continue in full force and effect as written except as expressly modified by this First Amendment. If there is any inconsistency or conflict between the terms of the Agreement as originally executed by the Parties, and the terms of this First Amendment, this First Amendment shall govern, but only to the extent necessary to resolve the inconsistency or conflict. From and after the Effective Date of this First Amendment, all references to the Agreement shall mean the Parties’ original </w:t>
      </w:r>
      <w:proofErr w:type="spellStart"/>
      <w:r w:rsidRPr="00A112B2">
        <w:t>Interlocal</w:t>
      </w:r>
      <w:proofErr w:type="spellEnd"/>
      <w:r w:rsidRPr="00A112B2">
        <w:t xml:space="preserve"> Agreement for Public Defense Services as amended by the First Amendment.</w:t>
      </w:r>
    </w:p>
    <w:p w14:paraId="6D1E495D" w14:textId="77777777" w:rsidR="0022745A" w:rsidRDefault="0022745A" w:rsidP="00536070">
      <w:pPr>
        <w:suppressAutoHyphens/>
      </w:pPr>
    </w:p>
    <w:p w14:paraId="56800C54" w14:textId="77777777" w:rsidR="000B1FAD" w:rsidRDefault="000B1FAD" w:rsidP="00536070">
      <w:pPr>
        <w:suppressAutoHyphens/>
      </w:pPr>
    </w:p>
    <w:p w14:paraId="1B599ED4" w14:textId="67B951D1" w:rsidR="00464638" w:rsidRPr="00464638" w:rsidRDefault="00464638" w:rsidP="00536070">
      <w:r w:rsidRPr="00464638">
        <w:t xml:space="preserve">IN WITNESS WHEREOF, in consideration of the terms, conditions, and covenants contained herein, or attached and incorporated and made a part hereof, the parties have executed this </w:t>
      </w:r>
      <w:r w:rsidR="000E5408">
        <w:t>F</w:t>
      </w:r>
      <w:r w:rsidR="002E696B">
        <w:t>irst Amendment</w:t>
      </w:r>
      <w:r w:rsidR="000E5408" w:rsidRPr="00464638">
        <w:t xml:space="preserve"> </w:t>
      </w:r>
      <w:r w:rsidRPr="00464638">
        <w:t>by having their representatives affix their signatures below.</w:t>
      </w:r>
    </w:p>
    <w:p w14:paraId="582ED8B9" w14:textId="77777777" w:rsidR="00464638" w:rsidRPr="00464638" w:rsidRDefault="00464638" w:rsidP="0053607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3953"/>
        <w:gridCol w:w="360"/>
        <w:gridCol w:w="360"/>
        <w:gridCol w:w="4230"/>
      </w:tblGrid>
      <w:tr w:rsidR="00464638" w:rsidRPr="00464638" w14:paraId="2AE7641B" w14:textId="77777777" w:rsidTr="000C01F0">
        <w:tc>
          <w:tcPr>
            <w:tcW w:w="4410" w:type="dxa"/>
            <w:gridSpan w:val="2"/>
            <w:tcBorders>
              <w:top w:val="nil"/>
              <w:left w:val="nil"/>
              <w:bottom w:val="nil"/>
              <w:right w:val="nil"/>
            </w:tcBorders>
          </w:tcPr>
          <w:p w14:paraId="183D0368" w14:textId="77777777" w:rsidR="00464638" w:rsidRPr="00464638" w:rsidRDefault="00464638" w:rsidP="00536070">
            <w:pPr>
              <w:jc w:val="both"/>
              <w:rPr>
                <w:b/>
              </w:rPr>
            </w:pPr>
            <w:r w:rsidRPr="00464638">
              <w:rPr>
                <w:b/>
              </w:rPr>
              <w:t>KING COUNTY</w:t>
            </w:r>
          </w:p>
          <w:p w14:paraId="77B86A38" w14:textId="77777777" w:rsidR="00464638" w:rsidRPr="00464638" w:rsidRDefault="00464638" w:rsidP="00536070">
            <w:pPr>
              <w:jc w:val="both"/>
              <w:rPr>
                <w:b/>
              </w:rPr>
            </w:pPr>
          </w:p>
          <w:p w14:paraId="78CFE472" w14:textId="77777777" w:rsidR="00464638" w:rsidRPr="00464638" w:rsidRDefault="00464638" w:rsidP="00536070">
            <w:pPr>
              <w:jc w:val="both"/>
              <w:rPr>
                <w:b/>
              </w:rPr>
            </w:pPr>
          </w:p>
          <w:p w14:paraId="5A7BDE3A" w14:textId="77777777" w:rsidR="00464638" w:rsidRPr="00464638" w:rsidRDefault="00464638" w:rsidP="00536070">
            <w:pPr>
              <w:jc w:val="both"/>
            </w:pPr>
            <w:r w:rsidRPr="00464638">
              <w:t>By</w:t>
            </w:r>
          </w:p>
        </w:tc>
        <w:tc>
          <w:tcPr>
            <w:tcW w:w="360" w:type="dxa"/>
            <w:tcBorders>
              <w:top w:val="nil"/>
              <w:left w:val="nil"/>
              <w:bottom w:val="nil"/>
              <w:right w:val="nil"/>
            </w:tcBorders>
          </w:tcPr>
          <w:p w14:paraId="5D0937CD" w14:textId="77777777" w:rsidR="00464638" w:rsidRPr="00464638" w:rsidRDefault="00464638" w:rsidP="00536070">
            <w:pPr>
              <w:jc w:val="both"/>
              <w:rPr>
                <w:b/>
              </w:rPr>
            </w:pPr>
          </w:p>
        </w:tc>
        <w:tc>
          <w:tcPr>
            <w:tcW w:w="4590" w:type="dxa"/>
            <w:gridSpan w:val="2"/>
            <w:tcBorders>
              <w:top w:val="nil"/>
              <w:left w:val="nil"/>
              <w:bottom w:val="nil"/>
              <w:right w:val="nil"/>
            </w:tcBorders>
          </w:tcPr>
          <w:p w14:paraId="45AEA06B" w14:textId="77777777" w:rsidR="00464638" w:rsidRPr="00464638" w:rsidRDefault="00464638" w:rsidP="00536070">
            <w:pPr>
              <w:jc w:val="both"/>
              <w:rPr>
                <w:b/>
              </w:rPr>
            </w:pPr>
            <w:r w:rsidRPr="00464638">
              <w:rPr>
                <w:b/>
              </w:rPr>
              <w:t>THE CITY OF SEATTLE</w:t>
            </w:r>
          </w:p>
          <w:p w14:paraId="574D06C1" w14:textId="77777777" w:rsidR="00464638" w:rsidRPr="00464638" w:rsidRDefault="00464638" w:rsidP="00536070">
            <w:pPr>
              <w:jc w:val="both"/>
              <w:rPr>
                <w:b/>
              </w:rPr>
            </w:pPr>
          </w:p>
          <w:p w14:paraId="41090ACE" w14:textId="77777777" w:rsidR="00464638" w:rsidRPr="00464638" w:rsidRDefault="00464638" w:rsidP="00536070">
            <w:pPr>
              <w:jc w:val="both"/>
              <w:rPr>
                <w:b/>
              </w:rPr>
            </w:pPr>
          </w:p>
          <w:p w14:paraId="12F061DF" w14:textId="77777777" w:rsidR="00464638" w:rsidRPr="00464638" w:rsidRDefault="00464638" w:rsidP="00536070">
            <w:pPr>
              <w:jc w:val="both"/>
            </w:pPr>
            <w:r w:rsidRPr="00464638">
              <w:t>By</w:t>
            </w:r>
          </w:p>
        </w:tc>
      </w:tr>
      <w:tr w:rsidR="00464638" w:rsidRPr="00464638" w14:paraId="5AA873D0" w14:textId="77777777" w:rsidTr="000C01F0">
        <w:tc>
          <w:tcPr>
            <w:tcW w:w="457" w:type="dxa"/>
            <w:tcBorders>
              <w:top w:val="nil"/>
              <w:left w:val="nil"/>
              <w:bottom w:val="nil"/>
              <w:right w:val="nil"/>
            </w:tcBorders>
          </w:tcPr>
          <w:p w14:paraId="09F82D37" w14:textId="77777777" w:rsidR="00464638" w:rsidRPr="00464638" w:rsidRDefault="00464638" w:rsidP="00536070">
            <w:pPr>
              <w:jc w:val="both"/>
              <w:rPr>
                <w:sz w:val="18"/>
              </w:rPr>
            </w:pPr>
          </w:p>
        </w:tc>
        <w:tc>
          <w:tcPr>
            <w:tcW w:w="3953" w:type="dxa"/>
            <w:tcBorders>
              <w:top w:val="single" w:sz="4" w:space="0" w:color="auto"/>
              <w:left w:val="nil"/>
              <w:bottom w:val="nil"/>
              <w:right w:val="nil"/>
            </w:tcBorders>
          </w:tcPr>
          <w:p w14:paraId="10EB3C73" w14:textId="77777777" w:rsidR="00464638" w:rsidRPr="00464638" w:rsidRDefault="00464638" w:rsidP="00536070">
            <w:pPr>
              <w:tabs>
                <w:tab w:val="left" w:pos="2855"/>
              </w:tabs>
              <w:jc w:val="both"/>
              <w:rPr>
                <w:sz w:val="18"/>
              </w:rPr>
            </w:pPr>
            <w:r w:rsidRPr="00464638">
              <w:rPr>
                <w:sz w:val="18"/>
              </w:rPr>
              <w:t>Signature</w:t>
            </w:r>
            <w:r w:rsidRPr="00464638">
              <w:rPr>
                <w:sz w:val="18"/>
              </w:rPr>
              <w:tab/>
            </w:r>
            <w:r w:rsidRPr="00464638">
              <w:rPr>
                <w:sz w:val="18"/>
              </w:rPr>
              <w:tab/>
              <w:t>Date</w:t>
            </w:r>
          </w:p>
          <w:p w14:paraId="2B7AB45C" w14:textId="77777777" w:rsidR="00464638" w:rsidRPr="00464638" w:rsidRDefault="00464638" w:rsidP="00536070">
            <w:pPr>
              <w:tabs>
                <w:tab w:val="left" w:pos="2855"/>
              </w:tabs>
              <w:jc w:val="both"/>
              <w:rPr>
                <w:sz w:val="18"/>
              </w:rPr>
            </w:pPr>
          </w:p>
          <w:p w14:paraId="1D660A2F" w14:textId="631520C4" w:rsidR="00464638" w:rsidRPr="00464638" w:rsidRDefault="001D18A8" w:rsidP="00536070">
            <w:pPr>
              <w:tabs>
                <w:tab w:val="left" w:pos="2855"/>
              </w:tabs>
              <w:jc w:val="both"/>
            </w:pPr>
            <w:proofErr w:type="spellStart"/>
            <w:r>
              <w:t>Lorinda</w:t>
            </w:r>
            <w:proofErr w:type="spellEnd"/>
            <w:r>
              <w:t xml:space="preserve"> </w:t>
            </w:r>
            <w:r w:rsidR="00BB0AEC">
              <w:t xml:space="preserve">Meier </w:t>
            </w:r>
            <w:proofErr w:type="spellStart"/>
            <w:r>
              <w:t>Youngcourt</w:t>
            </w:r>
            <w:proofErr w:type="spellEnd"/>
          </w:p>
        </w:tc>
        <w:tc>
          <w:tcPr>
            <w:tcW w:w="360" w:type="dxa"/>
            <w:tcBorders>
              <w:top w:val="nil"/>
              <w:left w:val="nil"/>
              <w:bottom w:val="nil"/>
              <w:right w:val="nil"/>
            </w:tcBorders>
          </w:tcPr>
          <w:p w14:paraId="6EA181F7" w14:textId="77777777" w:rsidR="00464638" w:rsidRPr="00464638" w:rsidRDefault="00464638" w:rsidP="00536070">
            <w:pPr>
              <w:jc w:val="both"/>
              <w:rPr>
                <w:sz w:val="18"/>
              </w:rPr>
            </w:pPr>
          </w:p>
        </w:tc>
        <w:tc>
          <w:tcPr>
            <w:tcW w:w="360" w:type="dxa"/>
            <w:tcBorders>
              <w:top w:val="nil"/>
              <w:left w:val="nil"/>
              <w:bottom w:val="nil"/>
              <w:right w:val="nil"/>
            </w:tcBorders>
          </w:tcPr>
          <w:p w14:paraId="4503D937" w14:textId="77777777" w:rsidR="00464638" w:rsidRPr="00464638" w:rsidRDefault="00464638" w:rsidP="00536070">
            <w:pPr>
              <w:jc w:val="both"/>
              <w:rPr>
                <w:sz w:val="18"/>
              </w:rPr>
            </w:pPr>
          </w:p>
        </w:tc>
        <w:tc>
          <w:tcPr>
            <w:tcW w:w="4230" w:type="dxa"/>
            <w:tcBorders>
              <w:top w:val="single" w:sz="4" w:space="0" w:color="auto"/>
              <w:left w:val="nil"/>
              <w:bottom w:val="nil"/>
              <w:right w:val="nil"/>
            </w:tcBorders>
          </w:tcPr>
          <w:p w14:paraId="3FB0EFD1" w14:textId="77777777" w:rsidR="00464638" w:rsidRPr="00464638" w:rsidRDefault="00464638" w:rsidP="00536070">
            <w:pPr>
              <w:tabs>
                <w:tab w:val="left" w:pos="2862"/>
              </w:tabs>
              <w:jc w:val="both"/>
              <w:rPr>
                <w:sz w:val="18"/>
              </w:rPr>
            </w:pPr>
            <w:r w:rsidRPr="00464638">
              <w:rPr>
                <w:sz w:val="18"/>
              </w:rPr>
              <w:t>Signature</w:t>
            </w:r>
            <w:r w:rsidRPr="00464638">
              <w:rPr>
                <w:sz w:val="18"/>
              </w:rPr>
              <w:tab/>
              <w:t>Date</w:t>
            </w:r>
          </w:p>
          <w:p w14:paraId="01ED00CB" w14:textId="77777777" w:rsidR="00464638" w:rsidRPr="00464638" w:rsidRDefault="00464638" w:rsidP="00536070">
            <w:pPr>
              <w:tabs>
                <w:tab w:val="left" w:pos="2862"/>
              </w:tabs>
              <w:jc w:val="both"/>
              <w:rPr>
                <w:sz w:val="18"/>
              </w:rPr>
            </w:pPr>
          </w:p>
          <w:p w14:paraId="7C441361" w14:textId="77777777" w:rsidR="00464638" w:rsidRPr="00464638" w:rsidRDefault="00464638" w:rsidP="00536070">
            <w:pPr>
              <w:tabs>
                <w:tab w:val="left" w:pos="2862"/>
              </w:tabs>
            </w:pPr>
            <w:r w:rsidRPr="00464638">
              <w:t>Ben Noble</w:t>
            </w:r>
          </w:p>
        </w:tc>
      </w:tr>
      <w:tr w:rsidR="00464638" w:rsidRPr="00464638" w14:paraId="6E5244B5" w14:textId="77777777" w:rsidTr="000C01F0">
        <w:tc>
          <w:tcPr>
            <w:tcW w:w="457" w:type="dxa"/>
            <w:tcBorders>
              <w:top w:val="nil"/>
              <w:left w:val="nil"/>
              <w:bottom w:val="nil"/>
              <w:right w:val="nil"/>
            </w:tcBorders>
          </w:tcPr>
          <w:p w14:paraId="0B6FE1FC" w14:textId="77777777" w:rsidR="00464638" w:rsidRPr="00464638" w:rsidRDefault="00464638" w:rsidP="00536070">
            <w:pPr>
              <w:jc w:val="both"/>
              <w:rPr>
                <w:sz w:val="18"/>
              </w:rPr>
            </w:pPr>
          </w:p>
        </w:tc>
        <w:tc>
          <w:tcPr>
            <w:tcW w:w="3953" w:type="dxa"/>
            <w:tcBorders>
              <w:top w:val="single" w:sz="4" w:space="0" w:color="auto"/>
              <w:left w:val="nil"/>
              <w:bottom w:val="single" w:sz="4" w:space="0" w:color="auto"/>
              <w:right w:val="nil"/>
            </w:tcBorders>
          </w:tcPr>
          <w:p w14:paraId="5E3D37D8" w14:textId="77777777" w:rsidR="00464638" w:rsidRPr="00464638" w:rsidRDefault="00464638" w:rsidP="00536070">
            <w:pPr>
              <w:jc w:val="both"/>
            </w:pPr>
            <w:r w:rsidRPr="00464638">
              <w:t>Director,</w:t>
            </w:r>
          </w:p>
          <w:p w14:paraId="6D943541" w14:textId="77777777" w:rsidR="00464638" w:rsidRPr="00464638" w:rsidRDefault="00464638" w:rsidP="00536070">
            <w:pPr>
              <w:jc w:val="both"/>
              <w:rPr>
                <w:sz w:val="22"/>
              </w:rPr>
            </w:pPr>
            <w:r w:rsidRPr="00464638">
              <w:t>Department of Public Defense</w:t>
            </w:r>
          </w:p>
        </w:tc>
        <w:tc>
          <w:tcPr>
            <w:tcW w:w="360" w:type="dxa"/>
            <w:tcBorders>
              <w:top w:val="nil"/>
              <w:left w:val="nil"/>
              <w:bottom w:val="nil"/>
              <w:right w:val="nil"/>
            </w:tcBorders>
          </w:tcPr>
          <w:p w14:paraId="69CBEC02" w14:textId="77777777" w:rsidR="00464638" w:rsidRPr="00464638" w:rsidRDefault="00464638" w:rsidP="00536070">
            <w:pPr>
              <w:jc w:val="both"/>
              <w:rPr>
                <w:sz w:val="18"/>
              </w:rPr>
            </w:pPr>
          </w:p>
        </w:tc>
        <w:tc>
          <w:tcPr>
            <w:tcW w:w="360" w:type="dxa"/>
            <w:tcBorders>
              <w:top w:val="nil"/>
              <w:left w:val="nil"/>
              <w:bottom w:val="nil"/>
              <w:right w:val="nil"/>
            </w:tcBorders>
          </w:tcPr>
          <w:p w14:paraId="4F29EA0F" w14:textId="77777777" w:rsidR="00464638" w:rsidRPr="00464638" w:rsidRDefault="00464638" w:rsidP="00536070">
            <w:pPr>
              <w:jc w:val="both"/>
              <w:rPr>
                <w:sz w:val="18"/>
              </w:rPr>
            </w:pPr>
          </w:p>
        </w:tc>
        <w:tc>
          <w:tcPr>
            <w:tcW w:w="4230" w:type="dxa"/>
            <w:tcBorders>
              <w:top w:val="single" w:sz="4" w:space="0" w:color="auto"/>
              <w:left w:val="nil"/>
              <w:bottom w:val="single" w:sz="4" w:space="0" w:color="auto"/>
              <w:right w:val="nil"/>
            </w:tcBorders>
          </w:tcPr>
          <w:p w14:paraId="1605196B" w14:textId="77777777" w:rsidR="00464638" w:rsidRPr="00464638" w:rsidRDefault="00464638" w:rsidP="00536070">
            <w:r w:rsidRPr="00464638">
              <w:t xml:space="preserve">Director, </w:t>
            </w:r>
          </w:p>
          <w:p w14:paraId="5CACDAC9" w14:textId="77777777" w:rsidR="00464638" w:rsidRPr="00464638" w:rsidRDefault="00464638" w:rsidP="00536070">
            <w:pPr>
              <w:rPr>
                <w:sz w:val="21"/>
              </w:rPr>
            </w:pPr>
            <w:r w:rsidRPr="00464638">
              <w:t>City Budget Office</w:t>
            </w:r>
          </w:p>
        </w:tc>
      </w:tr>
    </w:tbl>
    <w:p w14:paraId="6522BEF9" w14:textId="77777777" w:rsidR="00464638" w:rsidRPr="00784F7F" w:rsidRDefault="00464638" w:rsidP="0022745A">
      <w:pPr>
        <w:suppressAutoHyphens/>
      </w:pPr>
    </w:p>
    <w:sectPr w:rsidR="00464638" w:rsidRPr="00784F7F" w:rsidSect="001D7658">
      <w:headerReference w:type="default" r:id="rId8"/>
      <w:footerReference w:type="default" r:id="rId9"/>
      <w:pgSz w:w="12240" w:h="15840" w:code="1"/>
      <w:pgMar w:top="1152" w:right="1152" w:bottom="1152" w:left="1152" w:header="576"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25A24" w16cid:durableId="1E82DF62"/>
  <w16cid:commentId w16cid:paraId="1E207AD2" w16cid:durableId="1E82DF6E"/>
  <w16cid:commentId w16cid:paraId="5F7E87C0" w16cid:durableId="1E82DF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F389E" w14:textId="77777777" w:rsidR="003B4F85" w:rsidRDefault="003B4F85" w:rsidP="00464638">
      <w:r>
        <w:separator/>
      </w:r>
    </w:p>
  </w:endnote>
  <w:endnote w:type="continuationSeparator" w:id="0">
    <w:p w14:paraId="5A0C87C7" w14:textId="77777777" w:rsidR="003B4F85" w:rsidRDefault="003B4F85" w:rsidP="0046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704185"/>
      <w:docPartObj>
        <w:docPartGallery w:val="Page Numbers (Bottom of Page)"/>
        <w:docPartUnique/>
      </w:docPartObj>
    </w:sdtPr>
    <w:sdtEndPr>
      <w:rPr>
        <w:noProof/>
      </w:rPr>
    </w:sdtEndPr>
    <w:sdtContent>
      <w:p w14:paraId="58D8E4DE" w14:textId="4BCEC765" w:rsidR="00464638" w:rsidRDefault="003D0F04">
        <w:pPr>
          <w:pStyle w:val="Footer"/>
        </w:pPr>
        <w:r>
          <w:t>First</w:t>
        </w:r>
        <w:r w:rsidR="000B5E6F">
          <w:t xml:space="preserve"> </w:t>
        </w:r>
        <w:r w:rsidR="00464638">
          <w:t xml:space="preserve">Amendment to </w:t>
        </w:r>
        <w:r w:rsidR="004C69F4">
          <w:t>201</w:t>
        </w:r>
        <w:r>
          <w:t>8</w:t>
        </w:r>
        <w:r w:rsidR="004C69F4">
          <w:t xml:space="preserve"> </w:t>
        </w:r>
        <w:proofErr w:type="spellStart"/>
        <w:r w:rsidR="00464638">
          <w:t>Interlocal</w:t>
        </w:r>
        <w:proofErr w:type="spellEnd"/>
        <w:r w:rsidR="00464638">
          <w:t xml:space="preserve"> </w:t>
        </w:r>
        <w:r w:rsidR="00012A5C">
          <w:t xml:space="preserve">Agreement for Public Defense Services Between The City of Seattle and King County - </w:t>
        </w:r>
        <w:r w:rsidR="00464638">
          <w:fldChar w:fldCharType="begin"/>
        </w:r>
        <w:r w:rsidR="00464638">
          <w:instrText xml:space="preserve"> PAGE   \* MERGEFORMAT </w:instrText>
        </w:r>
        <w:r w:rsidR="00464638">
          <w:fldChar w:fldCharType="separate"/>
        </w:r>
        <w:r w:rsidR="007F20FB">
          <w:rPr>
            <w:noProof/>
          </w:rPr>
          <w:t>2</w:t>
        </w:r>
        <w:r w:rsidR="0046463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0F9C0" w14:textId="77777777" w:rsidR="003B4F85" w:rsidRDefault="003B4F85" w:rsidP="00464638">
      <w:r>
        <w:separator/>
      </w:r>
    </w:p>
  </w:footnote>
  <w:footnote w:type="continuationSeparator" w:id="0">
    <w:p w14:paraId="2DE764BD" w14:textId="77777777" w:rsidR="003B4F85" w:rsidRDefault="003B4F85" w:rsidP="0046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A9748" w14:textId="4568131E" w:rsidR="001D7658" w:rsidRDefault="001D7658" w:rsidP="001D7658">
    <w:pPr>
      <w:pStyle w:val="Header"/>
      <w:jc w:val="center"/>
      <w:rPr>
        <w:b/>
        <w:caps/>
      </w:rPr>
    </w:pPr>
    <w:r w:rsidRPr="005C1C4E">
      <w:rPr>
        <w:b/>
      </w:rPr>
      <w:t xml:space="preserve">ATTACHMENT </w:t>
    </w:r>
    <w:r>
      <w:rPr>
        <w:b/>
        <w:caps/>
      </w:rPr>
      <w:t>A</w:t>
    </w:r>
    <w:r w:rsidR="007F20FB">
      <w:rPr>
        <w:b/>
        <w:caps/>
      </w:rPr>
      <w:t xml:space="preserve"> - 18776</w:t>
    </w:r>
  </w:p>
  <w:p w14:paraId="36E15404" w14:textId="77777777" w:rsidR="001D7658" w:rsidRPr="001D7658" w:rsidRDefault="001D7658" w:rsidP="001D7658">
    <w:pPr>
      <w:pStyle w:val="Header"/>
      <w:jc w:val="center"/>
      <w:rPr>
        <w:b/>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2A48"/>
    <w:multiLevelType w:val="hybridMultilevel"/>
    <w:tmpl w:val="E94ED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38571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28B0"/>
    <w:multiLevelType w:val="hybridMultilevel"/>
    <w:tmpl w:val="5BD44DB2"/>
    <w:lvl w:ilvl="0" w:tplc="9E2A3778">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77B3B"/>
    <w:multiLevelType w:val="hybridMultilevel"/>
    <w:tmpl w:val="22742D68"/>
    <w:lvl w:ilvl="0" w:tplc="70AAB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62267C"/>
    <w:multiLevelType w:val="hybridMultilevel"/>
    <w:tmpl w:val="31B69E02"/>
    <w:lvl w:ilvl="0" w:tplc="CE48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BA263C"/>
    <w:multiLevelType w:val="hybridMultilevel"/>
    <w:tmpl w:val="9C7821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A06BBE"/>
    <w:multiLevelType w:val="hybridMultilevel"/>
    <w:tmpl w:val="6DBC51A4"/>
    <w:lvl w:ilvl="0" w:tplc="D1DEE87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1876D9"/>
    <w:multiLevelType w:val="hybridMultilevel"/>
    <w:tmpl w:val="C666EF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7F02A5"/>
    <w:multiLevelType w:val="hybridMultilevel"/>
    <w:tmpl w:val="42B8F7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6751DE"/>
    <w:multiLevelType w:val="hybridMultilevel"/>
    <w:tmpl w:val="9AEE0D94"/>
    <w:lvl w:ilvl="0" w:tplc="6CEE8770">
      <w:start w:val="1"/>
      <w:numFmt w:val="lowerLetter"/>
      <w:lvlText w:val="(%1)"/>
      <w:lvlJc w:val="left"/>
      <w:pPr>
        <w:ind w:left="2520" w:hanging="360"/>
      </w:pPr>
      <w:rPr>
        <w:rFonts w:hint="default"/>
        <w:u w:val="singl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7F"/>
    <w:rsid w:val="00012A5C"/>
    <w:rsid w:val="0002125E"/>
    <w:rsid w:val="00023EFD"/>
    <w:rsid w:val="000403AC"/>
    <w:rsid w:val="000640DC"/>
    <w:rsid w:val="000672C1"/>
    <w:rsid w:val="000A7E95"/>
    <w:rsid w:val="000B1FAD"/>
    <w:rsid w:val="000B2E1E"/>
    <w:rsid w:val="000B5E6F"/>
    <w:rsid w:val="000C2FA4"/>
    <w:rsid w:val="000D1C44"/>
    <w:rsid w:val="000D2945"/>
    <w:rsid w:val="000E5408"/>
    <w:rsid w:val="001016F8"/>
    <w:rsid w:val="001024F3"/>
    <w:rsid w:val="00116365"/>
    <w:rsid w:val="00151249"/>
    <w:rsid w:val="001A1B11"/>
    <w:rsid w:val="001D18A8"/>
    <w:rsid w:val="001D7658"/>
    <w:rsid w:val="0022745A"/>
    <w:rsid w:val="002A3653"/>
    <w:rsid w:val="002A7AAE"/>
    <w:rsid w:val="002C30DD"/>
    <w:rsid w:val="002D5E34"/>
    <w:rsid w:val="002E696B"/>
    <w:rsid w:val="0030321B"/>
    <w:rsid w:val="00361BC0"/>
    <w:rsid w:val="00386FA0"/>
    <w:rsid w:val="003B4F85"/>
    <w:rsid w:val="003D0F04"/>
    <w:rsid w:val="003D7AB4"/>
    <w:rsid w:val="00434420"/>
    <w:rsid w:val="00435305"/>
    <w:rsid w:val="00453E51"/>
    <w:rsid w:val="00464638"/>
    <w:rsid w:val="004B42A1"/>
    <w:rsid w:val="004C69F4"/>
    <w:rsid w:val="00536070"/>
    <w:rsid w:val="00566F08"/>
    <w:rsid w:val="00574063"/>
    <w:rsid w:val="00574198"/>
    <w:rsid w:val="005821F0"/>
    <w:rsid w:val="005846C1"/>
    <w:rsid w:val="005A0E62"/>
    <w:rsid w:val="005A7719"/>
    <w:rsid w:val="005B27AE"/>
    <w:rsid w:val="005C1FF7"/>
    <w:rsid w:val="005C539C"/>
    <w:rsid w:val="005D256C"/>
    <w:rsid w:val="005E77D4"/>
    <w:rsid w:val="0063496E"/>
    <w:rsid w:val="00666955"/>
    <w:rsid w:val="0067392B"/>
    <w:rsid w:val="00694F52"/>
    <w:rsid w:val="006C3E5E"/>
    <w:rsid w:val="006D6AB2"/>
    <w:rsid w:val="00706CD0"/>
    <w:rsid w:val="00776AD7"/>
    <w:rsid w:val="00784F7F"/>
    <w:rsid w:val="007B3966"/>
    <w:rsid w:val="007F20FB"/>
    <w:rsid w:val="00802560"/>
    <w:rsid w:val="00855F9E"/>
    <w:rsid w:val="0088547B"/>
    <w:rsid w:val="008B70E0"/>
    <w:rsid w:val="009026F7"/>
    <w:rsid w:val="00906D34"/>
    <w:rsid w:val="00911239"/>
    <w:rsid w:val="009B0C08"/>
    <w:rsid w:val="009D12E5"/>
    <w:rsid w:val="009D6AC7"/>
    <w:rsid w:val="00A10F10"/>
    <w:rsid w:val="00A112B2"/>
    <w:rsid w:val="00A2146B"/>
    <w:rsid w:val="00A34516"/>
    <w:rsid w:val="00A36A34"/>
    <w:rsid w:val="00A42493"/>
    <w:rsid w:val="00A56B3D"/>
    <w:rsid w:val="00A9424D"/>
    <w:rsid w:val="00AD3E24"/>
    <w:rsid w:val="00B00147"/>
    <w:rsid w:val="00B239F9"/>
    <w:rsid w:val="00B24BE1"/>
    <w:rsid w:val="00B45CF2"/>
    <w:rsid w:val="00B47E50"/>
    <w:rsid w:val="00B5507C"/>
    <w:rsid w:val="00B55D3A"/>
    <w:rsid w:val="00B63689"/>
    <w:rsid w:val="00B63C65"/>
    <w:rsid w:val="00B819DA"/>
    <w:rsid w:val="00B85DFF"/>
    <w:rsid w:val="00B9158F"/>
    <w:rsid w:val="00BA0AA3"/>
    <w:rsid w:val="00BA2571"/>
    <w:rsid w:val="00BB0AEC"/>
    <w:rsid w:val="00BB5FF2"/>
    <w:rsid w:val="00C135D5"/>
    <w:rsid w:val="00C16788"/>
    <w:rsid w:val="00C631DA"/>
    <w:rsid w:val="00C70E3C"/>
    <w:rsid w:val="00C76EE8"/>
    <w:rsid w:val="00C80D9A"/>
    <w:rsid w:val="00C92872"/>
    <w:rsid w:val="00CB0AA3"/>
    <w:rsid w:val="00CE4E76"/>
    <w:rsid w:val="00CE74EF"/>
    <w:rsid w:val="00CF6537"/>
    <w:rsid w:val="00D267CA"/>
    <w:rsid w:val="00D34B60"/>
    <w:rsid w:val="00D41CB4"/>
    <w:rsid w:val="00DC5F41"/>
    <w:rsid w:val="00DE16B4"/>
    <w:rsid w:val="00DF7BF3"/>
    <w:rsid w:val="00E0155B"/>
    <w:rsid w:val="00E01B84"/>
    <w:rsid w:val="00E11C74"/>
    <w:rsid w:val="00E837B2"/>
    <w:rsid w:val="00F06BF8"/>
    <w:rsid w:val="00F11E39"/>
    <w:rsid w:val="00F25973"/>
    <w:rsid w:val="00F30289"/>
    <w:rsid w:val="00F3529E"/>
    <w:rsid w:val="00F80385"/>
    <w:rsid w:val="00FB0991"/>
    <w:rsid w:val="00FD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82150"/>
  <w15:docId w15:val="{94AE3C98-AEC5-41F9-86D5-37B796B2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6AD7"/>
    <w:rPr>
      <w:sz w:val="16"/>
      <w:szCs w:val="16"/>
    </w:rPr>
  </w:style>
  <w:style w:type="paragraph" w:styleId="CommentText">
    <w:name w:val="annotation text"/>
    <w:basedOn w:val="Normal"/>
    <w:link w:val="CommentTextChar"/>
    <w:uiPriority w:val="99"/>
    <w:semiHidden/>
    <w:unhideWhenUsed/>
    <w:rsid w:val="00776AD7"/>
    <w:rPr>
      <w:sz w:val="20"/>
      <w:szCs w:val="20"/>
    </w:rPr>
  </w:style>
  <w:style w:type="character" w:customStyle="1" w:styleId="CommentTextChar">
    <w:name w:val="Comment Text Char"/>
    <w:basedOn w:val="DefaultParagraphFont"/>
    <w:link w:val="CommentText"/>
    <w:uiPriority w:val="99"/>
    <w:semiHidden/>
    <w:rsid w:val="00776A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AD7"/>
    <w:rPr>
      <w:b/>
      <w:bCs/>
    </w:rPr>
  </w:style>
  <w:style w:type="character" w:customStyle="1" w:styleId="CommentSubjectChar">
    <w:name w:val="Comment Subject Char"/>
    <w:basedOn w:val="CommentTextChar"/>
    <w:link w:val="CommentSubject"/>
    <w:uiPriority w:val="99"/>
    <w:semiHidden/>
    <w:rsid w:val="00776A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6AD7"/>
    <w:rPr>
      <w:rFonts w:ascii="Tahoma" w:hAnsi="Tahoma" w:cs="Tahoma"/>
      <w:sz w:val="16"/>
      <w:szCs w:val="16"/>
    </w:rPr>
  </w:style>
  <w:style w:type="character" w:customStyle="1" w:styleId="BalloonTextChar">
    <w:name w:val="Balloon Text Char"/>
    <w:basedOn w:val="DefaultParagraphFont"/>
    <w:link w:val="BalloonText"/>
    <w:uiPriority w:val="99"/>
    <w:semiHidden/>
    <w:rsid w:val="00776AD7"/>
    <w:rPr>
      <w:rFonts w:ascii="Tahoma" w:eastAsia="Times New Roman" w:hAnsi="Tahoma" w:cs="Tahoma"/>
      <w:sz w:val="16"/>
      <w:szCs w:val="16"/>
    </w:rPr>
  </w:style>
  <w:style w:type="paragraph" w:styleId="Header">
    <w:name w:val="header"/>
    <w:basedOn w:val="Normal"/>
    <w:link w:val="HeaderChar"/>
    <w:uiPriority w:val="99"/>
    <w:unhideWhenUsed/>
    <w:rsid w:val="00464638"/>
    <w:pPr>
      <w:tabs>
        <w:tab w:val="center" w:pos="4680"/>
        <w:tab w:val="right" w:pos="9360"/>
      </w:tabs>
    </w:pPr>
  </w:style>
  <w:style w:type="character" w:customStyle="1" w:styleId="HeaderChar">
    <w:name w:val="Header Char"/>
    <w:basedOn w:val="DefaultParagraphFont"/>
    <w:link w:val="Header"/>
    <w:uiPriority w:val="99"/>
    <w:rsid w:val="004646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4638"/>
    <w:pPr>
      <w:tabs>
        <w:tab w:val="center" w:pos="4680"/>
        <w:tab w:val="right" w:pos="9360"/>
      </w:tabs>
    </w:pPr>
  </w:style>
  <w:style w:type="character" w:customStyle="1" w:styleId="FooterChar">
    <w:name w:val="Footer Char"/>
    <w:basedOn w:val="DefaultParagraphFont"/>
    <w:link w:val="Footer"/>
    <w:uiPriority w:val="99"/>
    <w:rsid w:val="00464638"/>
    <w:rPr>
      <w:rFonts w:ascii="Times New Roman" w:eastAsia="Times New Roman" w:hAnsi="Times New Roman" w:cs="Times New Roman"/>
      <w:sz w:val="24"/>
      <w:szCs w:val="24"/>
    </w:rPr>
  </w:style>
  <w:style w:type="paragraph" w:styleId="ListParagraph">
    <w:name w:val="List Paragraph"/>
    <w:basedOn w:val="Normal"/>
    <w:uiPriority w:val="34"/>
    <w:qFormat/>
    <w:rsid w:val="005A7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1E7D-0172-4896-B9A6-7F1A859F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LawUser</dc:creator>
  <cp:lastModifiedBy>Blossey, Linda</cp:lastModifiedBy>
  <cp:revision>4</cp:revision>
  <cp:lastPrinted>2018-07-31T18:17:00Z</cp:lastPrinted>
  <dcterms:created xsi:type="dcterms:W3CDTF">2018-05-31T16:57:00Z</dcterms:created>
  <dcterms:modified xsi:type="dcterms:W3CDTF">2018-07-31T18:17:00Z</dcterms:modified>
</cp:coreProperties>
</file>