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2848"/>
        <w:gridCol w:w="6628"/>
      </w:tblGrid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r w:rsidRPr="00B629A9">
              <w:rPr>
                <w:b/>
              </w:rPr>
              <w:t>County Department(s):</w:t>
            </w:r>
          </w:p>
        </w:tc>
        <w:tc>
          <w:tcPr>
            <w:tcW w:w="6628" w:type="dxa"/>
          </w:tcPr>
          <w:p w:rsidR="00AA5D98" w:rsidRPr="00B629A9" w:rsidRDefault="000C1D6A">
            <w:pPr>
              <w:rPr>
                <w:b/>
              </w:rPr>
            </w:pPr>
            <w:r>
              <w:rPr>
                <w:b/>
              </w:rPr>
              <w:t>Sheriff</w:t>
            </w:r>
            <w:r w:rsidR="006478F0">
              <w:rPr>
                <w:b/>
              </w:rPr>
              <w:t>’</w:t>
            </w:r>
            <w:r>
              <w:rPr>
                <w:b/>
              </w:rPr>
              <w:t>s Office</w:t>
            </w:r>
          </w:p>
        </w:tc>
      </w:tr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r w:rsidRPr="00B629A9">
              <w:rPr>
                <w:b/>
              </w:rPr>
              <w:t>Term of Contract:</w:t>
            </w:r>
          </w:p>
        </w:tc>
        <w:tc>
          <w:tcPr>
            <w:tcW w:w="6628" w:type="dxa"/>
          </w:tcPr>
          <w:p w:rsidR="00AA5D98" w:rsidRPr="00B629A9" w:rsidRDefault="000C1D6A">
            <w:pPr>
              <w:rPr>
                <w:b/>
              </w:rPr>
            </w:pPr>
            <w:r>
              <w:rPr>
                <w:b/>
              </w:rPr>
              <w:t>January 1, 2016</w:t>
            </w:r>
            <w:r w:rsidR="005177BA">
              <w:rPr>
                <w:b/>
              </w:rPr>
              <w:t>,</w:t>
            </w:r>
            <w:r>
              <w:rPr>
                <w:b/>
              </w:rPr>
              <w:t xml:space="preserve"> through December 31, 2020</w:t>
            </w:r>
          </w:p>
        </w:tc>
      </w:tr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r w:rsidRPr="00B629A9">
              <w:rPr>
                <w:b/>
              </w:rPr>
              <w:t>County Negotiator</w:t>
            </w:r>
            <w:r w:rsidR="000C1D6A">
              <w:rPr>
                <w:b/>
              </w:rPr>
              <w:t>s</w:t>
            </w:r>
            <w:r w:rsidRPr="00B629A9">
              <w:rPr>
                <w:b/>
              </w:rPr>
              <w:t>:</w:t>
            </w:r>
          </w:p>
        </w:tc>
        <w:tc>
          <w:tcPr>
            <w:tcW w:w="6628" w:type="dxa"/>
          </w:tcPr>
          <w:p w:rsidR="00AA5D98" w:rsidRPr="00BF68B1" w:rsidRDefault="00BF68B1" w:rsidP="001415D8">
            <w:pPr>
              <w:rPr>
                <w:rFonts w:ascii="Univers (W1)" w:hAnsi="Univers (W1)"/>
                <w:b/>
                <w:sz w:val="24"/>
              </w:rPr>
            </w:pPr>
            <w:r w:rsidRPr="006928AE">
              <w:rPr>
                <w:rFonts w:ascii="Univers (W1)" w:hAnsi="Univers (W1)"/>
                <w:b/>
                <w:sz w:val="24"/>
              </w:rPr>
              <w:t xml:space="preserve">Robert Railton and Diane Hess </w:t>
            </w:r>
            <w:r>
              <w:rPr>
                <w:rFonts w:ascii="Univers (W1)" w:hAnsi="Univers (W1)"/>
                <w:b/>
                <w:sz w:val="24"/>
              </w:rPr>
              <w:t>Taylor</w:t>
            </w:r>
          </w:p>
        </w:tc>
      </w:tr>
    </w:tbl>
    <w:p w:rsidR="00AA5D98" w:rsidRDefault="00AA5D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3415"/>
        <w:gridCol w:w="6061"/>
      </w:tblGrid>
      <w:tr w:rsidR="00AA5D98" w:rsidRPr="00E46AC1" w:rsidTr="00DD24D5">
        <w:trPr>
          <w:cantSplit/>
          <w:tblHeader/>
        </w:trPr>
        <w:tc>
          <w:tcPr>
            <w:tcW w:w="3415" w:type="dxa"/>
            <w:shd w:val="clear" w:color="auto" w:fill="B9B9B9"/>
            <w:vAlign w:val="center"/>
          </w:tcPr>
          <w:p w:rsidR="00AA5D98" w:rsidRPr="00B629A9" w:rsidRDefault="00AA5D98" w:rsidP="00B629A9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Labor Policy</w:t>
            </w:r>
          </w:p>
        </w:tc>
        <w:tc>
          <w:tcPr>
            <w:tcW w:w="6061" w:type="dxa"/>
            <w:shd w:val="clear" w:color="auto" w:fill="B9B9B9"/>
            <w:vAlign w:val="center"/>
          </w:tcPr>
          <w:p w:rsidR="00AA5D98" w:rsidRPr="00B629A9" w:rsidRDefault="00AA5D98" w:rsidP="00B629A9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Is Contract Consistent with Adopted Labor Policies? If not, please explain.</w:t>
            </w:r>
          </w:p>
        </w:tc>
      </w:tr>
      <w:tr w:rsidR="00AA5D98" w:rsidTr="00DD24D5">
        <w:trPr>
          <w:cantSplit/>
        </w:trPr>
        <w:tc>
          <w:tcPr>
            <w:tcW w:w="3415" w:type="dxa"/>
          </w:tcPr>
          <w:p w:rsidR="00AA5D98" w:rsidRPr="00145D39" w:rsidRDefault="00AA5D98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Contract Consolidation</w:t>
            </w:r>
          </w:p>
        </w:tc>
        <w:tc>
          <w:tcPr>
            <w:tcW w:w="6061" w:type="dxa"/>
          </w:tcPr>
          <w:p w:rsidR="00AA5D98" w:rsidRPr="00145D39" w:rsidRDefault="00782007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Diversity</w:t>
            </w:r>
          </w:p>
        </w:tc>
        <w:tc>
          <w:tcPr>
            <w:tcW w:w="6061" w:type="dxa"/>
          </w:tcPr>
          <w:p w:rsidR="00DD24D5" w:rsidRPr="00145D39" w:rsidRDefault="00782007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Project Labor Agreements</w:t>
            </w:r>
          </w:p>
        </w:tc>
        <w:tc>
          <w:tcPr>
            <w:tcW w:w="6061" w:type="dxa"/>
          </w:tcPr>
          <w:p w:rsidR="00DD24D5" w:rsidRPr="00145D39" w:rsidRDefault="004D0B8A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Performance Evaluations</w:t>
            </w:r>
          </w:p>
        </w:tc>
        <w:tc>
          <w:tcPr>
            <w:tcW w:w="6061" w:type="dxa"/>
          </w:tcPr>
          <w:p w:rsidR="00DD24D5" w:rsidRPr="00145D39" w:rsidRDefault="00782007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Continuous Improvement</w:t>
            </w:r>
          </w:p>
        </w:tc>
        <w:tc>
          <w:tcPr>
            <w:tcW w:w="6061" w:type="dxa"/>
          </w:tcPr>
          <w:p w:rsidR="00DD24D5" w:rsidRPr="00145D39" w:rsidRDefault="00782007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Labor-Management Committees</w:t>
            </w:r>
          </w:p>
        </w:tc>
        <w:tc>
          <w:tcPr>
            <w:tcW w:w="6061" w:type="dxa"/>
          </w:tcPr>
          <w:p w:rsidR="00DD24D5" w:rsidRPr="00145D39" w:rsidRDefault="00782007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Labor-Management Partnerships</w:t>
            </w:r>
          </w:p>
        </w:tc>
        <w:tc>
          <w:tcPr>
            <w:tcW w:w="6061" w:type="dxa"/>
          </w:tcPr>
          <w:p w:rsidR="00DD24D5" w:rsidRPr="00145D39" w:rsidRDefault="00782007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Mediation</w:t>
            </w:r>
          </w:p>
        </w:tc>
        <w:tc>
          <w:tcPr>
            <w:tcW w:w="6061" w:type="dxa"/>
          </w:tcPr>
          <w:p w:rsidR="00DD24D5" w:rsidRPr="00145D39" w:rsidRDefault="00782007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Binding Interest Arbitration</w:t>
            </w:r>
          </w:p>
        </w:tc>
        <w:tc>
          <w:tcPr>
            <w:tcW w:w="6061" w:type="dxa"/>
          </w:tcPr>
          <w:p w:rsidR="00DD24D5" w:rsidRPr="00145D39" w:rsidRDefault="00782007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Interest-based Bargaining</w:t>
            </w:r>
          </w:p>
        </w:tc>
        <w:tc>
          <w:tcPr>
            <w:tcW w:w="6061" w:type="dxa"/>
          </w:tcPr>
          <w:p w:rsidR="00DD24D5" w:rsidRPr="00145D39" w:rsidRDefault="00782007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Timeliness of Negotiations</w:t>
            </w:r>
          </w:p>
        </w:tc>
        <w:tc>
          <w:tcPr>
            <w:tcW w:w="6061" w:type="dxa"/>
          </w:tcPr>
          <w:p w:rsidR="00DD24D5" w:rsidRPr="00145D39" w:rsidRDefault="00782007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Compensation</w:t>
            </w:r>
          </w:p>
        </w:tc>
        <w:tc>
          <w:tcPr>
            <w:tcW w:w="6061" w:type="dxa"/>
          </w:tcPr>
          <w:p w:rsidR="00DD24D5" w:rsidRPr="00145D39" w:rsidRDefault="00782007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Yes, in part; no, in part.</w:t>
            </w:r>
            <w:r w:rsidR="0027350F">
              <w:rPr>
                <w:rFonts w:cs="Arial"/>
                <w:sz w:val="24"/>
                <w:szCs w:val="24"/>
              </w:rPr>
              <w:t xml:space="preserve">  The wage increase is based on the</w:t>
            </w:r>
            <w:r w:rsidR="00F10F90">
              <w:rPr>
                <w:rFonts w:cs="Arial"/>
                <w:sz w:val="24"/>
                <w:szCs w:val="24"/>
              </w:rPr>
              <w:t xml:space="preserve"> percentage difference between Captains and S</w:t>
            </w:r>
            <w:bookmarkStart w:id="0" w:name="_GoBack"/>
            <w:bookmarkEnd w:id="0"/>
            <w:r w:rsidR="0027350F">
              <w:rPr>
                <w:rFonts w:cs="Arial"/>
                <w:sz w:val="24"/>
                <w:szCs w:val="24"/>
              </w:rPr>
              <w:t>ergeants.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Overtime</w:t>
            </w:r>
          </w:p>
        </w:tc>
        <w:tc>
          <w:tcPr>
            <w:tcW w:w="6061" w:type="dxa"/>
          </w:tcPr>
          <w:p w:rsidR="00DD24D5" w:rsidRPr="00145D39" w:rsidRDefault="0027350F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Benefits</w:t>
            </w:r>
          </w:p>
        </w:tc>
        <w:tc>
          <w:tcPr>
            <w:tcW w:w="6061" w:type="dxa"/>
          </w:tcPr>
          <w:p w:rsidR="00DD24D5" w:rsidRPr="00145D39" w:rsidRDefault="0027350F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Reduction-in-Force</w:t>
            </w:r>
          </w:p>
        </w:tc>
        <w:tc>
          <w:tcPr>
            <w:tcW w:w="6061" w:type="dxa"/>
          </w:tcPr>
          <w:p w:rsidR="00DD24D5" w:rsidRPr="00145D39" w:rsidRDefault="0027350F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Contracting Out of Work</w:t>
            </w:r>
          </w:p>
        </w:tc>
        <w:tc>
          <w:tcPr>
            <w:tcW w:w="6061" w:type="dxa"/>
          </w:tcPr>
          <w:p w:rsidR="00DD24D5" w:rsidRPr="00145D39" w:rsidRDefault="0027350F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Use of Temporary and Part-time Employees</w:t>
            </w:r>
          </w:p>
        </w:tc>
        <w:tc>
          <w:tcPr>
            <w:tcW w:w="6061" w:type="dxa"/>
          </w:tcPr>
          <w:p w:rsidR="00DD24D5" w:rsidRPr="00145D39" w:rsidRDefault="0027350F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Civilian Oversight of Sheriff</w:t>
            </w:r>
            <w:r w:rsidR="006478F0">
              <w:rPr>
                <w:sz w:val="24"/>
                <w:szCs w:val="24"/>
              </w:rPr>
              <w:t>’</w:t>
            </w:r>
            <w:r w:rsidRPr="00B629A9">
              <w:rPr>
                <w:sz w:val="24"/>
                <w:szCs w:val="24"/>
              </w:rPr>
              <w:t>s Office</w:t>
            </w:r>
          </w:p>
        </w:tc>
        <w:tc>
          <w:tcPr>
            <w:tcW w:w="6061" w:type="dxa"/>
          </w:tcPr>
          <w:p w:rsidR="00D8354E" w:rsidRPr="00B629A9" w:rsidRDefault="00DB3C6A" w:rsidP="005177BA">
            <w:pPr>
              <w:rPr>
                <w:sz w:val="24"/>
                <w:szCs w:val="24"/>
              </w:rPr>
            </w:pPr>
            <w:r w:rsidRPr="005177BA">
              <w:rPr>
                <w:rFonts w:cs="Arial"/>
                <w:sz w:val="24"/>
                <w:szCs w:val="24"/>
              </w:rPr>
              <w:t xml:space="preserve">No.  The scope of </w:t>
            </w:r>
            <w:r w:rsidR="005177BA" w:rsidRPr="005177BA">
              <w:rPr>
                <w:rFonts w:cs="Arial"/>
                <w:sz w:val="24"/>
                <w:szCs w:val="24"/>
              </w:rPr>
              <w:t>the Office of Law Enforcement Oversight</w:t>
            </w:r>
            <w:r w:rsidR="006478F0">
              <w:rPr>
                <w:rFonts w:cs="Arial"/>
                <w:sz w:val="24"/>
                <w:szCs w:val="24"/>
              </w:rPr>
              <w:t>’</w:t>
            </w:r>
            <w:r w:rsidR="005177BA" w:rsidRPr="005177BA">
              <w:rPr>
                <w:rFonts w:cs="Arial"/>
                <w:sz w:val="24"/>
                <w:szCs w:val="24"/>
              </w:rPr>
              <w:t>s (</w:t>
            </w:r>
            <w:r w:rsidRPr="005177BA">
              <w:rPr>
                <w:rFonts w:cs="Arial"/>
                <w:sz w:val="24"/>
                <w:szCs w:val="24"/>
              </w:rPr>
              <w:t>OLEO</w:t>
            </w:r>
            <w:r w:rsidR="005177BA" w:rsidRPr="005177BA">
              <w:rPr>
                <w:rFonts w:cs="Arial"/>
                <w:sz w:val="24"/>
                <w:szCs w:val="24"/>
              </w:rPr>
              <w:t>)</w:t>
            </w:r>
            <w:r w:rsidRPr="005177BA">
              <w:rPr>
                <w:rFonts w:cs="Arial"/>
                <w:sz w:val="24"/>
                <w:szCs w:val="24"/>
              </w:rPr>
              <w:t xml:space="preserve"> authority and duties limited by contract.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lastRenderedPageBreak/>
              <w:t>Sheriff</w:t>
            </w:r>
            <w:r w:rsidR="006478F0">
              <w:rPr>
                <w:sz w:val="24"/>
                <w:szCs w:val="24"/>
              </w:rPr>
              <w:t>’</w:t>
            </w:r>
            <w:r w:rsidRPr="00B629A9">
              <w:rPr>
                <w:sz w:val="24"/>
                <w:szCs w:val="24"/>
              </w:rPr>
              <w:t>s Office Implementation of Report Recommendations</w:t>
            </w:r>
          </w:p>
        </w:tc>
        <w:tc>
          <w:tcPr>
            <w:tcW w:w="6061" w:type="dxa"/>
          </w:tcPr>
          <w:p w:rsidR="00DD24D5" w:rsidRPr="00B629A9" w:rsidRDefault="00D8354E" w:rsidP="0064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  <w:r w:rsidR="005177BA">
              <w:rPr>
                <w:sz w:val="24"/>
                <w:szCs w:val="24"/>
              </w:rPr>
              <w:t xml:space="preserve"> The King County Sheriff</w:t>
            </w:r>
            <w:r w:rsidR="006478F0">
              <w:rPr>
                <w:sz w:val="24"/>
                <w:szCs w:val="24"/>
              </w:rPr>
              <w:t>’</w:t>
            </w:r>
            <w:r w:rsidR="005177BA">
              <w:rPr>
                <w:sz w:val="24"/>
                <w:szCs w:val="24"/>
              </w:rPr>
              <w:t>s Office</w:t>
            </w:r>
            <w:r>
              <w:rPr>
                <w:sz w:val="24"/>
                <w:szCs w:val="24"/>
              </w:rPr>
              <w:t xml:space="preserve"> determined that the current 180-day restriction on investigations can be managed by timely requests for additional time where warranted. </w:t>
            </w:r>
            <w:r w:rsidR="00517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current </w:t>
            </w:r>
            <w:r w:rsidR="00DB3C6A">
              <w:rPr>
                <w:sz w:val="24"/>
                <w:szCs w:val="24"/>
              </w:rPr>
              <w:t>contract</w:t>
            </w:r>
            <w:r>
              <w:rPr>
                <w:sz w:val="24"/>
                <w:szCs w:val="24"/>
              </w:rPr>
              <w:t xml:space="preserve"> </w:t>
            </w:r>
            <w:r w:rsidR="00DB3C6A">
              <w:rPr>
                <w:sz w:val="24"/>
                <w:szCs w:val="24"/>
              </w:rPr>
              <w:t>provided t</w:t>
            </w:r>
            <w:r>
              <w:rPr>
                <w:sz w:val="24"/>
                <w:szCs w:val="24"/>
              </w:rPr>
              <w:t xml:space="preserve">he OLEO </w:t>
            </w:r>
            <w:r w:rsidR="006478F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irector </w:t>
            </w:r>
            <w:r w:rsidR="00DB3C6A">
              <w:rPr>
                <w:sz w:val="24"/>
                <w:szCs w:val="24"/>
              </w:rPr>
              <w:t xml:space="preserve">the opportunity to request </w:t>
            </w:r>
            <w:r>
              <w:rPr>
                <w:sz w:val="24"/>
                <w:szCs w:val="24"/>
              </w:rPr>
              <w:t>additional investigation, but if his/her recommendation is denied, it is appealable to the County Executive.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Legislative Branch Employees and Officials</w:t>
            </w:r>
          </w:p>
        </w:tc>
        <w:tc>
          <w:tcPr>
            <w:tcW w:w="6061" w:type="dxa"/>
          </w:tcPr>
          <w:p w:rsidR="00DD24D5" w:rsidRPr="00B629A9" w:rsidRDefault="0027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AA5D98" w:rsidRDefault="00AA5D98"/>
    <w:sectPr w:rsidR="00AA5D98" w:rsidSect="00C822D4">
      <w:headerReference w:type="default" r:id="rId8"/>
      <w:footerReference w:type="default" r:id="rId9"/>
      <w:pgSz w:w="12240" w:h="15840" w:code="1"/>
      <w:pgMar w:top="1440" w:right="1440" w:bottom="720" w:left="1440" w:header="10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C4" w:rsidRDefault="005F0AC4">
      <w:r>
        <w:separator/>
      </w:r>
    </w:p>
  </w:endnote>
  <w:endnote w:type="continuationSeparator" w:id="0">
    <w:p w:rsidR="005F0AC4" w:rsidRDefault="005F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98" w:rsidRDefault="001E4D54">
    <w:pPr>
      <w:pStyle w:val="Footer"/>
      <w:rPr>
        <w:i/>
        <w:sz w:val="18"/>
      </w:rPr>
    </w:pPr>
    <w:r>
      <w:rPr>
        <w:i/>
        <w:sz w:val="18"/>
      </w:rPr>
      <w:t>181P0117</w:t>
    </w:r>
  </w:p>
  <w:p w:rsidR="00C822D4" w:rsidRDefault="00C822D4">
    <w:pPr>
      <w:pStyle w:val="Footer"/>
      <w:rPr>
        <w:i/>
        <w:sz w:val="18"/>
      </w:rPr>
    </w:pPr>
    <w:r>
      <w:rPr>
        <w:i/>
        <w:sz w:val="18"/>
      </w:rPr>
      <w:t xml:space="preserve">Page </w:t>
    </w:r>
    <w:r w:rsidRPr="00C822D4">
      <w:rPr>
        <w:i/>
        <w:sz w:val="18"/>
      </w:rPr>
      <w:fldChar w:fldCharType="begin"/>
    </w:r>
    <w:r w:rsidRPr="00C822D4">
      <w:rPr>
        <w:i/>
        <w:sz w:val="18"/>
      </w:rPr>
      <w:instrText xml:space="preserve"> PAGE   \* MERGEFORMAT </w:instrText>
    </w:r>
    <w:r w:rsidRPr="00C822D4">
      <w:rPr>
        <w:i/>
        <w:sz w:val="18"/>
      </w:rPr>
      <w:fldChar w:fldCharType="separate"/>
    </w:r>
    <w:r w:rsidR="00F10F90">
      <w:rPr>
        <w:i/>
        <w:noProof/>
        <w:sz w:val="18"/>
      </w:rPr>
      <w:t>1</w:t>
    </w:r>
    <w:r w:rsidRPr="00C822D4">
      <w:rPr>
        <w:i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C4" w:rsidRDefault="005F0AC4">
      <w:r>
        <w:separator/>
      </w:r>
    </w:p>
  </w:footnote>
  <w:footnote w:type="continuationSeparator" w:id="0">
    <w:p w:rsidR="005F0AC4" w:rsidRDefault="005F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98" w:rsidRPr="00C22F10" w:rsidRDefault="00AA5D98">
    <w:pPr>
      <w:jc w:val="center"/>
      <w:rPr>
        <w:b/>
        <w:sz w:val="28"/>
        <w:szCs w:val="28"/>
      </w:rPr>
    </w:pPr>
    <w:r w:rsidRPr="00C22F10">
      <w:rPr>
        <w:b/>
        <w:sz w:val="28"/>
        <w:szCs w:val="28"/>
      </w:rPr>
      <w:t xml:space="preserve">Contract </w:t>
    </w:r>
    <w:r>
      <w:rPr>
        <w:b/>
        <w:sz w:val="28"/>
        <w:szCs w:val="28"/>
      </w:rPr>
      <w:t>Consistency</w:t>
    </w:r>
    <w:r w:rsidRPr="00C22F10">
      <w:rPr>
        <w:b/>
        <w:sz w:val="28"/>
        <w:szCs w:val="28"/>
      </w:rPr>
      <w:t xml:space="preserve"> with Adopted Labor Policies</w:t>
    </w:r>
  </w:p>
  <w:p w:rsidR="00AA5D98" w:rsidRDefault="00AA5D98">
    <w:pPr>
      <w:pStyle w:val="Head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898"/>
      <w:gridCol w:w="6678"/>
    </w:tblGrid>
    <w:tr w:rsidR="00AA5D98" w:rsidRPr="00C22F10" w:rsidTr="003B1AA1">
      <w:trPr>
        <w:cantSplit/>
        <w:tblHeader/>
      </w:trPr>
      <w:tc>
        <w:tcPr>
          <w:tcW w:w="2898" w:type="dxa"/>
        </w:tcPr>
        <w:p w:rsidR="00AA5D98" w:rsidRPr="00C22F10" w:rsidRDefault="00AA5D98" w:rsidP="00D64267">
          <w:pPr>
            <w:rPr>
              <w:b/>
              <w:bCs/>
              <w:i/>
              <w:sz w:val="24"/>
              <w:szCs w:val="24"/>
            </w:rPr>
          </w:pPr>
          <w:r w:rsidRPr="00C22F10">
            <w:rPr>
              <w:b/>
              <w:bCs/>
              <w:sz w:val="24"/>
              <w:szCs w:val="24"/>
            </w:rPr>
            <w:t>Contract:</w:t>
          </w:r>
        </w:p>
      </w:tc>
      <w:tc>
        <w:tcPr>
          <w:tcW w:w="6678" w:type="dxa"/>
        </w:tcPr>
        <w:p w:rsidR="00AA5D98" w:rsidRPr="001E4D54" w:rsidRDefault="001E4D54" w:rsidP="009043B6">
          <w:pPr>
            <w:rPr>
              <w:rFonts w:ascii="Univers (W1)" w:hAnsi="Univers (W1)"/>
              <w:b/>
              <w:sz w:val="24"/>
            </w:rPr>
          </w:pPr>
          <w:r w:rsidRPr="000E5612">
            <w:rPr>
              <w:rFonts w:ascii="Univers (W1)" w:hAnsi="Univers (W1)"/>
              <w:b/>
              <w:sz w:val="24"/>
            </w:rPr>
            <w:t>Puget Sound Police Managers Association (Captains and Lieutenants - King County Sheriff's Office)</w:t>
          </w:r>
          <w:r>
            <w:rPr>
              <w:rFonts w:ascii="Univers (W1)" w:hAnsi="Univers (W1)"/>
              <w:b/>
              <w:sz w:val="24"/>
            </w:rPr>
            <w:t xml:space="preserve"> [181]</w:t>
          </w:r>
        </w:p>
      </w:tc>
    </w:tr>
    <w:tr w:rsidR="00AA5D98" w:rsidTr="003B1AA1">
      <w:trPr>
        <w:cantSplit/>
        <w:trHeight w:hRule="exact" w:val="216"/>
        <w:tblHeader/>
      </w:trPr>
      <w:tc>
        <w:tcPr>
          <w:tcW w:w="2898" w:type="dxa"/>
        </w:tcPr>
        <w:p w:rsidR="00AA5D98" w:rsidRDefault="00AA5D98">
          <w:pPr>
            <w:rPr>
              <w:bCs/>
              <w:smallCaps/>
            </w:rPr>
          </w:pPr>
        </w:p>
      </w:tc>
      <w:tc>
        <w:tcPr>
          <w:tcW w:w="6678" w:type="dxa"/>
        </w:tcPr>
        <w:p w:rsidR="00AA5D98" w:rsidRDefault="00AA5D98">
          <w:pPr>
            <w:rPr>
              <w:bCs/>
            </w:rPr>
          </w:pPr>
        </w:p>
      </w:tc>
    </w:tr>
  </w:tbl>
  <w:p w:rsidR="00AA5D98" w:rsidRDefault="00AA5D98">
    <w:pPr>
      <w:pStyle w:val="Header"/>
      <w:spacing w:line="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114129"/>
    <w:multiLevelType w:val="hybridMultilevel"/>
    <w:tmpl w:val="1E340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C3767"/>
    <w:multiLevelType w:val="hybridMultilevel"/>
    <w:tmpl w:val="F0D236CC"/>
    <w:lvl w:ilvl="0" w:tplc="A03CA5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443A82"/>
    <w:multiLevelType w:val="multilevel"/>
    <w:tmpl w:val="1E3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, Diane Hess">
    <w15:presenceInfo w15:providerId="AD" w15:userId="S-1-5-21-2320877095-1850242818-88540786-11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55"/>
    <w:rsid w:val="00084729"/>
    <w:rsid w:val="000C1D6A"/>
    <w:rsid w:val="00115226"/>
    <w:rsid w:val="00131447"/>
    <w:rsid w:val="001415D8"/>
    <w:rsid w:val="00145D39"/>
    <w:rsid w:val="00173343"/>
    <w:rsid w:val="00173A85"/>
    <w:rsid w:val="001C78A7"/>
    <w:rsid w:val="001E4D54"/>
    <w:rsid w:val="001F3A69"/>
    <w:rsid w:val="0027024C"/>
    <w:rsid w:val="0027350F"/>
    <w:rsid w:val="00394406"/>
    <w:rsid w:val="003B1AA1"/>
    <w:rsid w:val="003E13E7"/>
    <w:rsid w:val="0046547F"/>
    <w:rsid w:val="00481746"/>
    <w:rsid w:val="004D0B8A"/>
    <w:rsid w:val="004E698D"/>
    <w:rsid w:val="005177BA"/>
    <w:rsid w:val="00580B6D"/>
    <w:rsid w:val="00583502"/>
    <w:rsid w:val="005879FB"/>
    <w:rsid w:val="005B67AB"/>
    <w:rsid w:val="005E5874"/>
    <w:rsid w:val="005F0AC4"/>
    <w:rsid w:val="006224B2"/>
    <w:rsid w:val="00626508"/>
    <w:rsid w:val="00646DB0"/>
    <w:rsid w:val="006478F0"/>
    <w:rsid w:val="00687E6C"/>
    <w:rsid w:val="006C0774"/>
    <w:rsid w:val="006C1461"/>
    <w:rsid w:val="006F4B9E"/>
    <w:rsid w:val="00722ECF"/>
    <w:rsid w:val="00747955"/>
    <w:rsid w:val="00782007"/>
    <w:rsid w:val="007F1389"/>
    <w:rsid w:val="007F7590"/>
    <w:rsid w:val="008A6DDD"/>
    <w:rsid w:val="008D0ABA"/>
    <w:rsid w:val="008E06E4"/>
    <w:rsid w:val="008E3802"/>
    <w:rsid w:val="008E7A5B"/>
    <w:rsid w:val="008F2AE5"/>
    <w:rsid w:val="009018A8"/>
    <w:rsid w:val="009043B6"/>
    <w:rsid w:val="009416A0"/>
    <w:rsid w:val="00987C1F"/>
    <w:rsid w:val="009C2895"/>
    <w:rsid w:val="00A11292"/>
    <w:rsid w:val="00A214AA"/>
    <w:rsid w:val="00A852DF"/>
    <w:rsid w:val="00A92288"/>
    <w:rsid w:val="00AA5D98"/>
    <w:rsid w:val="00AC6BA8"/>
    <w:rsid w:val="00AF4BD6"/>
    <w:rsid w:val="00B207C0"/>
    <w:rsid w:val="00B629A9"/>
    <w:rsid w:val="00BC5E85"/>
    <w:rsid w:val="00BD1B39"/>
    <w:rsid w:val="00BE5B8E"/>
    <w:rsid w:val="00BF68B1"/>
    <w:rsid w:val="00C02998"/>
    <w:rsid w:val="00C22F10"/>
    <w:rsid w:val="00C35737"/>
    <w:rsid w:val="00C822D4"/>
    <w:rsid w:val="00C8527A"/>
    <w:rsid w:val="00C86F21"/>
    <w:rsid w:val="00CA5519"/>
    <w:rsid w:val="00CA70EB"/>
    <w:rsid w:val="00D61F15"/>
    <w:rsid w:val="00D64267"/>
    <w:rsid w:val="00D6573F"/>
    <w:rsid w:val="00D73893"/>
    <w:rsid w:val="00D77D12"/>
    <w:rsid w:val="00D8354E"/>
    <w:rsid w:val="00DB3C6A"/>
    <w:rsid w:val="00DD24D5"/>
    <w:rsid w:val="00DD2A27"/>
    <w:rsid w:val="00DF7ED1"/>
    <w:rsid w:val="00E46AC1"/>
    <w:rsid w:val="00EA3AB1"/>
    <w:rsid w:val="00EB131F"/>
    <w:rsid w:val="00EE3420"/>
    <w:rsid w:val="00F10F90"/>
    <w:rsid w:val="00F152A6"/>
    <w:rsid w:val="00F35973"/>
    <w:rsid w:val="00F517BF"/>
    <w:rsid w:val="00F76DF3"/>
    <w:rsid w:val="00FA12C3"/>
    <w:rsid w:val="00FC1A5F"/>
    <w:rsid w:val="00FC3DEB"/>
    <w:rsid w:val="00FF1B4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2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472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084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7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729"/>
    <w:rPr>
      <w:rFonts w:cs="Times New Roman"/>
    </w:rPr>
  </w:style>
  <w:style w:type="table" w:styleId="TableGrid">
    <w:name w:val="Table Grid"/>
    <w:basedOn w:val="TableNormal"/>
    <w:rsid w:val="00E4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1CS1">
    <w:name w:val="Flush 1 &lt;CS 1&gt;"/>
    <w:basedOn w:val="Normal"/>
    <w:rsid w:val="00F3597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DB3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3C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2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472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084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7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729"/>
    <w:rPr>
      <w:rFonts w:cs="Times New Roman"/>
    </w:rPr>
  </w:style>
  <w:style w:type="table" w:styleId="TableGrid">
    <w:name w:val="Table Grid"/>
    <w:basedOn w:val="TableNormal"/>
    <w:rsid w:val="00E4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1CS1">
    <w:name w:val="Flush 1 &lt;CS 1&gt;"/>
    <w:basedOn w:val="Normal"/>
    <w:rsid w:val="00F3597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DB3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3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MANAGEMENT, LABOR AND CUSTOMER SERVICES</vt:lpstr>
    </vt:vector>
  </TitlesOfParts>
  <Company>King County Council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MANAGEMENT, LABOR AND CUSTOMER SERVICES</dc:title>
  <dc:creator>Microsoft Corporation</dc:creator>
  <cp:lastModifiedBy>Burgert, Carolyn</cp:lastModifiedBy>
  <cp:revision>10</cp:revision>
  <cp:lastPrinted>2013-11-05T16:35:00Z</cp:lastPrinted>
  <dcterms:created xsi:type="dcterms:W3CDTF">2017-10-17T20:05:00Z</dcterms:created>
  <dcterms:modified xsi:type="dcterms:W3CDTF">2017-12-12T22:03:00Z</dcterms:modified>
</cp:coreProperties>
</file>