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66E2B4" w14:textId="77777777" w:rsidR="00A55406" w:rsidRDefault="00A55406" w:rsidP="00A55406">
      <w:pPr>
        <w:spacing w:after="0"/>
        <w:rPr>
          <w:b/>
          <w:szCs w:val="20"/>
        </w:rPr>
      </w:pPr>
      <w:bookmarkStart w:id="0" w:name="_GoBack"/>
      <w:bookmarkEnd w:id="0"/>
      <w:r>
        <w:rPr>
          <w:b/>
          <w:sz w:val="48"/>
          <w:szCs w:val="48"/>
        </w:rPr>
        <w:t>Sale Property Summary</w:t>
      </w:r>
      <w:r>
        <w:rPr>
          <w:b/>
          <w:szCs w:val="20"/>
        </w:rPr>
        <w:t xml:space="preserve"> </w:t>
      </w:r>
    </w:p>
    <w:p w14:paraId="0213F121" w14:textId="77777777" w:rsidR="002F7927" w:rsidRDefault="002F7927" w:rsidP="00A55406">
      <w:pPr>
        <w:spacing w:after="0"/>
        <w:rPr>
          <w:b/>
          <w:szCs w:val="20"/>
        </w:rPr>
      </w:pPr>
      <w:r>
        <w:rPr>
          <w:b/>
          <w:szCs w:val="20"/>
        </w:rPr>
        <w:t>Photo of Property</w:t>
      </w:r>
    </w:p>
    <w:p w14:paraId="0009F05B" w14:textId="77777777" w:rsidR="005037C6" w:rsidRDefault="005037C6" w:rsidP="00A55406">
      <w:pPr>
        <w:spacing w:after="0"/>
        <w:rPr>
          <w:b/>
          <w:szCs w:val="20"/>
        </w:rPr>
      </w:pPr>
    </w:p>
    <w:p w14:paraId="18567C32" w14:textId="503510E9" w:rsidR="005037C6" w:rsidRDefault="00E83F7C" w:rsidP="00A55406">
      <w:pPr>
        <w:spacing w:after="0"/>
        <w:rPr>
          <w:b/>
          <w:szCs w:val="20"/>
        </w:rPr>
      </w:pPr>
      <w:r>
        <w:rPr>
          <w:b/>
          <w:noProof/>
          <w:szCs w:val="20"/>
        </w:rPr>
        <w:drawing>
          <wp:inline distT="0" distB="0" distL="0" distR="0" wp14:anchorId="1ED6910A" wp14:editId="5AB2528C">
            <wp:extent cx="5628904" cy="27117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 view - grou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31277" cy="2712879"/>
                    </a:xfrm>
                    <a:prstGeom prst="rect">
                      <a:avLst/>
                    </a:prstGeom>
                  </pic:spPr>
                </pic:pic>
              </a:graphicData>
            </a:graphic>
          </wp:inline>
        </w:drawing>
      </w:r>
    </w:p>
    <w:p w14:paraId="48E7594A" w14:textId="77777777" w:rsidR="005037C6" w:rsidRDefault="005037C6" w:rsidP="00A55406">
      <w:pPr>
        <w:spacing w:after="0"/>
        <w:rPr>
          <w:b/>
          <w:szCs w:val="20"/>
        </w:rPr>
      </w:pPr>
    </w:p>
    <w:p w14:paraId="6E594C2F" w14:textId="77777777" w:rsidR="00A55406" w:rsidRDefault="00A55406" w:rsidP="00A55406">
      <w:pPr>
        <w:spacing w:after="0"/>
        <w:rPr>
          <w:b/>
          <w:szCs w:val="20"/>
        </w:rPr>
      </w:pPr>
      <w:r>
        <w:rPr>
          <w:b/>
          <w:szCs w:val="20"/>
        </w:rPr>
        <w:t>Address</w:t>
      </w:r>
      <w:r>
        <w:rPr>
          <w:b/>
          <w:szCs w:val="20"/>
        </w:rPr>
        <w:tab/>
      </w:r>
      <w:r>
        <w:rPr>
          <w:b/>
          <w:szCs w:val="20"/>
        </w:rPr>
        <w:tab/>
      </w:r>
      <w:sdt>
        <w:sdtPr>
          <w:rPr>
            <w:b/>
            <w:szCs w:val="20"/>
          </w:rPr>
          <w:alias w:val="Address"/>
          <w:tag w:val="Address"/>
          <w:id w:val="-61176312"/>
          <w:placeholder>
            <w:docPart w:val="F53AA6285DF74019B9FFB5D64CC454FF"/>
          </w:placeholder>
        </w:sdtPr>
        <w:sdtEndPr/>
        <w:sdtContent>
          <w:r w:rsidR="00B75766">
            <w:rPr>
              <w:sz w:val="22"/>
            </w:rPr>
            <w:t>10200 1st Avenue NE, Seattle WA 98125</w:t>
          </w:r>
        </w:sdtContent>
      </w:sdt>
    </w:p>
    <w:p w14:paraId="72CC88B4" w14:textId="255CC57B" w:rsidR="00A55406" w:rsidRDefault="00A55406" w:rsidP="00A55406">
      <w:pPr>
        <w:spacing w:after="0"/>
        <w:rPr>
          <w:b/>
          <w:szCs w:val="20"/>
        </w:rPr>
      </w:pPr>
      <w:r>
        <w:rPr>
          <w:b/>
          <w:szCs w:val="20"/>
        </w:rPr>
        <w:t>Sale Price</w:t>
      </w:r>
      <w:r>
        <w:rPr>
          <w:b/>
          <w:szCs w:val="20"/>
        </w:rPr>
        <w:tab/>
      </w:r>
      <w:r w:rsidR="00500372">
        <w:rPr>
          <w:b/>
          <w:szCs w:val="20"/>
        </w:rPr>
        <w:tab/>
      </w:r>
      <w:r w:rsidR="00F716BF" w:rsidRPr="00190CAE">
        <w:rPr>
          <w:sz w:val="22"/>
        </w:rPr>
        <w:t>$</w:t>
      </w:r>
      <w:r w:rsidR="00B75766" w:rsidRPr="00190CAE">
        <w:rPr>
          <w:sz w:val="22"/>
        </w:rPr>
        <w:t>10,120,000</w:t>
      </w:r>
    </w:p>
    <w:p w14:paraId="1F20CEDB" w14:textId="79F3B09D" w:rsidR="00044F30" w:rsidRDefault="00A55406" w:rsidP="00A55406">
      <w:pPr>
        <w:spacing w:after="0"/>
      </w:pPr>
      <w:r>
        <w:rPr>
          <w:b/>
          <w:szCs w:val="20"/>
        </w:rPr>
        <w:t>Sale Area</w:t>
      </w:r>
      <w:r>
        <w:rPr>
          <w:b/>
          <w:szCs w:val="20"/>
        </w:rPr>
        <w:tab/>
      </w:r>
      <w:r>
        <w:rPr>
          <w:b/>
          <w:szCs w:val="20"/>
        </w:rPr>
        <w:tab/>
      </w:r>
      <w:r w:rsidR="00B75766">
        <w:rPr>
          <w:sz w:val="22"/>
        </w:rPr>
        <w:t xml:space="preserve">62,501sf </w:t>
      </w:r>
    </w:p>
    <w:p w14:paraId="00C66B2E" w14:textId="7D337AF0" w:rsidR="00A55406" w:rsidRPr="00190CAE" w:rsidRDefault="00A55406" w:rsidP="00A55406">
      <w:pPr>
        <w:spacing w:after="0"/>
        <w:rPr>
          <w:sz w:val="22"/>
        </w:rPr>
      </w:pPr>
      <w:r>
        <w:rPr>
          <w:b/>
          <w:szCs w:val="20"/>
        </w:rPr>
        <w:t>Assessor's Parcel</w:t>
      </w:r>
      <w:r>
        <w:rPr>
          <w:b/>
          <w:szCs w:val="20"/>
        </w:rPr>
        <w:tab/>
      </w:r>
      <w:sdt>
        <w:sdtPr>
          <w:rPr>
            <w:sz w:val="22"/>
          </w:rPr>
          <w:alias w:val="Assessor's Parcel"/>
          <w:tag w:val="Assessor's Parcel"/>
          <w:id w:val="1615558387"/>
          <w:placeholder>
            <w:docPart w:val="2E1E65E171884FD3AD3DE3F25C3F6CEF"/>
          </w:placeholder>
        </w:sdtPr>
        <w:sdtEndPr/>
        <w:sdtContent>
          <w:r w:rsidR="00B75766" w:rsidRPr="00190CAE">
            <w:rPr>
              <w:sz w:val="22"/>
            </w:rPr>
            <w:t xml:space="preserve">322604-9424 and 322604-9002 </w:t>
          </w:r>
        </w:sdtContent>
      </w:sdt>
    </w:p>
    <w:p w14:paraId="570A6F05" w14:textId="64C51090" w:rsidR="00A55406" w:rsidRDefault="00A55406" w:rsidP="00A55406">
      <w:pPr>
        <w:spacing w:after="0"/>
        <w:rPr>
          <w:b/>
          <w:szCs w:val="20"/>
        </w:rPr>
      </w:pPr>
      <w:r>
        <w:rPr>
          <w:b/>
          <w:szCs w:val="20"/>
        </w:rPr>
        <w:t>Zoning</w:t>
      </w:r>
      <w:r>
        <w:rPr>
          <w:b/>
          <w:szCs w:val="20"/>
        </w:rPr>
        <w:tab/>
      </w:r>
      <w:r>
        <w:rPr>
          <w:b/>
          <w:szCs w:val="20"/>
        </w:rPr>
        <w:tab/>
      </w:r>
      <w:sdt>
        <w:sdtPr>
          <w:rPr>
            <w:sz w:val="22"/>
          </w:rPr>
          <w:alias w:val="Zoning"/>
          <w:tag w:val="Zoning"/>
          <w:id w:val="-1847849006"/>
          <w:placeholder>
            <w:docPart w:val="BF7DE961F5A643249B13738602C92AD4"/>
          </w:placeholder>
        </w:sdtPr>
        <w:sdtEndPr/>
        <w:sdtContent>
          <w:r w:rsidR="00E139CB" w:rsidRPr="00190CAE">
            <w:rPr>
              <w:sz w:val="22"/>
            </w:rPr>
            <w:t>NC3-125</w:t>
          </w:r>
        </w:sdtContent>
      </w:sdt>
    </w:p>
    <w:p w14:paraId="4651EC35" w14:textId="2D74DCF2" w:rsidR="00A55406" w:rsidRPr="00190CAE" w:rsidRDefault="00A55406" w:rsidP="00A55406">
      <w:pPr>
        <w:spacing w:after="0"/>
        <w:rPr>
          <w:sz w:val="22"/>
        </w:rPr>
      </w:pPr>
      <w:r>
        <w:rPr>
          <w:b/>
          <w:szCs w:val="20"/>
        </w:rPr>
        <w:t>Council District</w:t>
      </w:r>
      <w:r>
        <w:rPr>
          <w:b/>
          <w:szCs w:val="20"/>
        </w:rPr>
        <w:tab/>
      </w:r>
      <w:sdt>
        <w:sdtPr>
          <w:rPr>
            <w:sz w:val="22"/>
          </w:rPr>
          <w:alias w:val="Council District"/>
          <w:tag w:val="Council District"/>
          <w:id w:val="-2124298180"/>
          <w:placeholder>
            <w:docPart w:val="3021A4D81D3045489DB1D90171F09974"/>
          </w:placeholder>
        </w:sdtPr>
        <w:sdtEndPr/>
        <w:sdtContent>
          <w:r w:rsidR="00500372">
            <w:rPr>
              <w:sz w:val="22"/>
            </w:rPr>
            <w:t>One</w:t>
          </w:r>
        </w:sdtContent>
      </w:sdt>
    </w:p>
    <w:p w14:paraId="4FDF86F1" w14:textId="77777777" w:rsidR="00A55406" w:rsidRDefault="00A55406" w:rsidP="00A55406">
      <w:pPr>
        <w:spacing w:after="0"/>
        <w:rPr>
          <w:b/>
          <w:szCs w:val="20"/>
        </w:rPr>
      </w:pPr>
      <w:r>
        <w:rPr>
          <w:b/>
          <w:szCs w:val="20"/>
        </w:rPr>
        <w:t>Funding Source</w:t>
      </w:r>
      <w:r>
        <w:rPr>
          <w:b/>
          <w:szCs w:val="20"/>
        </w:rPr>
        <w:tab/>
      </w:r>
      <w:r w:rsidR="000E399E" w:rsidRPr="00190CAE">
        <w:rPr>
          <w:sz w:val="22"/>
        </w:rPr>
        <w:t>Sound Transit</w:t>
      </w:r>
      <w:r w:rsidR="000E399E">
        <w:rPr>
          <w:b/>
          <w:szCs w:val="20"/>
        </w:rPr>
        <w:t xml:space="preserve"> </w:t>
      </w:r>
    </w:p>
    <w:p w14:paraId="4D48B5A6" w14:textId="41065580" w:rsidR="00871C82" w:rsidRPr="00190CAE" w:rsidRDefault="00871C82" w:rsidP="00871C82">
      <w:pPr>
        <w:spacing w:after="0"/>
        <w:rPr>
          <w:sz w:val="22"/>
        </w:rPr>
      </w:pPr>
      <w:r>
        <w:rPr>
          <w:b/>
          <w:szCs w:val="20"/>
        </w:rPr>
        <w:t>Offer Expiration:</w:t>
      </w:r>
      <w:r>
        <w:rPr>
          <w:b/>
          <w:szCs w:val="20"/>
        </w:rPr>
        <w:tab/>
      </w:r>
      <w:r w:rsidR="00337CAC">
        <w:rPr>
          <w:sz w:val="22"/>
        </w:rPr>
        <w:t>n/a</w:t>
      </w:r>
    </w:p>
    <w:p w14:paraId="796D82EF" w14:textId="77777777" w:rsidR="00A55406" w:rsidRDefault="00A55406" w:rsidP="00A55406">
      <w:pPr>
        <w:spacing w:after="0"/>
        <w:rPr>
          <w:b/>
          <w:szCs w:val="20"/>
        </w:rPr>
      </w:pPr>
    </w:p>
    <w:p w14:paraId="66EA92B4" w14:textId="45D0A993" w:rsidR="00A55406" w:rsidRDefault="00A55406" w:rsidP="00190CAE">
      <w:pPr>
        <w:spacing w:after="200"/>
        <w:rPr>
          <w:b/>
          <w:sz w:val="24"/>
          <w:szCs w:val="20"/>
        </w:rPr>
      </w:pPr>
      <w:r>
        <w:rPr>
          <w:b/>
          <w:sz w:val="24"/>
          <w:szCs w:val="20"/>
        </w:rPr>
        <w:t>Property Information</w:t>
      </w:r>
    </w:p>
    <w:p w14:paraId="4C48ECEF" w14:textId="6EA8A6B8" w:rsidR="00A55406" w:rsidRDefault="007D68DB" w:rsidP="007D68DB">
      <w:pPr>
        <w:spacing w:after="0"/>
        <w:rPr>
          <w:b/>
          <w:szCs w:val="20"/>
        </w:rPr>
      </w:pPr>
      <w:r w:rsidRPr="007D68DB">
        <w:rPr>
          <w:color w:val="000000" w:themeColor="text1"/>
          <w:szCs w:val="20"/>
        </w:rPr>
        <w:t>The Northgate Link Extension extends light rail approximately 4.3 miles from the University of Washington Station north to Northgate and includes two underground stations serving the U-District and Roosevelt neighborhoods and an elevated station at Northgate. The Northgate Link Extension project was baselined in June 2012 and light rail service is expected to begin in September 2021. The Northgate Station will be an interim terminus for Link light rail service until the Lynnwood Link Extension is operational, currently anticipated in 2023.</w:t>
      </w:r>
      <w:r w:rsidR="000E399E">
        <w:rPr>
          <w:color w:val="000000" w:themeColor="text1"/>
          <w:szCs w:val="20"/>
        </w:rPr>
        <w:t xml:space="preserve"> This settlement agreement will </w:t>
      </w:r>
      <w:r w:rsidR="00D5117C">
        <w:rPr>
          <w:color w:val="000000" w:themeColor="text1"/>
          <w:szCs w:val="20"/>
        </w:rPr>
        <w:t>result in property being conveyed to Sound Transit for</w:t>
      </w:r>
      <w:r w:rsidR="000E399E">
        <w:rPr>
          <w:color w:val="000000" w:themeColor="text1"/>
          <w:szCs w:val="20"/>
        </w:rPr>
        <w:t xml:space="preserve"> the Northgate Link Extension Light Rail Station and </w:t>
      </w:r>
      <w:r w:rsidR="00D5117C">
        <w:rPr>
          <w:color w:val="000000" w:themeColor="text1"/>
          <w:szCs w:val="20"/>
        </w:rPr>
        <w:t xml:space="preserve">a contract between Sound Transit and King County for the construction of </w:t>
      </w:r>
      <w:r w:rsidR="000E399E">
        <w:rPr>
          <w:color w:val="000000" w:themeColor="text1"/>
          <w:szCs w:val="20"/>
        </w:rPr>
        <w:t>improvements that will serve transit customers and</w:t>
      </w:r>
      <w:r w:rsidR="007A4D7B">
        <w:rPr>
          <w:color w:val="000000" w:themeColor="text1"/>
          <w:szCs w:val="20"/>
        </w:rPr>
        <w:t xml:space="preserve"> King County </w:t>
      </w:r>
      <w:r w:rsidR="000E399E">
        <w:rPr>
          <w:color w:val="000000" w:themeColor="text1"/>
          <w:szCs w:val="20"/>
        </w:rPr>
        <w:t>Metro Transit</w:t>
      </w:r>
      <w:r w:rsidR="007A4D7B">
        <w:rPr>
          <w:color w:val="000000" w:themeColor="text1"/>
          <w:szCs w:val="20"/>
        </w:rPr>
        <w:t xml:space="preserve"> (</w:t>
      </w:r>
      <w:r w:rsidR="006633C7">
        <w:rPr>
          <w:color w:val="000000" w:themeColor="text1"/>
          <w:szCs w:val="20"/>
        </w:rPr>
        <w:t>Metro Transit</w:t>
      </w:r>
      <w:r w:rsidR="007A4D7B">
        <w:rPr>
          <w:color w:val="000000" w:themeColor="text1"/>
          <w:szCs w:val="20"/>
        </w:rPr>
        <w:t>).</w:t>
      </w:r>
    </w:p>
    <w:p w14:paraId="24B65AD4" w14:textId="77777777" w:rsidR="00A55406" w:rsidRDefault="00A55406" w:rsidP="00A55406">
      <w:pPr>
        <w:spacing w:after="0"/>
        <w:rPr>
          <w:b/>
          <w:szCs w:val="20"/>
        </w:rPr>
      </w:pPr>
    </w:p>
    <w:p w14:paraId="0E5A8AD2" w14:textId="77777777" w:rsidR="00190CAE" w:rsidRDefault="00190CAE" w:rsidP="00A55406">
      <w:pPr>
        <w:spacing w:after="0"/>
        <w:rPr>
          <w:b/>
          <w:sz w:val="24"/>
          <w:szCs w:val="20"/>
        </w:rPr>
      </w:pPr>
    </w:p>
    <w:p w14:paraId="19FADC1D" w14:textId="77777777" w:rsidR="00190CAE" w:rsidRDefault="00190CAE">
      <w:pPr>
        <w:spacing w:after="200"/>
        <w:rPr>
          <w:b/>
          <w:sz w:val="24"/>
          <w:szCs w:val="20"/>
        </w:rPr>
      </w:pPr>
      <w:r>
        <w:rPr>
          <w:b/>
          <w:sz w:val="24"/>
          <w:szCs w:val="20"/>
        </w:rPr>
        <w:br w:type="page"/>
      </w:r>
    </w:p>
    <w:p w14:paraId="02C72DDE" w14:textId="428C4333" w:rsidR="00A55406" w:rsidRDefault="00A55406" w:rsidP="00A55406">
      <w:pPr>
        <w:spacing w:after="0"/>
        <w:rPr>
          <w:b/>
          <w:sz w:val="24"/>
          <w:szCs w:val="20"/>
        </w:rPr>
      </w:pPr>
      <w:r>
        <w:rPr>
          <w:b/>
          <w:sz w:val="24"/>
          <w:szCs w:val="20"/>
        </w:rPr>
        <w:lastRenderedPageBreak/>
        <w:t>Context</w:t>
      </w:r>
    </w:p>
    <w:p w14:paraId="2E374FA1" w14:textId="77777777" w:rsidR="0086055D" w:rsidRDefault="0086055D" w:rsidP="00A55406">
      <w:pPr>
        <w:spacing w:after="0"/>
        <w:rPr>
          <w:b/>
          <w:sz w:val="24"/>
          <w:szCs w:val="20"/>
        </w:rPr>
      </w:pPr>
    </w:p>
    <w:p w14:paraId="1AF68CE3" w14:textId="6FE307D2" w:rsidR="007D68DB" w:rsidRDefault="00A55406" w:rsidP="007D68DB">
      <w:pPr>
        <w:spacing w:after="0"/>
      </w:pPr>
      <w:r>
        <w:rPr>
          <w:i/>
          <w:szCs w:val="20"/>
        </w:rPr>
        <w:t>Rationale for transaction:</w:t>
      </w:r>
      <w:r>
        <w:rPr>
          <w:szCs w:val="20"/>
        </w:rPr>
        <w:tab/>
      </w:r>
      <w:r w:rsidR="007D68DB">
        <w:t>Sound Transit is acquiring property and temporary construction easements</w:t>
      </w:r>
      <w:r w:rsidR="00044F30">
        <w:t xml:space="preserve"> </w:t>
      </w:r>
      <w:r w:rsidR="007D68DB">
        <w:t xml:space="preserve">from King County in order to build the Northgate Station and elevated guideway. The Northgate Station includes an elevated station platform that will span NE 103rd Street just east of 1st Avenue NE adjacent to </w:t>
      </w:r>
      <w:r w:rsidR="006633C7">
        <w:t>Metro Transit</w:t>
      </w:r>
      <w:r w:rsidR="007D68DB">
        <w:t xml:space="preserve">’s existing Northgate Transit Center. The </w:t>
      </w:r>
      <w:r w:rsidR="00F752DE">
        <w:t>p</w:t>
      </w:r>
      <w:r w:rsidR="007D68DB">
        <w:t xml:space="preserve">roperty needed for </w:t>
      </w:r>
      <w:r w:rsidR="00D5117C">
        <w:t xml:space="preserve">the </w:t>
      </w:r>
      <w:r w:rsidR="007D68DB">
        <w:t xml:space="preserve">station </w:t>
      </w:r>
      <w:r w:rsidR="00D5117C">
        <w:t>has been</w:t>
      </w:r>
      <w:r w:rsidR="007D68DB">
        <w:t xml:space="preserve"> used as a bus commuter park and ride lot</w:t>
      </w:r>
      <w:r w:rsidR="00D5117C">
        <w:t xml:space="preserve"> for decades</w:t>
      </w:r>
      <w:r w:rsidR="007D68DB">
        <w:t xml:space="preserve">. As part of the integrated Northgate Station design, a transit “island” will be constructed below the south end of the rail platform to accommodate seamless passenger transfers between buses and Link trains. Bus passenger shelters, a busway roadway and other improvements will be built for </w:t>
      </w:r>
      <w:r w:rsidR="006633C7">
        <w:t>Metro Transit</w:t>
      </w:r>
      <w:r w:rsidR="007D68DB">
        <w:t xml:space="preserve"> on or adjacent to the transit island. In addition, Sound Transit will design and build a bus layover facility for </w:t>
      </w:r>
      <w:r w:rsidR="006633C7">
        <w:t>Metro Transit</w:t>
      </w:r>
      <w:r w:rsidR="007D68DB">
        <w:t xml:space="preserve"> on the south </w:t>
      </w:r>
      <w:r w:rsidR="006633C7">
        <w:t>Washington State Department of Transportation (</w:t>
      </w:r>
      <w:r w:rsidR="007D68DB">
        <w:t>WSDOT</w:t>
      </w:r>
      <w:r w:rsidR="006633C7">
        <w:t>)</w:t>
      </w:r>
      <w:r w:rsidR="007D68DB">
        <w:t xml:space="preserve"> </w:t>
      </w:r>
      <w:r w:rsidR="00190CAE">
        <w:t>Park</w:t>
      </w:r>
      <w:r w:rsidR="007D68DB">
        <w:t xml:space="preserve"> and </w:t>
      </w:r>
      <w:r w:rsidR="00BE69FE">
        <w:t>R</w:t>
      </w:r>
      <w:r w:rsidR="007D68DB">
        <w:t xml:space="preserve">ide lot located west of 1st Avenue NE and south of NE 100th Street, subject to </w:t>
      </w:r>
      <w:r w:rsidR="006633C7">
        <w:t>Metro Transit</w:t>
      </w:r>
      <w:r w:rsidR="007D68DB">
        <w:t xml:space="preserve"> gaining necessary WSDOT approvals for the bus layover facility. Once light rail service begins in 2021, Metro bus operations will move to the new transit island and new bus layover facility. </w:t>
      </w:r>
      <w:r w:rsidR="006633C7">
        <w:t>Metro Transit</w:t>
      </w:r>
      <w:r w:rsidR="007D68DB">
        <w:t xml:space="preserve"> will then close the existing Transit Center facility and intends to redevelop the remaining site </w:t>
      </w:r>
      <w:r w:rsidR="00D5117C">
        <w:t xml:space="preserve">east of the relocated Transit island and bus roadway </w:t>
      </w:r>
      <w:r w:rsidR="007D68DB">
        <w:t>as a future transit oriented development (TOD) project.</w:t>
      </w:r>
      <w:r w:rsidR="00D5117C">
        <w:t xml:space="preserve">  The TOD project and the property that would be used for it is beyond the scope of this property summary.</w:t>
      </w:r>
    </w:p>
    <w:p w14:paraId="7F87B02F" w14:textId="77777777" w:rsidR="007D68DB" w:rsidRDefault="007D68DB" w:rsidP="007D68DB">
      <w:pPr>
        <w:spacing w:after="0"/>
      </w:pPr>
    </w:p>
    <w:p w14:paraId="137F0578" w14:textId="70CA108D" w:rsidR="007D68DB" w:rsidRDefault="007D68DB" w:rsidP="007D68DB">
      <w:pPr>
        <w:spacing w:after="0"/>
      </w:pPr>
      <w:r>
        <w:t xml:space="preserve">Sound Transit is providing </w:t>
      </w:r>
      <w:r w:rsidR="00D5117C">
        <w:t xml:space="preserve">temporary and permanent </w:t>
      </w:r>
      <w:r>
        <w:t xml:space="preserve">replacement parking for all park and ride stalls displaced by </w:t>
      </w:r>
      <w:r w:rsidR="00D5117C">
        <w:t xml:space="preserve">the </w:t>
      </w:r>
      <w:r>
        <w:t xml:space="preserve">Sound Transit </w:t>
      </w:r>
      <w:r w:rsidR="00D5117C">
        <w:t xml:space="preserve">light rail station </w:t>
      </w:r>
      <w:r>
        <w:t xml:space="preserve">consistent with </w:t>
      </w:r>
      <w:r w:rsidR="00C453A2">
        <w:t>Federal Transit Administration (</w:t>
      </w:r>
      <w:r>
        <w:t>FTA</w:t>
      </w:r>
      <w:r w:rsidR="00C453A2">
        <w:t>)</w:t>
      </w:r>
      <w:r>
        <w:t xml:space="preserve"> Record of Decision mitigation requirements. In addition, once Northgate Link service begins in 2021, </w:t>
      </w:r>
      <w:r w:rsidR="006633C7">
        <w:t>Metro Transit</w:t>
      </w:r>
      <w:r>
        <w:t>’s current lease of 270 stalls in the Northgate Mall’s J. C. Penney parking garage will be transferred to Sound Transit for long</w:t>
      </w:r>
      <w:r w:rsidR="00DD4B78">
        <w:t>-</w:t>
      </w:r>
      <w:r>
        <w:t>term management</w:t>
      </w:r>
      <w:r w:rsidR="00DD4B78">
        <w:t xml:space="preserve">, relieving </w:t>
      </w:r>
      <w:r w:rsidR="006633C7">
        <w:t>Metro Transit</w:t>
      </w:r>
      <w:r w:rsidR="00DD4B78">
        <w:t xml:space="preserve"> of the duty to pay ongoing operations and maintenance costs there</w:t>
      </w:r>
      <w:r>
        <w:t>.</w:t>
      </w:r>
    </w:p>
    <w:p w14:paraId="0B0192F4" w14:textId="77777777" w:rsidR="007D68DB" w:rsidRDefault="007D68DB" w:rsidP="007D68DB">
      <w:pPr>
        <w:spacing w:after="0"/>
      </w:pPr>
    </w:p>
    <w:p w14:paraId="566F639F" w14:textId="5A263200" w:rsidR="007D68DB" w:rsidRDefault="007D68DB" w:rsidP="007D68DB">
      <w:pPr>
        <w:spacing w:after="0"/>
      </w:pPr>
      <w:r>
        <w:t xml:space="preserve">Sound Transit will pay fair market value for the property and easements. The combined cost for the improvements being designed and constructed </w:t>
      </w:r>
      <w:r w:rsidR="00DD4B78">
        <w:t xml:space="preserve">by Sound Transit </w:t>
      </w:r>
      <w:r>
        <w:t xml:space="preserve">on behalf of </w:t>
      </w:r>
      <w:r w:rsidR="006633C7">
        <w:t>Metro Transit</w:t>
      </w:r>
      <w:r>
        <w:t xml:space="preserve"> will partially offset the cost of the property leaving the net cash payment to King County of $6,380,000. In addition, King County will reimburse Sound Transit $2,229,365 for costs expected to be incurred for the design and construction of the bus layover facility (a </w:t>
      </w:r>
      <w:r w:rsidR="006633C7">
        <w:t>Metro Transit</w:t>
      </w:r>
      <w:r>
        <w:t xml:space="preserve"> betterment</w:t>
      </w:r>
      <w:r w:rsidR="00DD4B78">
        <w:t xml:space="preserve"> on other property</w:t>
      </w:r>
      <w:r>
        <w:t xml:space="preserve">) through the use of a separate development agreement, referenced as an exhibit in </w:t>
      </w:r>
      <w:r w:rsidR="009F502E">
        <w:t xml:space="preserve">the </w:t>
      </w:r>
      <w:r>
        <w:t>property settlement agreement.</w:t>
      </w:r>
    </w:p>
    <w:p w14:paraId="0A4DA175" w14:textId="77777777" w:rsidR="007D68DB" w:rsidRDefault="007D68DB" w:rsidP="007D68DB">
      <w:pPr>
        <w:spacing w:after="0"/>
      </w:pPr>
    </w:p>
    <w:p w14:paraId="78A91C60" w14:textId="0DB49F0A" w:rsidR="00E139CB" w:rsidRPr="00471D8B" w:rsidRDefault="00A55406" w:rsidP="00E139CB">
      <w:pPr>
        <w:rPr>
          <w:color w:val="1F497D"/>
        </w:rPr>
      </w:pPr>
      <w:r>
        <w:rPr>
          <w:i/>
          <w:szCs w:val="20"/>
        </w:rPr>
        <w:t>Policy considerations</w:t>
      </w:r>
      <w:r>
        <w:rPr>
          <w:szCs w:val="20"/>
        </w:rPr>
        <w:tab/>
        <w:t>:</w:t>
      </w:r>
      <w:r w:rsidR="00CB643F">
        <w:rPr>
          <w:szCs w:val="20"/>
        </w:rPr>
        <w:t xml:space="preserve"> Development of the site is consistent with the vision of METRO CONNECTS.</w:t>
      </w:r>
      <w:r>
        <w:rPr>
          <w:szCs w:val="20"/>
        </w:rPr>
        <w:tab/>
      </w:r>
      <w:r w:rsidR="00985FFD">
        <w:rPr>
          <w:color w:val="1F497D"/>
        </w:rPr>
        <w:t>Three northeast Seattle Link stations are expected to open in 2021:  Northgate as well as Roosevelt and NE 45</w:t>
      </w:r>
      <w:r w:rsidR="00985FFD">
        <w:rPr>
          <w:color w:val="1F497D"/>
          <w:vertAlign w:val="superscript"/>
        </w:rPr>
        <w:t>th</w:t>
      </w:r>
      <w:r w:rsidR="00985FFD">
        <w:rPr>
          <w:color w:val="1F497D"/>
        </w:rPr>
        <w:t xml:space="preserve"> Street.  For about a year before opening, Metro, Seattle, and Sound Transit (ST) will engage the transit riders in a public process to help design a new service network around the stations.  While there are constraints on the restructured service, service hours Route 41, which now provides two-way connection between Northgate and downtown Seattle, will be redeployed.   It is expected that many bus hours now running on I-5 between northeast Seattle and downtown will also be redeployed.  The new network will </w:t>
      </w:r>
      <w:r w:rsidR="00340FFB">
        <w:rPr>
          <w:color w:val="1F497D"/>
        </w:rPr>
        <w:t xml:space="preserve">therefore </w:t>
      </w:r>
      <w:r w:rsidR="00985FFD">
        <w:rPr>
          <w:color w:val="1F497D"/>
        </w:rPr>
        <w:t xml:space="preserve">be able to provide more service frequency and </w:t>
      </w:r>
      <w:r w:rsidR="00985FFD">
        <w:rPr>
          <w:color w:val="1F497D"/>
        </w:rPr>
        <w:lastRenderedPageBreak/>
        <w:t>shorter wait times for riders, as was done in March 2016 with the U Link restructure.  It will probably improve crosstown service</w:t>
      </w:r>
      <w:r w:rsidR="00340FFB">
        <w:rPr>
          <w:color w:val="1F497D"/>
        </w:rPr>
        <w:t xml:space="preserve"> as well as service to Link stations</w:t>
      </w:r>
      <w:r w:rsidR="00985FFD">
        <w:rPr>
          <w:color w:val="1F497D"/>
        </w:rPr>
        <w:t xml:space="preserve">.  ST Link is expected to provide a four-car train every six minutes.  </w:t>
      </w:r>
      <w:r w:rsidR="00340FFB">
        <w:rPr>
          <w:color w:val="1F497D"/>
        </w:rPr>
        <w:t>Link’s</w:t>
      </w:r>
      <w:r w:rsidR="00985FFD">
        <w:rPr>
          <w:color w:val="1F497D"/>
        </w:rPr>
        <w:t xml:space="preserve"> exclusive guideway will provide much improved speed and reliability, especially in the reverse peak direction.  </w:t>
      </w:r>
    </w:p>
    <w:p w14:paraId="0AB29A18" w14:textId="77777777" w:rsidR="004F46AF" w:rsidRDefault="004F46AF" w:rsidP="00190CAE">
      <w:pPr>
        <w:spacing w:after="0"/>
        <w:rPr>
          <w:i/>
          <w:szCs w:val="20"/>
        </w:rPr>
      </w:pPr>
    </w:p>
    <w:p w14:paraId="00CE5115" w14:textId="77777777" w:rsidR="00A55406" w:rsidRDefault="00A55406" w:rsidP="00190CAE">
      <w:pPr>
        <w:spacing w:after="0"/>
        <w:rPr>
          <w:szCs w:val="20"/>
        </w:rPr>
      </w:pPr>
      <w:r>
        <w:rPr>
          <w:i/>
          <w:szCs w:val="20"/>
        </w:rPr>
        <w:t>Political considerations:</w:t>
      </w:r>
      <w:r>
        <w:rPr>
          <w:szCs w:val="20"/>
        </w:rPr>
        <w:tab/>
      </w:r>
      <w:r w:rsidR="00CB643F">
        <w:rPr>
          <w:szCs w:val="20"/>
        </w:rPr>
        <w:t xml:space="preserve">Other governmental stakeholders would include Sound Transit and the City of Seattle. </w:t>
      </w:r>
    </w:p>
    <w:p w14:paraId="06093540" w14:textId="77777777" w:rsidR="004F46AF" w:rsidRDefault="004F46AF" w:rsidP="00190CAE">
      <w:pPr>
        <w:spacing w:after="0"/>
        <w:rPr>
          <w:i/>
          <w:szCs w:val="20"/>
        </w:rPr>
      </w:pPr>
    </w:p>
    <w:p w14:paraId="5520812B" w14:textId="06591A3F" w:rsidR="00A55406" w:rsidRDefault="00A55406" w:rsidP="00190CAE">
      <w:pPr>
        <w:spacing w:after="0"/>
        <w:rPr>
          <w:szCs w:val="20"/>
        </w:rPr>
      </w:pPr>
      <w:r>
        <w:rPr>
          <w:i/>
          <w:szCs w:val="20"/>
        </w:rPr>
        <w:t>Community considerations</w:t>
      </w:r>
      <w:r w:rsidR="00044F30">
        <w:rPr>
          <w:i/>
          <w:szCs w:val="20"/>
        </w:rPr>
        <w:t xml:space="preserve"> </w:t>
      </w:r>
      <w:r w:rsidR="0086055D">
        <w:rPr>
          <w:i/>
          <w:szCs w:val="20"/>
        </w:rPr>
        <w:t>or partnerships</w:t>
      </w:r>
      <w:r>
        <w:rPr>
          <w:i/>
          <w:szCs w:val="20"/>
        </w:rPr>
        <w:t>:</w:t>
      </w:r>
      <w:r>
        <w:rPr>
          <w:szCs w:val="20"/>
        </w:rPr>
        <w:tab/>
      </w:r>
      <w:r w:rsidR="00CB643F">
        <w:rPr>
          <w:szCs w:val="20"/>
        </w:rPr>
        <w:t xml:space="preserve">Interim </w:t>
      </w:r>
      <w:r w:rsidR="00DD4B78">
        <w:rPr>
          <w:szCs w:val="20"/>
        </w:rPr>
        <w:t xml:space="preserve">replacement </w:t>
      </w:r>
      <w:r w:rsidR="00CB643F">
        <w:rPr>
          <w:szCs w:val="20"/>
        </w:rPr>
        <w:t xml:space="preserve">parking (during construction) </w:t>
      </w:r>
      <w:r w:rsidR="00DD4B78">
        <w:rPr>
          <w:szCs w:val="20"/>
        </w:rPr>
        <w:t>is being</w:t>
      </w:r>
      <w:r w:rsidR="00CB643F">
        <w:rPr>
          <w:szCs w:val="20"/>
        </w:rPr>
        <w:t xml:space="preserve"> provided to the east</w:t>
      </w:r>
      <w:r w:rsidR="00DD4B78">
        <w:rPr>
          <w:szCs w:val="20"/>
        </w:rPr>
        <w:t>, south, and west</w:t>
      </w:r>
      <w:r w:rsidR="00CB643F">
        <w:rPr>
          <w:szCs w:val="20"/>
        </w:rPr>
        <w:t xml:space="preserve"> of the site</w:t>
      </w:r>
      <w:r w:rsidR="00DD4B78">
        <w:rPr>
          <w:szCs w:val="20"/>
        </w:rPr>
        <w:t xml:space="preserve"> on property owned or leased by Sound Transit</w:t>
      </w:r>
      <w:r w:rsidR="00CB643F">
        <w:rPr>
          <w:szCs w:val="20"/>
        </w:rPr>
        <w:t>;</w:t>
      </w:r>
      <w:r w:rsidR="00BE69FE">
        <w:rPr>
          <w:szCs w:val="20"/>
        </w:rPr>
        <w:t xml:space="preserve"> p</w:t>
      </w:r>
      <w:r w:rsidR="00CB643F">
        <w:rPr>
          <w:szCs w:val="20"/>
        </w:rPr>
        <w:t xml:space="preserve">ermanent </w:t>
      </w:r>
      <w:r w:rsidR="00DD4B78">
        <w:rPr>
          <w:szCs w:val="20"/>
        </w:rPr>
        <w:t xml:space="preserve">replacement </w:t>
      </w:r>
      <w:r w:rsidR="00BE69FE">
        <w:rPr>
          <w:szCs w:val="20"/>
        </w:rPr>
        <w:t>p</w:t>
      </w:r>
      <w:r w:rsidR="00CB643F">
        <w:rPr>
          <w:szCs w:val="20"/>
        </w:rPr>
        <w:t xml:space="preserve">arking will be provided in a garage currently being constructed by Sound Transit (north of the site). </w:t>
      </w:r>
      <w:r w:rsidR="008C2C87">
        <w:rPr>
          <w:szCs w:val="20"/>
        </w:rPr>
        <w:t xml:space="preserve">Information </w:t>
      </w:r>
      <w:r w:rsidR="00DD4B78">
        <w:rPr>
          <w:szCs w:val="20"/>
        </w:rPr>
        <w:t>is being</w:t>
      </w:r>
      <w:r w:rsidR="008C2C87">
        <w:rPr>
          <w:szCs w:val="20"/>
        </w:rPr>
        <w:t xml:space="preserve"> regularly provided to Metro customers concerning changes in parking locations.</w:t>
      </w:r>
    </w:p>
    <w:p w14:paraId="5B0842A5" w14:textId="77777777" w:rsidR="004F46AF" w:rsidRDefault="004F46AF" w:rsidP="00190CAE">
      <w:pPr>
        <w:spacing w:after="0"/>
        <w:rPr>
          <w:szCs w:val="20"/>
        </w:rPr>
      </w:pPr>
    </w:p>
    <w:p w14:paraId="66F1AB60" w14:textId="3D486DCC" w:rsidR="004F46AF" w:rsidRDefault="004F46AF" w:rsidP="00190CAE">
      <w:pPr>
        <w:spacing w:after="0"/>
        <w:rPr>
          <w:szCs w:val="20"/>
        </w:rPr>
      </w:pPr>
      <w:r>
        <w:rPr>
          <w:i/>
          <w:szCs w:val="20"/>
        </w:rPr>
        <w:t>Fiscal considerations:</w:t>
      </w:r>
      <w:r>
        <w:rPr>
          <w:szCs w:val="20"/>
        </w:rPr>
        <w:tab/>
      </w:r>
      <w:r w:rsidR="00E970B9">
        <w:rPr>
          <w:szCs w:val="20"/>
        </w:rPr>
        <w:t>Metro Transit will receiv</w:t>
      </w:r>
      <w:r w:rsidR="00DD4B78">
        <w:rPr>
          <w:szCs w:val="20"/>
        </w:rPr>
        <w:t>e</w:t>
      </w:r>
      <w:r w:rsidR="00E970B9">
        <w:rPr>
          <w:szCs w:val="20"/>
        </w:rPr>
        <w:t xml:space="preserve"> $10,120,000 in compensation for the property less </w:t>
      </w:r>
      <w:r w:rsidR="008F3ABD">
        <w:rPr>
          <w:szCs w:val="20"/>
        </w:rPr>
        <w:t>$3,740</w:t>
      </w:r>
      <w:r w:rsidR="00295637">
        <w:rPr>
          <w:szCs w:val="20"/>
        </w:rPr>
        <w:t>,000</w:t>
      </w:r>
      <w:r w:rsidR="008F3ABD">
        <w:rPr>
          <w:szCs w:val="20"/>
        </w:rPr>
        <w:t xml:space="preserve"> (the offset towards transit improvements </w:t>
      </w:r>
      <w:r w:rsidR="00DD4B78">
        <w:rPr>
          <w:szCs w:val="20"/>
        </w:rPr>
        <w:t xml:space="preserve">to be constructed </w:t>
      </w:r>
      <w:r w:rsidR="008F3ABD">
        <w:rPr>
          <w:szCs w:val="20"/>
        </w:rPr>
        <w:t>by Sound Transit</w:t>
      </w:r>
      <w:r w:rsidR="00DD4B78">
        <w:rPr>
          <w:szCs w:val="20"/>
        </w:rPr>
        <w:t xml:space="preserve"> on behalf of King County</w:t>
      </w:r>
      <w:r w:rsidR="008F3ABD">
        <w:rPr>
          <w:szCs w:val="20"/>
        </w:rPr>
        <w:t>)</w:t>
      </w:r>
      <w:r w:rsidR="00295637">
        <w:rPr>
          <w:szCs w:val="20"/>
        </w:rPr>
        <w:t xml:space="preserve"> for a net total of $6,380,000 in cash</w:t>
      </w:r>
      <w:r w:rsidR="00E970B9">
        <w:rPr>
          <w:szCs w:val="20"/>
        </w:rPr>
        <w:t>.</w:t>
      </w:r>
      <w:r w:rsidR="00340FFB">
        <w:rPr>
          <w:rStyle w:val="FootnoteReference"/>
          <w:szCs w:val="20"/>
        </w:rPr>
        <w:footnoteReference w:id="1"/>
      </w:r>
      <w:r w:rsidR="00E970B9">
        <w:rPr>
          <w:szCs w:val="20"/>
        </w:rPr>
        <w:t xml:space="preserve"> </w:t>
      </w:r>
    </w:p>
    <w:p w14:paraId="6048703E" w14:textId="77777777" w:rsidR="004F46AF" w:rsidRDefault="004F46AF" w:rsidP="00190CAE">
      <w:pPr>
        <w:spacing w:after="0"/>
        <w:rPr>
          <w:i/>
          <w:szCs w:val="20"/>
        </w:rPr>
      </w:pPr>
    </w:p>
    <w:p w14:paraId="5606E9B7" w14:textId="69901504" w:rsidR="00A55406" w:rsidRDefault="00A55406" w:rsidP="00190CAE">
      <w:pPr>
        <w:spacing w:after="0"/>
        <w:rPr>
          <w:szCs w:val="20"/>
        </w:rPr>
      </w:pPr>
      <w:r>
        <w:rPr>
          <w:i/>
          <w:szCs w:val="20"/>
        </w:rPr>
        <w:t>Other considerations</w:t>
      </w:r>
      <w:r>
        <w:rPr>
          <w:szCs w:val="20"/>
        </w:rPr>
        <w:t>:</w:t>
      </w:r>
      <w:r>
        <w:rPr>
          <w:szCs w:val="20"/>
        </w:rPr>
        <w:tab/>
      </w:r>
      <w:r w:rsidR="008C2C87">
        <w:rPr>
          <w:szCs w:val="20"/>
        </w:rPr>
        <w:t xml:space="preserve">FTA approval is not required for this transaction because there are no FTA funds associated with the </w:t>
      </w:r>
      <w:r w:rsidR="00DD4B78">
        <w:rPr>
          <w:szCs w:val="20"/>
        </w:rPr>
        <w:t xml:space="preserve">subject </w:t>
      </w:r>
      <w:r w:rsidR="008C2C87">
        <w:rPr>
          <w:szCs w:val="20"/>
        </w:rPr>
        <w:t>property.</w:t>
      </w:r>
      <w:r w:rsidR="007A72DE">
        <w:rPr>
          <w:szCs w:val="20"/>
        </w:rPr>
        <w:t xml:space="preserve"> In addition, the Settlement Agreement has a Development Agreement attached as an exhibit</w:t>
      </w:r>
      <w:r w:rsidR="009F502E">
        <w:rPr>
          <w:szCs w:val="20"/>
        </w:rPr>
        <w:t>,</w:t>
      </w:r>
      <w:r w:rsidR="007A72DE">
        <w:rPr>
          <w:szCs w:val="20"/>
        </w:rPr>
        <w:t xml:space="preserve"> which provides that in the event that the </w:t>
      </w:r>
      <w:r w:rsidR="00C453A2">
        <w:rPr>
          <w:szCs w:val="20"/>
        </w:rPr>
        <w:t>C</w:t>
      </w:r>
      <w:r w:rsidR="007A72DE">
        <w:rPr>
          <w:szCs w:val="20"/>
        </w:rPr>
        <w:t xml:space="preserve">ounty can reach an agreement </w:t>
      </w:r>
      <w:r w:rsidR="00E13791">
        <w:rPr>
          <w:szCs w:val="20"/>
        </w:rPr>
        <w:t>with</w:t>
      </w:r>
      <w:r w:rsidR="007A72DE">
        <w:rPr>
          <w:szCs w:val="20"/>
        </w:rPr>
        <w:t xml:space="preserve"> WSDOT then Sound Transit will construct at a fixed price the new </w:t>
      </w:r>
      <w:r w:rsidR="00125A1B">
        <w:rPr>
          <w:szCs w:val="20"/>
        </w:rPr>
        <w:t>bus layover facility</w:t>
      </w:r>
      <w:r w:rsidR="00E13791">
        <w:rPr>
          <w:szCs w:val="20"/>
        </w:rPr>
        <w:t xml:space="preserve"> on the WSDOT South Lot (see property depiction)</w:t>
      </w:r>
      <w:r w:rsidR="007A72DE">
        <w:rPr>
          <w:szCs w:val="20"/>
        </w:rPr>
        <w:t xml:space="preserve">.  </w:t>
      </w:r>
    </w:p>
    <w:p w14:paraId="62410099" w14:textId="77777777" w:rsidR="004F46AF" w:rsidRDefault="004F46AF" w:rsidP="00190CAE">
      <w:pPr>
        <w:spacing w:after="0"/>
        <w:rPr>
          <w:i/>
          <w:szCs w:val="20"/>
        </w:rPr>
      </w:pPr>
    </w:p>
    <w:p w14:paraId="6AD45334" w14:textId="5393934E" w:rsidR="00A55406" w:rsidRDefault="00A55406" w:rsidP="00190CAE">
      <w:pPr>
        <w:spacing w:after="0"/>
        <w:rPr>
          <w:szCs w:val="20"/>
        </w:rPr>
      </w:pPr>
      <w:r>
        <w:rPr>
          <w:i/>
          <w:szCs w:val="20"/>
        </w:rPr>
        <w:t>CIP/operational impacts:</w:t>
      </w:r>
      <w:r>
        <w:rPr>
          <w:szCs w:val="20"/>
        </w:rPr>
        <w:tab/>
      </w:r>
      <w:r w:rsidR="008C2C87">
        <w:rPr>
          <w:szCs w:val="20"/>
        </w:rPr>
        <w:t xml:space="preserve">Bus operations will continue at the current transit center until the LINK station opens in 2021 at which time operations will move </w:t>
      </w:r>
      <w:r w:rsidR="009F502E">
        <w:rPr>
          <w:szCs w:val="20"/>
        </w:rPr>
        <w:t xml:space="preserve">and then </w:t>
      </w:r>
      <w:r w:rsidR="008C2C87">
        <w:rPr>
          <w:szCs w:val="20"/>
        </w:rPr>
        <w:t xml:space="preserve">be adjacent to the LINK station.  During construction, there are parking impacts to customers as identified above.  </w:t>
      </w:r>
    </w:p>
    <w:p w14:paraId="6E88DDDC" w14:textId="77777777" w:rsidR="004F46AF" w:rsidRDefault="004F46AF" w:rsidP="00190CAE">
      <w:pPr>
        <w:spacing w:after="0"/>
        <w:rPr>
          <w:i/>
          <w:szCs w:val="20"/>
        </w:rPr>
      </w:pPr>
    </w:p>
    <w:p w14:paraId="13B43763" w14:textId="13D41F0A" w:rsidR="00A55406" w:rsidRDefault="00A55406" w:rsidP="00190CAE">
      <w:pPr>
        <w:spacing w:after="0"/>
        <w:rPr>
          <w:i/>
          <w:szCs w:val="20"/>
        </w:rPr>
      </w:pPr>
      <w:r>
        <w:rPr>
          <w:i/>
          <w:szCs w:val="20"/>
        </w:rPr>
        <w:t>Change in property use:</w:t>
      </w:r>
      <w:r>
        <w:rPr>
          <w:szCs w:val="20"/>
        </w:rPr>
        <w:t xml:space="preserve"> </w:t>
      </w:r>
      <w:r>
        <w:rPr>
          <w:szCs w:val="20"/>
        </w:rPr>
        <w:tab/>
      </w:r>
      <w:r w:rsidR="005074BC">
        <w:rPr>
          <w:szCs w:val="20"/>
        </w:rPr>
        <w:t xml:space="preserve">The property currently is used for Transit related purposes and will continue to be so after the sale. </w:t>
      </w:r>
    </w:p>
    <w:p w14:paraId="03BD8B30" w14:textId="77777777" w:rsidR="004F46AF" w:rsidRDefault="004F46AF" w:rsidP="00190CAE">
      <w:pPr>
        <w:spacing w:after="0"/>
        <w:rPr>
          <w:i/>
          <w:szCs w:val="20"/>
        </w:rPr>
      </w:pPr>
    </w:p>
    <w:p w14:paraId="19916916" w14:textId="1EA8FAE9" w:rsidR="00A55406" w:rsidRPr="009A7C99" w:rsidRDefault="00A55406" w:rsidP="00190CAE">
      <w:pPr>
        <w:spacing w:after="0"/>
        <w:rPr>
          <w:i/>
          <w:szCs w:val="20"/>
        </w:rPr>
      </w:pPr>
      <w:r>
        <w:rPr>
          <w:i/>
          <w:szCs w:val="20"/>
        </w:rPr>
        <w:t>SEPA Review Required yes/no:</w:t>
      </w:r>
      <w:r>
        <w:rPr>
          <w:i/>
          <w:szCs w:val="20"/>
        </w:rPr>
        <w:tab/>
      </w:r>
      <w:sdt>
        <w:sdtPr>
          <w:rPr>
            <w:szCs w:val="20"/>
          </w:rPr>
          <w:alias w:val="SEPA"/>
          <w:tag w:val="SEPA"/>
          <w:id w:val="12263472"/>
        </w:sdtPr>
        <w:sdtEndPr/>
        <w:sdtContent>
          <w:r w:rsidR="006E7CEC" w:rsidRPr="009A7C99">
            <w:t xml:space="preserve">No, </w:t>
          </w:r>
          <w:r w:rsidR="00E13791" w:rsidRPr="009A7C99">
            <w:t xml:space="preserve">additional </w:t>
          </w:r>
          <w:r w:rsidR="006E7CEC" w:rsidRPr="009A7C99">
            <w:t>SEPA</w:t>
          </w:r>
          <w:r w:rsidR="00E13791" w:rsidRPr="009A7C99">
            <w:t xml:space="preserve"> review</w:t>
          </w:r>
          <w:r w:rsidR="006E7CEC" w:rsidRPr="009A7C99">
            <w:t xml:space="preserve"> is not required</w:t>
          </w:r>
          <w:r w:rsidR="005074BC" w:rsidRPr="009A7C99">
            <w:t xml:space="preserve">. </w:t>
          </w:r>
          <w:r w:rsidR="00E13791" w:rsidRPr="009A7C99">
            <w:t xml:space="preserve">Sound Transit performed extensive NEPA and SEPA review of the Northgate Link Extension, including the proposal to reconfigure the Northgate Transit Center to relocate the bus roadway and transit island adjacent to the Link light rail station.  Sound Transit’s environmental review documents are </w:t>
          </w:r>
          <w:r w:rsidR="00B67E9E" w:rsidRPr="009A7C99">
            <w:t>public</w:t>
          </w:r>
          <w:r w:rsidR="00B67E9E">
            <w:t>ly</w:t>
          </w:r>
          <w:r w:rsidR="00B67E9E" w:rsidRPr="009A7C99">
            <w:t xml:space="preserve"> </w:t>
          </w:r>
          <w:r w:rsidR="00E13791" w:rsidRPr="009A7C99">
            <w:t>available online at the Northgate Link Extension project website.</w:t>
          </w:r>
        </w:sdtContent>
      </w:sdt>
    </w:p>
    <w:p w14:paraId="7A7930C1" w14:textId="77777777" w:rsidR="004F46AF" w:rsidRDefault="004F46AF" w:rsidP="00190CAE">
      <w:pPr>
        <w:spacing w:after="0"/>
        <w:rPr>
          <w:i/>
          <w:szCs w:val="20"/>
        </w:rPr>
      </w:pPr>
    </w:p>
    <w:p w14:paraId="16504C0F" w14:textId="2801F086" w:rsidR="00A55406" w:rsidRDefault="00A55406" w:rsidP="00190CAE">
      <w:pPr>
        <w:spacing w:after="0"/>
        <w:rPr>
          <w:szCs w:val="20"/>
        </w:rPr>
      </w:pPr>
      <w:r>
        <w:rPr>
          <w:i/>
          <w:szCs w:val="20"/>
        </w:rPr>
        <w:t>King County Strategic Plan impact:</w:t>
      </w:r>
      <w:r>
        <w:rPr>
          <w:i/>
          <w:szCs w:val="20"/>
        </w:rPr>
        <w:tab/>
      </w:r>
      <w:r w:rsidR="00E1545F">
        <w:rPr>
          <w:szCs w:val="20"/>
        </w:rPr>
        <w:t xml:space="preserve"> This transaction supports the King County Strategic Plan </w:t>
      </w:r>
      <w:r w:rsidR="00190CAE">
        <w:rPr>
          <w:szCs w:val="20"/>
        </w:rPr>
        <w:t>guiding principles</w:t>
      </w:r>
      <w:r w:rsidR="00E1545F">
        <w:rPr>
          <w:szCs w:val="20"/>
        </w:rPr>
        <w:t xml:space="preserve"> of </w:t>
      </w:r>
      <w:r w:rsidR="00007847">
        <w:rPr>
          <w:szCs w:val="20"/>
        </w:rPr>
        <w:t xml:space="preserve">Financial Sustainability and </w:t>
      </w:r>
      <w:r w:rsidR="00E1545F">
        <w:rPr>
          <w:szCs w:val="20"/>
        </w:rPr>
        <w:t>Regional Collaboration</w:t>
      </w:r>
      <w:r w:rsidR="00007847">
        <w:rPr>
          <w:szCs w:val="20"/>
        </w:rPr>
        <w:t xml:space="preserve"> a</w:t>
      </w:r>
      <w:r w:rsidR="00190CAE">
        <w:rPr>
          <w:szCs w:val="20"/>
        </w:rPr>
        <w:t>nd</w:t>
      </w:r>
      <w:r w:rsidR="00007847">
        <w:rPr>
          <w:szCs w:val="20"/>
        </w:rPr>
        <w:t xml:space="preserve"> the goal of</w:t>
      </w:r>
      <w:r w:rsidR="00E1545F">
        <w:rPr>
          <w:szCs w:val="20"/>
        </w:rPr>
        <w:t xml:space="preserve"> </w:t>
      </w:r>
      <w:r w:rsidR="00007847">
        <w:rPr>
          <w:szCs w:val="20"/>
        </w:rPr>
        <w:t>Mobility</w:t>
      </w:r>
      <w:r w:rsidR="00E1545F">
        <w:rPr>
          <w:szCs w:val="20"/>
        </w:rPr>
        <w:t xml:space="preserve">. </w:t>
      </w:r>
    </w:p>
    <w:p w14:paraId="21829D50" w14:textId="77777777" w:rsidR="004F46AF" w:rsidRDefault="004F46AF" w:rsidP="00190CAE">
      <w:pPr>
        <w:spacing w:after="0"/>
        <w:rPr>
          <w:i/>
          <w:szCs w:val="20"/>
        </w:rPr>
      </w:pPr>
    </w:p>
    <w:p w14:paraId="43D2C6D1" w14:textId="46554968" w:rsidR="003B3B95" w:rsidRDefault="003B3B95" w:rsidP="003B3B95">
      <w:pPr>
        <w:rPr>
          <w:rFonts w:ascii="Calibri" w:hAnsi="Calibri"/>
        </w:rPr>
      </w:pPr>
      <w:r w:rsidRPr="00190CAE">
        <w:t>Equity and Social Justice Impact:</w:t>
      </w:r>
      <w:r w:rsidR="00C453A2">
        <w:t xml:space="preserve"> </w:t>
      </w:r>
      <w:r w:rsidRPr="00190CAE">
        <w:t xml:space="preserve"> This project dramatically increases access to transit for all populations in the Northgate area.</w:t>
      </w:r>
      <w:r w:rsidR="00C453A2">
        <w:t xml:space="preserve"> </w:t>
      </w:r>
      <w:r w:rsidRPr="00190CAE">
        <w:t xml:space="preserve"> Not only does the project increase access for the neighborhood but </w:t>
      </w:r>
      <w:r w:rsidR="00AF2F50">
        <w:t>in concert with the Northgate Pedestrian/Bike Bridge Project</w:t>
      </w:r>
      <w:r w:rsidRPr="00190CAE">
        <w:t xml:space="preserve"> also provides access for students at North Seattle College.</w:t>
      </w:r>
      <w:r w:rsidR="00C453A2">
        <w:rPr>
          <w:color w:val="1F497D"/>
        </w:rPr>
        <w:t xml:space="preserve"> </w:t>
      </w:r>
      <w:r>
        <w:rPr>
          <w:color w:val="1F497D"/>
        </w:rPr>
        <w:t xml:space="preserve"> </w:t>
      </w:r>
      <w:r>
        <w:t>Northgate is one of Seattle’s more affordable neighborhoods, with housing prices well below the median within the City. Due to the availability of affordable housing, Northgate has attracted a higher proportion of residents from economically disadvantaged communities. Forty-eight percent of residents within the Northgate urban center are people of color compared to 34% citywide. The median household income is also lower in the Northgate area than Seattle overall. Providing access for students of North Seattle College is another important benefit of this project.</w:t>
      </w:r>
      <w:r w:rsidR="00C453A2">
        <w:t xml:space="preserve"> </w:t>
      </w:r>
      <w:r>
        <w:t xml:space="preserve"> Over 15,000 students are served each year with 29% academically disadvantaged; 33% are people of color </w:t>
      </w:r>
      <w:r w:rsidR="00387A10">
        <w:t>and 60</w:t>
      </w:r>
      <w:r>
        <w:t>% are female.</w:t>
      </w:r>
      <w:r w:rsidR="00C453A2">
        <w:t xml:space="preserve"> </w:t>
      </w:r>
      <w:r>
        <w:t xml:space="preserve"> Most of the students (52%) are over the age of 30, with a median age of 31 and 52% work part or full time.</w:t>
      </w:r>
      <w:r w:rsidR="00C453A2">
        <w:t xml:space="preserve"> </w:t>
      </w:r>
      <w:r>
        <w:t xml:space="preserve"> This project significantly increases access to disadvantaged populations both living in the adjacent area and to students of North Seattle College.</w:t>
      </w:r>
    </w:p>
    <w:p w14:paraId="0A801F20" w14:textId="57E381C1" w:rsidR="000313FD" w:rsidRDefault="000313FD">
      <w:pPr>
        <w:spacing w:after="200"/>
        <w:rPr>
          <w:b/>
          <w:sz w:val="24"/>
          <w:szCs w:val="20"/>
        </w:rPr>
      </w:pPr>
    </w:p>
    <w:p w14:paraId="741C7742" w14:textId="4259CFA7" w:rsidR="00A55406" w:rsidRDefault="00A55406" w:rsidP="00A55406">
      <w:pPr>
        <w:spacing w:after="0"/>
        <w:rPr>
          <w:b/>
          <w:sz w:val="24"/>
          <w:szCs w:val="20"/>
        </w:rPr>
      </w:pPr>
      <w:r>
        <w:rPr>
          <w:b/>
          <w:sz w:val="24"/>
          <w:szCs w:val="20"/>
        </w:rPr>
        <w:t>Surplus Process</w:t>
      </w:r>
    </w:p>
    <w:p w14:paraId="0318045C" w14:textId="77777777" w:rsidR="00A55406" w:rsidRPr="00190CAE" w:rsidRDefault="004F0EBB" w:rsidP="00A55406">
      <w:pPr>
        <w:spacing w:after="0"/>
        <w:rPr>
          <w:szCs w:val="20"/>
        </w:rPr>
      </w:pPr>
      <w:r w:rsidRPr="00190CAE">
        <w:rPr>
          <w:szCs w:val="20"/>
        </w:rPr>
        <w:t>N/A since this is a settlement of a condemnation action.</w:t>
      </w:r>
    </w:p>
    <w:p w14:paraId="4B6BE7C2" w14:textId="77777777" w:rsidR="00A55406" w:rsidRDefault="00A55406" w:rsidP="00A55406">
      <w:pPr>
        <w:spacing w:after="0"/>
        <w:rPr>
          <w:szCs w:val="20"/>
        </w:rPr>
      </w:pPr>
    </w:p>
    <w:p w14:paraId="05A6C903" w14:textId="77777777" w:rsidR="00A55406" w:rsidRDefault="00A55406" w:rsidP="00A55406">
      <w:pPr>
        <w:spacing w:after="0"/>
        <w:rPr>
          <w:b/>
          <w:sz w:val="24"/>
          <w:szCs w:val="20"/>
        </w:rPr>
      </w:pPr>
      <w:r>
        <w:rPr>
          <w:b/>
          <w:sz w:val="24"/>
          <w:szCs w:val="20"/>
        </w:rPr>
        <w:t>Marketing and Sale</w:t>
      </w:r>
    </w:p>
    <w:p w14:paraId="6A7A1FCD" w14:textId="77777777" w:rsidR="00A55406" w:rsidRDefault="00A55406" w:rsidP="00A55406">
      <w:pPr>
        <w:spacing w:after="0"/>
        <w:rPr>
          <w:i/>
          <w:szCs w:val="20"/>
        </w:rPr>
      </w:pPr>
      <w:r>
        <w:rPr>
          <w:i/>
          <w:szCs w:val="20"/>
        </w:rPr>
        <w:t>Indicate whether the property was marketed or not, and if so, how it was marketed:</w:t>
      </w:r>
    </w:p>
    <w:tbl>
      <w:tblPr>
        <w:tblStyle w:val="TableGrid"/>
        <w:tblW w:w="0" w:type="auto"/>
        <w:tblLook w:val="04A0" w:firstRow="1" w:lastRow="0" w:firstColumn="1" w:lastColumn="0" w:noHBand="0" w:noVBand="1"/>
      </w:tblPr>
      <w:tblGrid>
        <w:gridCol w:w="460"/>
        <w:gridCol w:w="9116"/>
      </w:tblGrid>
      <w:tr w:rsidR="00A55406" w14:paraId="0B4F2D9A" w14:textId="77777777" w:rsidTr="00A55406">
        <w:tc>
          <w:tcPr>
            <w:tcW w:w="0" w:type="auto"/>
            <w:tcBorders>
              <w:top w:val="single" w:sz="4" w:space="0" w:color="auto"/>
              <w:left w:val="single" w:sz="4" w:space="0" w:color="auto"/>
              <w:bottom w:val="single" w:sz="4" w:space="0" w:color="auto"/>
              <w:right w:val="single" w:sz="4" w:space="0" w:color="auto"/>
            </w:tcBorders>
            <w:hideMark/>
          </w:tcPr>
          <w:p w14:paraId="6A22DFA6" w14:textId="77777777" w:rsidR="00A55406" w:rsidRDefault="005C7C6A">
            <w:pPr>
              <w:spacing w:after="0"/>
              <w:rPr>
                <w:szCs w:val="20"/>
              </w:rPr>
            </w:pPr>
            <w:r>
              <w:rPr>
                <w:szCs w:val="20"/>
              </w:rPr>
              <w:fldChar w:fldCharType="begin">
                <w:ffData>
                  <w:name w:val="Check1"/>
                  <w:enabled/>
                  <w:calcOnExit w:val="0"/>
                  <w:checkBox>
                    <w:sizeAuto/>
                    <w:default w:val="0"/>
                  </w:checkBox>
                </w:ffData>
              </w:fldChar>
            </w:r>
            <w:bookmarkStart w:id="1" w:name="Check1"/>
            <w:r w:rsidR="00A55406">
              <w:rPr>
                <w:szCs w:val="20"/>
              </w:rPr>
              <w:instrText xml:space="preserve"> FORMCHECKBOX </w:instrText>
            </w:r>
            <w:r w:rsidR="00471D8B">
              <w:rPr>
                <w:szCs w:val="20"/>
              </w:rPr>
            </w:r>
            <w:r w:rsidR="00471D8B">
              <w:rPr>
                <w:szCs w:val="20"/>
              </w:rPr>
              <w:fldChar w:fldCharType="separate"/>
            </w:r>
            <w:r>
              <w:fldChar w:fldCharType="end"/>
            </w:r>
            <w:bookmarkEnd w:id="1"/>
          </w:p>
        </w:tc>
        <w:tc>
          <w:tcPr>
            <w:tcW w:w="9458" w:type="dxa"/>
            <w:tcBorders>
              <w:top w:val="single" w:sz="4" w:space="0" w:color="auto"/>
              <w:left w:val="single" w:sz="4" w:space="0" w:color="auto"/>
              <w:bottom w:val="single" w:sz="4" w:space="0" w:color="auto"/>
              <w:right w:val="single" w:sz="4" w:space="0" w:color="auto"/>
            </w:tcBorders>
            <w:hideMark/>
          </w:tcPr>
          <w:p w14:paraId="56EADDE3" w14:textId="77777777" w:rsidR="00A55406" w:rsidRDefault="00A55406">
            <w:pPr>
              <w:spacing w:after="0"/>
              <w:rPr>
                <w:szCs w:val="20"/>
              </w:rPr>
            </w:pPr>
            <w:r>
              <w:rPr>
                <w:szCs w:val="20"/>
              </w:rPr>
              <w:t>MLS</w:t>
            </w:r>
          </w:p>
        </w:tc>
      </w:tr>
      <w:tr w:rsidR="00A55406" w14:paraId="07C2413C" w14:textId="77777777" w:rsidTr="00A55406">
        <w:tc>
          <w:tcPr>
            <w:tcW w:w="0" w:type="auto"/>
            <w:tcBorders>
              <w:top w:val="single" w:sz="4" w:space="0" w:color="auto"/>
              <w:left w:val="single" w:sz="4" w:space="0" w:color="auto"/>
              <w:bottom w:val="single" w:sz="4" w:space="0" w:color="auto"/>
              <w:right w:val="single" w:sz="4" w:space="0" w:color="auto"/>
            </w:tcBorders>
            <w:hideMark/>
          </w:tcPr>
          <w:p w14:paraId="77952224" w14:textId="77777777" w:rsidR="00A55406" w:rsidRDefault="005C7C6A">
            <w:pPr>
              <w:spacing w:after="0"/>
              <w:rPr>
                <w:szCs w:val="20"/>
              </w:rPr>
            </w:pPr>
            <w:r>
              <w:rPr>
                <w:szCs w:val="20"/>
              </w:rPr>
              <w:fldChar w:fldCharType="begin">
                <w:ffData>
                  <w:name w:val="Check2"/>
                  <w:enabled/>
                  <w:calcOnExit w:val="0"/>
                  <w:checkBox>
                    <w:sizeAuto/>
                    <w:default w:val="0"/>
                  </w:checkBox>
                </w:ffData>
              </w:fldChar>
            </w:r>
            <w:bookmarkStart w:id="2" w:name="Check2"/>
            <w:r w:rsidR="00A55406">
              <w:rPr>
                <w:szCs w:val="20"/>
              </w:rPr>
              <w:instrText xml:space="preserve"> FORMCHECKBOX </w:instrText>
            </w:r>
            <w:r w:rsidR="00471D8B">
              <w:rPr>
                <w:szCs w:val="20"/>
              </w:rPr>
            </w:r>
            <w:r w:rsidR="00471D8B">
              <w:rPr>
                <w:szCs w:val="20"/>
              </w:rPr>
              <w:fldChar w:fldCharType="separate"/>
            </w:r>
            <w:r>
              <w:fldChar w:fldCharType="end"/>
            </w:r>
            <w:bookmarkEnd w:id="2"/>
          </w:p>
        </w:tc>
        <w:tc>
          <w:tcPr>
            <w:tcW w:w="9458" w:type="dxa"/>
            <w:tcBorders>
              <w:top w:val="single" w:sz="4" w:space="0" w:color="auto"/>
              <w:left w:val="single" w:sz="4" w:space="0" w:color="auto"/>
              <w:bottom w:val="single" w:sz="4" w:space="0" w:color="auto"/>
              <w:right w:val="single" w:sz="4" w:space="0" w:color="auto"/>
            </w:tcBorders>
            <w:hideMark/>
          </w:tcPr>
          <w:p w14:paraId="2F4BBDEF" w14:textId="77777777" w:rsidR="00A55406" w:rsidRDefault="00A55406">
            <w:pPr>
              <w:spacing w:after="0"/>
              <w:rPr>
                <w:szCs w:val="20"/>
              </w:rPr>
            </w:pPr>
            <w:r>
              <w:rPr>
                <w:szCs w:val="20"/>
              </w:rPr>
              <w:t>Commercial Broker</w:t>
            </w:r>
          </w:p>
        </w:tc>
      </w:tr>
      <w:tr w:rsidR="00A55406" w14:paraId="101E9C0B" w14:textId="77777777" w:rsidTr="00A55406">
        <w:tc>
          <w:tcPr>
            <w:tcW w:w="0" w:type="auto"/>
            <w:tcBorders>
              <w:top w:val="single" w:sz="4" w:space="0" w:color="auto"/>
              <w:left w:val="single" w:sz="4" w:space="0" w:color="auto"/>
              <w:bottom w:val="single" w:sz="4" w:space="0" w:color="auto"/>
              <w:right w:val="single" w:sz="4" w:space="0" w:color="auto"/>
            </w:tcBorders>
            <w:hideMark/>
          </w:tcPr>
          <w:p w14:paraId="424D523E" w14:textId="77777777" w:rsidR="00A55406" w:rsidRDefault="005C7C6A">
            <w:pPr>
              <w:spacing w:after="0"/>
              <w:rPr>
                <w:szCs w:val="20"/>
              </w:rPr>
            </w:pPr>
            <w:r>
              <w:rPr>
                <w:szCs w:val="20"/>
              </w:rPr>
              <w:fldChar w:fldCharType="begin">
                <w:ffData>
                  <w:name w:val="Check3"/>
                  <w:enabled/>
                  <w:calcOnExit w:val="0"/>
                  <w:checkBox>
                    <w:sizeAuto/>
                    <w:default w:val="0"/>
                  </w:checkBox>
                </w:ffData>
              </w:fldChar>
            </w:r>
            <w:bookmarkStart w:id="3" w:name="Check3"/>
            <w:r w:rsidR="00A55406">
              <w:rPr>
                <w:szCs w:val="20"/>
              </w:rPr>
              <w:instrText xml:space="preserve"> FORMCHECKBOX </w:instrText>
            </w:r>
            <w:r w:rsidR="00471D8B">
              <w:rPr>
                <w:szCs w:val="20"/>
              </w:rPr>
            </w:r>
            <w:r w:rsidR="00471D8B">
              <w:rPr>
                <w:szCs w:val="20"/>
              </w:rPr>
              <w:fldChar w:fldCharType="separate"/>
            </w:r>
            <w:r>
              <w:fldChar w:fldCharType="end"/>
            </w:r>
            <w:bookmarkEnd w:id="3"/>
          </w:p>
        </w:tc>
        <w:tc>
          <w:tcPr>
            <w:tcW w:w="9458" w:type="dxa"/>
            <w:tcBorders>
              <w:top w:val="single" w:sz="4" w:space="0" w:color="auto"/>
              <w:left w:val="single" w:sz="4" w:space="0" w:color="auto"/>
              <w:bottom w:val="single" w:sz="4" w:space="0" w:color="auto"/>
              <w:right w:val="single" w:sz="4" w:space="0" w:color="auto"/>
            </w:tcBorders>
            <w:hideMark/>
          </w:tcPr>
          <w:p w14:paraId="2B58FE40" w14:textId="77777777" w:rsidR="00A55406" w:rsidRDefault="00A55406">
            <w:pPr>
              <w:spacing w:after="0"/>
              <w:rPr>
                <w:szCs w:val="20"/>
              </w:rPr>
            </w:pPr>
            <w:r>
              <w:rPr>
                <w:szCs w:val="20"/>
              </w:rPr>
              <w:t>County Website (number of website views:_______________</w:t>
            </w:r>
            <w:r>
              <w:rPr>
                <w:szCs w:val="20"/>
              </w:rPr>
              <w:softHyphen/>
            </w:r>
            <w:r>
              <w:rPr>
                <w:szCs w:val="20"/>
              </w:rPr>
              <w:softHyphen/>
            </w:r>
            <w:r>
              <w:rPr>
                <w:szCs w:val="20"/>
              </w:rPr>
              <w:softHyphen/>
              <w:t>)</w:t>
            </w:r>
          </w:p>
        </w:tc>
      </w:tr>
      <w:tr w:rsidR="00A55406" w14:paraId="7B28ADD9" w14:textId="77777777" w:rsidTr="00A55406">
        <w:tc>
          <w:tcPr>
            <w:tcW w:w="0" w:type="auto"/>
            <w:tcBorders>
              <w:top w:val="single" w:sz="4" w:space="0" w:color="auto"/>
              <w:left w:val="single" w:sz="4" w:space="0" w:color="auto"/>
              <w:bottom w:val="single" w:sz="4" w:space="0" w:color="auto"/>
              <w:right w:val="single" w:sz="4" w:space="0" w:color="auto"/>
            </w:tcBorders>
            <w:hideMark/>
          </w:tcPr>
          <w:p w14:paraId="01550DB8" w14:textId="77777777" w:rsidR="00A55406" w:rsidRDefault="005C7C6A">
            <w:pPr>
              <w:spacing w:after="0"/>
              <w:rPr>
                <w:szCs w:val="20"/>
              </w:rPr>
            </w:pPr>
            <w:r>
              <w:rPr>
                <w:szCs w:val="20"/>
              </w:rPr>
              <w:fldChar w:fldCharType="begin">
                <w:ffData>
                  <w:name w:val="Check4"/>
                  <w:enabled/>
                  <w:calcOnExit w:val="0"/>
                  <w:checkBox>
                    <w:sizeAuto/>
                    <w:default w:val="0"/>
                  </w:checkBox>
                </w:ffData>
              </w:fldChar>
            </w:r>
            <w:bookmarkStart w:id="4" w:name="Check4"/>
            <w:r w:rsidR="00A55406">
              <w:rPr>
                <w:szCs w:val="20"/>
              </w:rPr>
              <w:instrText xml:space="preserve"> FORMCHECKBOX </w:instrText>
            </w:r>
            <w:r w:rsidR="00471D8B">
              <w:rPr>
                <w:szCs w:val="20"/>
              </w:rPr>
            </w:r>
            <w:r w:rsidR="00471D8B">
              <w:rPr>
                <w:szCs w:val="20"/>
              </w:rPr>
              <w:fldChar w:fldCharType="separate"/>
            </w:r>
            <w:r>
              <w:fldChar w:fldCharType="end"/>
            </w:r>
            <w:bookmarkEnd w:id="4"/>
          </w:p>
        </w:tc>
        <w:tc>
          <w:tcPr>
            <w:tcW w:w="9458" w:type="dxa"/>
            <w:tcBorders>
              <w:top w:val="single" w:sz="4" w:space="0" w:color="auto"/>
              <w:left w:val="single" w:sz="4" w:space="0" w:color="auto"/>
              <w:bottom w:val="single" w:sz="4" w:space="0" w:color="auto"/>
              <w:right w:val="single" w:sz="4" w:space="0" w:color="auto"/>
            </w:tcBorders>
            <w:hideMark/>
          </w:tcPr>
          <w:p w14:paraId="36FBF667" w14:textId="77777777" w:rsidR="00A55406" w:rsidRDefault="00A55406">
            <w:pPr>
              <w:spacing w:after="0"/>
              <w:rPr>
                <w:szCs w:val="20"/>
              </w:rPr>
            </w:pPr>
            <w:r>
              <w:rPr>
                <w:szCs w:val="20"/>
              </w:rPr>
              <w:t>Social Media</w:t>
            </w:r>
          </w:p>
        </w:tc>
      </w:tr>
      <w:tr w:rsidR="00A55406" w14:paraId="7E5DCADF" w14:textId="77777777" w:rsidTr="00A55406">
        <w:tc>
          <w:tcPr>
            <w:tcW w:w="0" w:type="auto"/>
            <w:tcBorders>
              <w:top w:val="single" w:sz="4" w:space="0" w:color="auto"/>
              <w:left w:val="single" w:sz="4" w:space="0" w:color="auto"/>
              <w:bottom w:val="single" w:sz="4" w:space="0" w:color="auto"/>
              <w:right w:val="single" w:sz="4" w:space="0" w:color="auto"/>
            </w:tcBorders>
            <w:hideMark/>
          </w:tcPr>
          <w:p w14:paraId="62A260BB" w14:textId="77777777" w:rsidR="00A55406" w:rsidRDefault="005C7C6A">
            <w:pPr>
              <w:spacing w:after="0"/>
              <w:rPr>
                <w:szCs w:val="20"/>
              </w:rPr>
            </w:pPr>
            <w:r>
              <w:rPr>
                <w:szCs w:val="20"/>
              </w:rPr>
              <w:fldChar w:fldCharType="begin">
                <w:ffData>
                  <w:name w:val="Check5"/>
                  <w:enabled/>
                  <w:calcOnExit w:val="0"/>
                  <w:checkBox>
                    <w:sizeAuto/>
                    <w:default w:val="0"/>
                  </w:checkBox>
                </w:ffData>
              </w:fldChar>
            </w:r>
            <w:bookmarkStart w:id="5" w:name="Check5"/>
            <w:r w:rsidR="00A55406">
              <w:rPr>
                <w:szCs w:val="20"/>
              </w:rPr>
              <w:instrText xml:space="preserve"> FORMCHECKBOX </w:instrText>
            </w:r>
            <w:r w:rsidR="00471D8B">
              <w:rPr>
                <w:szCs w:val="20"/>
              </w:rPr>
            </w:r>
            <w:r w:rsidR="00471D8B">
              <w:rPr>
                <w:szCs w:val="20"/>
              </w:rPr>
              <w:fldChar w:fldCharType="separate"/>
            </w:r>
            <w:r>
              <w:fldChar w:fldCharType="end"/>
            </w:r>
            <w:bookmarkEnd w:id="5"/>
          </w:p>
        </w:tc>
        <w:tc>
          <w:tcPr>
            <w:tcW w:w="9458" w:type="dxa"/>
            <w:tcBorders>
              <w:top w:val="single" w:sz="4" w:space="0" w:color="auto"/>
              <w:left w:val="single" w:sz="4" w:space="0" w:color="auto"/>
              <w:bottom w:val="single" w:sz="4" w:space="0" w:color="auto"/>
              <w:right w:val="single" w:sz="4" w:space="0" w:color="auto"/>
            </w:tcBorders>
            <w:hideMark/>
          </w:tcPr>
          <w:p w14:paraId="0A65CC5D" w14:textId="77777777" w:rsidR="00A55406" w:rsidRDefault="00A55406">
            <w:pPr>
              <w:spacing w:after="0"/>
              <w:rPr>
                <w:szCs w:val="20"/>
              </w:rPr>
            </w:pPr>
            <w:r>
              <w:rPr>
                <w:szCs w:val="20"/>
              </w:rPr>
              <w:t>Onsite Signage</w:t>
            </w:r>
          </w:p>
        </w:tc>
      </w:tr>
      <w:tr w:rsidR="00A55406" w14:paraId="52DEBF48" w14:textId="77777777" w:rsidTr="00A55406">
        <w:tc>
          <w:tcPr>
            <w:tcW w:w="0" w:type="auto"/>
            <w:tcBorders>
              <w:top w:val="single" w:sz="4" w:space="0" w:color="auto"/>
              <w:left w:val="single" w:sz="4" w:space="0" w:color="auto"/>
              <w:bottom w:val="single" w:sz="4" w:space="0" w:color="auto"/>
              <w:right w:val="single" w:sz="4" w:space="0" w:color="auto"/>
            </w:tcBorders>
            <w:hideMark/>
          </w:tcPr>
          <w:p w14:paraId="6F3CCAF7" w14:textId="77777777" w:rsidR="00A55406" w:rsidRDefault="008B5EC4">
            <w:pPr>
              <w:spacing w:after="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471D8B">
              <w:rPr>
                <w:szCs w:val="20"/>
              </w:rPr>
            </w:r>
            <w:r w:rsidR="00471D8B">
              <w:rPr>
                <w:szCs w:val="20"/>
              </w:rPr>
              <w:fldChar w:fldCharType="separate"/>
            </w:r>
            <w:r>
              <w:rPr>
                <w:szCs w:val="20"/>
              </w:rPr>
              <w:fldChar w:fldCharType="end"/>
            </w:r>
          </w:p>
        </w:tc>
        <w:tc>
          <w:tcPr>
            <w:tcW w:w="9458" w:type="dxa"/>
            <w:tcBorders>
              <w:top w:val="single" w:sz="4" w:space="0" w:color="auto"/>
              <w:left w:val="single" w:sz="4" w:space="0" w:color="auto"/>
              <w:bottom w:val="single" w:sz="4" w:space="0" w:color="auto"/>
              <w:right w:val="single" w:sz="4" w:space="0" w:color="auto"/>
            </w:tcBorders>
            <w:hideMark/>
          </w:tcPr>
          <w:p w14:paraId="0A434C9C" w14:textId="77777777" w:rsidR="00A55406" w:rsidRDefault="00A55406">
            <w:pPr>
              <w:spacing w:after="0"/>
              <w:rPr>
                <w:szCs w:val="20"/>
              </w:rPr>
            </w:pPr>
            <w:r>
              <w:rPr>
                <w:szCs w:val="20"/>
              </w:rPr>
              <w:t>Not Marketed (briefly explain)</w:t>
            </w:r>
            <w:r w:rsidR="00240212">
              <w:rPr>
                <w:szCs w:val="20"/>
              </w:rPr>
              <w:t xml:space="preserve"> this is a settlement of condemnation action</w:t>
            </w:r>
          </w:p>
        </w:tc>
      </w:tr>
    </w:tbl>
    <w:p w14:paraId="465D195A" w14:textId="77777777" w:rsidR="00A55406" w:rsidRDefault="00A55406" w:rsidP="00A55406">
      <w:pPr>
        <w:spacing w:after="0"/>
        <w:rPr>
          <w:szCs w:val="20"/>
        </w:rPr>
      </w:pPr>
    </w:p>
    <w:p w14:paraId="7CA2769F" w14:textId="77777777" w:rsidR="00A55406" w:rsidRDefault="00A55406" w:rsidP="00A55406">
      <w:pPr>
        <w:spacing w:after="0"/>
        <w:rPr>
          <w:szCs w:val="20"/>
        </w:rPr>
      </w:pPr>
    </w:p>
    <w:p w14:paraId="16778B1A" w14:textId="77777777" w:rsidR="00D20505" w:rsidRDefault="00D20505" w:rsidP="00D20505">
      <w:pPr>
        <w:spacing w:after="0"/>
        <w:rPr>
          <w:b/>
          <w:sz w:val="24"/>
          <w:szCs w:val="20"/>
        </w:rPr>
      </w:pPr>
      <w:r>
        <w:rPr>
          <w:b/>
          <w:sz w:val="24"/>
          <w:szCs w:val="20"/>
        </w:rPr>
        <w:t>Appraisal Process</w:t>
      </w:r>
    </w:p>
    <w:p w14:paraId="0320171A" w14:textId="53AE8147" w:rsidR="00D20505" w:rsidRDefault="00D20505" w:rsidP="00D20505">
      <w:pPr>
        <w:spacing w:after="0"/>
        <w:rPr>
          <w:szCs w:val="20"/>
        </w:rPr>
      </w:pPr>
      <w:r>
        <w:rPr>
          <w:i/>
          <w:szCs w:val="20"/>
        </w:rPr>
        <w:t>Summary</w:t>
      </w:r>
      <w:r>
        <w:rPr>
          <w:szCs w:val="20"/>
        </w:rPr>
        <w:t xml:space="preserve"> </w:t>
      </w:r>
      <w:sdt>
        <w:sdtPr>
          <w:rPr>
            <w:szCs w:val="20"/>
          </w:rPr>
          <w:alias w:val="Appraisal Summary"/>
          <w:tag w:val="Appraisal Summary"/>
          <w:id w:val="15126589"/>
        </w:sdtPr>
        <w:sdtEndPr/>
        <w:sdtContent>
          <w:r w:rsidR="00985FFD">
            <w:rPr>
              <w:szCs w:val="20"/>
            </w:rPr>
            <w:t xml:space="preserve">The appraisal is a “Before and After” appraisal, which is typically used in a condemnation action.  </w:t>
          </w:r>
        </w:sdtContent>
      </w:sdt>
    </w:p>
    <w:p w14:paraId="0122EBD5" w14:textId="4DD727E7" w:rsidR="00D20505" w:rsidRDefault="00D20505" w:rsidP="00D20505">
      <w:pPr>
        <w:spacing w:after="0"/>
        <w:ind w:left="720"/>
        <w:rPr>
          <w:szCs w:val="20"/>
        </w:rPr>
      </w:pPr>
      <w:r>
        <w:rPr>
          <w:i/>
          <w:szCs w:val="20"/>
        </w:rPr>
        <w:t>Date of valuation:</w:t>
      </w:r>
      <w:r>
        <w:rPr>
          <w:szCs w:val="20"/>
        </w:rPr>
        <w:tab/>
      </w:r>
      <w:sdt>
        <w:sdtPr>
          <w:rPr>
            <w:szCs w:val="20"/>
          </w:rPr>
          <w:alias w:val="Date Updated"/>
          <w:tag w:val="Date Updated"/>
          <w:id w:val="279300634"/>
          <w:date w:fullDate="2016-03-31T00:00:00Z">
            <w:dateFormat w:val="MMMM d, yyyy"/>
            <w:lid w:val="en-US"/>
            <w:storeMappedDataAs w:val="dateTime"/>
            <w:calendar w:val="gregorian"/>
          </w:date>
        </w:sdtPr>
        <w:sdtEndPr/>
        <w:sdtContent>
          <w:r>
            <w:rPr>
              <w:szCs w:val="20"/>
            </w:rPr>
            <w:t>March 31, 2016</w:t>
          </w:r>
        </w:sdtContent>
      </w:sdt>
    </w:p>
    <w:p w14:paraId="33BE0460" w14:textId="032A8DA7" w:rsidR="00D20505" w:rsidRDefault="00D20505" w:rsidP="00D20505">
      <w:pPr>
        <w:spacing w:after="0"/>
        <w:ind w:left="720"/>
        <w:rPr>
          <w:szCs w:val="20"/>
        </w:rPr>
      </w:pPr>
      <w:r>
        <w:rPr>
          <w:i/>
          <w:szCs w:val="20"/>
        </w:rPr>
        <w:t>Appraised by:</w:t>
      </w:r>
      <w:r>
        <w:rPr>
          <w:i/>
          <w:szCs w:val="20"/>
        </w:rPr>
        <w:tab/>
      </w:r>
      <w:r>
        <w:rPr>
          <w:szCs w:val="20"/>
        </w:rPr>
        <w:tab/>
      </w:r>
      <w:sdt>
        <w:sdtPr>
          <w:rPr>
            <w:szCs w:val="20"/>
          </w:rPr>
          <w:alias w:val="Updated By"/>
          <w:tag w:val="Updated By"/>
          <w:id w:val="-1234463308"/>
        </w:sdtPr>
        <w:sdtEndPr/>
        <w:sdtContent>
          <w:r>
            <w:rPr>
              <w:szCs w:val="20"/>
            </w:rPr>
            <w:t>McKee &amp; Schalka</w:t>
          </w:r>
        </w:sdtContent>
      </w:sdt>
    </w:p>
    <w:p w14:paraId="1BBAB7FB" w14:textId="65BD0D00" w:rsidR="00D20505" w:rsidRDefault="00D20505" w:rsidP="00D20505">
      <w:pPr>
        <w:spacing w:after="0"/>
        <w:ind w:left="2880" w:hanging="2160"/>
        <w:rPr>
          <w:szCs w:val="20"/>
        </w:rPr>
      </w:pPr>
      <w:r>
        <w:rPr>
          <w:i/>
          <w:szCs w:val="20"/>
        </w:rPr>
        <w:t>Appraisal factors:</w:t>
      </w:r>
      <w:r>
        <w:rPr>
          <w:szCs w:val="20"/>
        </w:rPr>
        <w:tab/>
      </w:r>
      <w:sdt>
        <w:sdtPr>
          <w:rPr>
            <w:szCs w:val="20"/>
          </w:rPr>
          <w:alias w:val="Appraisal Factors"/>
          <w:tag w:val="Appraisal Factors"/>
          <w:id w:val="-2038729229"/>
        </w:sdtPr>
        <w:sdtEndPr/>
        <w:sdtContent>
          <w:r>
            <w:rPr>
              <w:szCs w:val="20"/>
            </w:rPr>
            <w:t>Before and after valuation establishing land value of the fee take, special benefits and damages and value of temporary construction easements.</w:t>
          </w:r>
        </w:sdtContent>
      </w:sdt>
    </w:p>
    <w:p w14:paraId="6530C819" w14:textId="2E17C755" w:rsidR="00D20505" w:rsidRDefault="00D20505" w:rsidP="00D20505">
      <w:pPr>
        <w:spacing w:after="0"/>
        <w:ind w:left="2880" w:hanging="2160"/>
        <w:rPr>
          <w:szCs w:val="20"/>
        </w:rPr>
      </w:pPr>
      <w:r>
        <w:rPr>
          <w:i/>
          <w:szCs w:val="20"/>
        </w:rPr>
        <w:t>Comps analysis:</w:t>
      </w:r>
      <w:r>
        <w:rPr>
          <w:szCs w:val="20"/>
        </w:rPr>
        <w:tab/>
      </w:r>
      <w:sdt>
        <w:sdtPr>
          <w:rPr>
            <w:szCs w:val="20"/>
          </w:rPr>
          <w:alias w:val="Comps Analysis"/>
          <w:tag w:val="Comps Analysis"/>
          <w:id w:val="986286724"/>
        </w:sdtPr>
        <w:sdtEndPr/>
        <w:sdtContent>
          <w:r>
            <w:rPr>
              <w:szCs w:val="20"/>
            </w:rPr>
            <w:t>An analysis of five land sales occurring after the initial appraisal date of September, 2014, resulted in land value before the fee take of $140 per square foot, which was an increase in the land value of 30%</w:t>
          </w:r>
        </w:sdtContent>
      </w:sdt>
      <w:r>
        <w:rPr>
          <w:szCs w:val="20"/>
        </w:rPr>
        <w:t xml:space="preserve"> over the September 2014 value.</w:t>
      </w:r>
    </w:p>
    <w:p w14:paraId="3988CA40" w14:textId="55998BF8" w:rsidR="00985FFD" w:rsidRPr="006E7CEC" w:rsidRDefault="00985FFD" w:rsidP="00985FFD">
      <w:pPr>
        <w:autoSpaceDE w:val="0"/>
        <w:autoSpaceDN w:val="0"/>
        <w:adjustRightInd w:val="0"/>
        <w:spacing w:after="0" w:line="240" w:lineRule="auto"/>
        <w:ind w:firstLine="720"/>
        <w:rPr>
          <w:rFonts w:cs="BookAntiqua"/>
        </w:rPr>
      </w:pPr>
      <w:r>
        <w:rPr>
          <w:szCs w:val="20"/>
        </w:rPr>
        <w:t>FMV Analysis:</w:t>
      </w:r>
      <w:r>
        <w:rPr>
          <w:szCs w:val="20"/>
        </w:rPr>
        <w:tab/>
      </w:r>
      <w:r>
        <w:rPr>
          <w:szCs w:val="20"/>
        </w:rPr>
        <w:tab/>
      </w:r>
      <w:r w:rsidRPr="006E7CEC">
        <w:rPr>
          <w:rFonts w:cs="BookAntiqua-BoldItalic"/>
          <w:b/>
          <w:bCs/>
          <w:i/>
          <w:iCs/>
        </w:rPr>
        <w:t xml:space="preserve">Fair Market Value – Before Acquisition </w:t>
      </w:r>
      <w:r w:rsidRPr="006E7CEC">
        <w:rPr>
          <w:rFonts w:cs="BookAntiqua"/>
        </w:rPr>
        <w:t>$</w:t>
      </w:r>
      <w:r>
        <w:rPr>
          <w:rFonts w:cs="BookAntiqua"/>
        </w:rPr>
        <w:t>50,058</w:t>
      </w:r>
      <w:r w:rsidRPr="006E7CEC">
        <w:rPr>
          <w:rFonts w:cs="BookAntiqua"/>
        </w:rPr>
        <w:t>,000</w:t>
      </w:r>
    </w:p>
    <w:p w14:paraId="4FC3C1EE" w14:textId="77777777" w:rsidR="00985FFD" w:rsidRPr="006E7CEC" w:rsidRDefault="00985FFD" w:rsidP="00985FFD">
      <w:pPr>
        <w:autoSpaceDE w:val="0"/>
        <w:autoSpaceDN w:val="0"/>
        <w:adjustRightInd w:val="0"/>
        <w:spacing w:after="0" w:line="240" w:lineRule="auto"/>
        <w:ind w:left="2160" w:firstLine="720"/>
        <w:rPr>
          <w:rFonts w:cs="BookAntiqua"/>
        </w:rPr>
      </w:pPr>
      <w:r w:rsidRPr="006E7CEC">
        <w:rPr>
          <w:rFonts w:cs="BookAntiqua-BoldItalic"/>
          <w:b/>
          <w:bCs/>
          <w:i/>
          <w:iCs/>
        </w:rPr>
        <w:t xml:space="preserve">Less Fair Market Value – After Acquisition </w:t>
      </w:r>
      <w:r w:rsidRPr="006E7CEC">
        <w:rPr>
          <w:rFonts w:cs="BookAntiqua"/>
        </w:rPr>
        <w:t>$39,938,000</w:t>
      </w:r>
    </w:p>
    <w:p w14:paraId="4F555DDD" w14:textId="7E9B949D" w:rsidR="00985FFD" w:rsidRDefault="00985FFD" w:rsidP="00985FFD">
      <w:pPr>
        <w:spacing w:after="0"/>
        <w:ind w:left="2880" w:hanging="2160"/>
        <w:rPr>
          <w:szCs w:val="20"/>
        </w:rPr>
      </w:pPr>
      <w:r>
        <w:rPr>
          <w:rFonts w:cs="BookAntiqua-Bold"/>
          <w:b/>
          <w:bCs/>
        </w:rPr>
        <w:tab/>
      </w:r>
      <w:r w:rsidRPr="006E7CEC">
        <w:rPr>
          <w:rFonts w:cs="BookAntiqua-Bold"/>
          <w:b/>
          <w:bCs/>
        </w:rPr>
        <w:t>Difference – Basis for Just Compensation $10,</w:t>
      </w:r>
      <w:r>
        <w:rPr>
          <w:rFonts w:cs="BookAntiqua-Bold"/>
          <w:b/>
          <w:bCs/>
        </w:rPr>
        <w:t>120</w:t>
      </w:r>
      <w:r w:rsidRPr="006E7CEC">
        <w:rPr>
          <w:rFonts w:cs="BookAntiqua-Bold"/>
          <w:b/>
          <w:bCs/>
        </w:rPr>
        <w:t>,000</w:t>
      </w:r>
    </w:p>
    <w:p w14:paraId="66B4FB3C" w14:textId="77777777" w:rsidR="00AF56CD" w:rsidRDefault="00AF56CD" w:rsidP="00D20505">
      <w:pPr>
        <w:spacing w:after="0"/>
        <w:ind w:left="720"/>
        <w:rPr>
          <w:i/>
          <w:szCs w:val="20"/>
        </w:rPr>
      </w:pPr>
    </w:p>
    <w:p w14:paraId="1C2A269F" w14:textId="384CE48E" w:rsidR="002F7927" w:rsidRDefault="002F7927" w:rsidP="000313FD">
      <w:pPr>
        <w:spacing w:after="0"/>
        <w:rPr>
          <w:b/>
          <w:sz w:val="22"/>
          <w:szCs w:val="20"/>
        </w:rPr>
      </w:pPr>
      <w:r>
        <w:rPr>
          <w:b/>
          <w:sz w:val="22"/>
          <w:szCs w:val="20"/>
        </w:rPr>
        <w:br w:type="page"/>
      </w:r>
    </w:p>
    <w:p w14:paraId="181864AD" w14:textId="77777777" w:rsidR="00A55406" w:rsidRDefault="00A55406" w:rsidP="00A55406">
      <w:pPr>
        <w:spacing w:after="0"/>
        <w:rPr>
          <w:b/>
          <w:sz w:val="22"/>
          <w:szCs w:val="20"/>
        </w:rPr>
      </w:pPr>
    </w:p>
    <w:p w14:paraId="7ADAFC30" w14:textId="77777777" w:rsidR="00A55406" w:rsidRDefault="00A55406" w:rsidP="00A55406">
      <w:pPr>
        <w:spacing w:after="0"/>
        <w:rPr>
          <w:b/>
          <w:sz w:val="22"/>
          <w:szCs w:val="20"/>
        </w:rPr>
      </w:pPr>
      <w:r>
        <w:rPr>
          <w:b/>
          <w:sz w:val="22"/>
          <w:szCs w:val="20"/>
        </w:rPr>
        <w:t>Vicinity View Map</w:t>
      </w:r>
    </w:p>
    <w:p w14:paraId="58B8D1EA" w14:textId="1CD3FEC1" w:rsidR="00B926AF" w:rsidRDefault="00B926AF" w:rsidP="00A55406">
      <w:pPr>
        <w:tabs>
          <w:tab w:val="center" w:pos="5400"/>
        </w:tabs>
        <w:spacing w:after="0"/>
        <w:rPr>
          <w:b/>
          <w:szCs w:val="20"/>
        </w:rPr>
      </w:pPr>
      <w:r>
        <w:rPr>
          <w:b/>
          <w:noProof/>
          <w:szCs w:val="20"/>
        </w:rPr>
        <w:drawing>
          <wp:inline distT="0" distB="0" distL="0" distR="0" wp14:anchorId="0BE0F45A" wp14:editId="0EB26043">
            <wp:extent cx="4619625" cy="34153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cinity View.png"/>
                    <pic:cNvPicPr/>
                  </pic:nvPicPr>
                  <pic:blipFill>
                    <a:blip r:embed="rId12">
                      <a:extLst>
                        <a:ext uri="{28A0092B-C50C-407E-A947-70E740481C1C}">
                          <a14:useLocalDpi xmlns:a14="http://schemas.microsoft.com/office/drawing/2010/main" val="0"/>
                        </a:ext>
                      </a:extLst>
                    </a:blip>
                    <a:stretch>
                      <a:fillRect/>
                    </a:stretch>
                  </pic:blipFill>
                  <pic:spPr>
                    <a:xfrm>
                      <a:off x="0" y="0"/>
                      <a:ext cx="4628705" cy="3422077"/>
                    </a:xfrm>
                    <a:prstGeom prst="rect">
                      <a:avLst/>
                    </a:prstGeom>
                  </pic:spPr>
                </pic:pic>
              </a:graphicData>
            </a:graphic>
          </wp:inline>
        </w:drawing>
      </w:r>
    </w:p>
    <w:p w14:paraId="3E09B83F" w14:textId="379D04F2" w:rsidR="00A55406" w:rsidRDefault="00A55406" w:rsidP="00A55406">
      <w:pPr>
        <w:tabs>
          <w:tab w:val="center" w:pos="5400"/>
        </w:tabs>
        <w:spacing w:after="0"/>
        <w:rPr>
          <w:b/>
          <w:szCs w:val="20"/>
        </w:rPr>
      </w:pPr>
    </w:p>
    <w:p w14:paraId="15EE17A4" w14:textId="77777777" w:rsidR="00A55406" w:rsidRDefault="00A55406" w:rsidP="00A55406">
      <w:pPr>
        <w:spacing w:after="0"/>
        <w:rPr>
          <w:b/>
          <w:sz w:val="22"/>
          <w:szCs w:val="20"/>
        </w:rPr>
      </w:pPr>
      <w:r>
        <w:rPr>
          <w:b/>
          <w:sz w:val="22"/>
          <w:szCs w:val="20"/>
        </w:rPr>
        <w:t>Parcel Map</w:t>
      </w:r>
    </w:p>
    <w:p w14:paraId="2781EB19" w14:textId="571C3687" w:rsidR="00E40D7A" w:rsidRDefault="00B926AF" w:rsidP="00190CAE">
      <w:pPr>
        <w:spacing w:after="0"/>
      </w:pPr>
      <w:r>
        <w:rPr>
          <w:b/>
          <w:noProof/>
          <w:sz w:val="22"/>
          <w:szCs w:val="20"/>
        </w:rPr>
        <w:drawing>
          <wp:inline distT="0" distB="0" distL="0" distR="0" wp14:anchorId="65AFEA0F" wp14:editId="45A5B4F5">
            <wp:extent cx="4591050" cy="38351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cel view.png"/>
                    <pic:cNvPicPr/>
                  </pic:nvPicPr>
                  <pic:blipFill>
                    <a:blip r:embed="rId13">
                      <a:extLst>
                        <a:ext uri="{28A0092B-C50C-407E-A947-70E740481C1C}">
                          <a14:useLocalDpi xmlns:a14="http://schemas.microsoft.com/office/drawing/2010/main" val="0"/>
                        </a:ext>
                      </a:extLst>
                    </a:blip>
                    <a:stretch>
                      <a:fillRect/>
                    </a:stretch>
                  </pic:blipFill>
                  <pic:spPr>
                    <a:xfrm>
                      <a:off x="0" y="0"/>
                      <a:ext cx="4614408" cy="3854706"/>
                    </a:xfrm>
                    <a:prstGeom prst="rect">
                      <a:avLst/>
                    </a:prstGeom>
                  </pic:spPr>
                </pic:pic>
              </a:graphicData>
            </a:graphic>
          </wp:inline>
        </w:drawing>
      </w:r>
    </w:p>
    <w:p w14:paraId="34B85904" w14:textId="77777777" w:rsidR="00BC0EFD" w:rsidRDefault="00BC0EFD" w:rsidP="00190CAE">
      <w:pPr>
        <w:spacing w:after="0"/>
      </w:pPr>
    </w:p>
    <w:p w14:paraId="1F3BCCB7" w14:textId="77777777" w:rsidR="00BC0EFD" w:rsidRDefault="00BC0EFD" w:rsidP="00190CAE">
      <w:pPr>
        <w:spacing w:after="0"/>
      </w:pPr>
    </w:p>
    <w:p w14:paraId="54294F49" w14:textId="6F6177CE" w:rsidR="00BC0EFD" w:rsidRDefault="00BC0EFD" w:rsidP="009A7C99">
      <w:pPr>
        <w:spacing w:after="0"/>
        <w:jc w:val="center"/>
      </w:pPr>
      <w:r>
        <w:rPr>
          <w:noProof/>
        </w:rPr>
        <w:drawing>
          <wp:inline distT="0" distB="0" distL="0" distR="0" wp14:anchorId="1DB8C815" wp14:editId="119E4762">
            <wp:extent cx="4496965" cy="79874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4550" cy="7983143"/>
                    </a:xfrm>
                    <a:prstGeom prst="rect">
                      <a:avLst/>
                    </a:prstGeom>
                    <a:noFill/>
                    <a:ln>
                      <a:noFill/>
                    </a:ln>
                  </pic:spPr>
                </pic:pic>
              </a:graphicData>
            </a:graphic>
          </wp:inline>
        </w:drawing>
      </w:r>
    </w:p>
    <w:p w14:paraId="0A52DA7E" w14:textId="072DEC06" w:rsidR="00BC0EFD" w:rsidRDefault="00BC0EFD" w:rsidP="009A7C99">
      <w:pPr>
        <w:spacing w:after="0"/>
        <w:jc w:val="center"/>
      </w:pPr>
      <w:r>
        <w:rPr>
          <w:noProof/>
        </w:rPr>
        <w:drawing>
          <wp:inline distT="0" distB="0" distL="0" distR="0" wp14:anchorId="7E59FEBF" wp14:editId="7E92AADA">
            <wp:extent cx="4446206" cy="797770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2474" cy="7953070"/>
                    </a:xfrm>
                    <a:prstGeom prst="rect">
                      <a:avLst/>
                    </a:prstGeom>
                    <a:noFill/>
                    <a:ln>
                      <a:noFill/>
                    </a:ln>
                  </pic:spPr>
                </pic:pic>
              </a:graphicData>
            </a:graphic>
          </wp:inline>
        </w:drawing>
      </w:r>
    </w:p>
    <w:p w14:paraId="033A3908" w14:textId="77777777" w:rsidR="00BC0EFD" w:rsidRDefault="00BC0EFD" w:rsidP="00190CAE">
      <w:pPr>
        <w:spacing w:after="0"/>
      </w:pPr>
    </w:p>
    <w:sectPr w:rsidR="00BC0EFD" w:rsidSect="005C7C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111CEA" w14:textId="77777777" w:rsidR="00340FFB" w:rsidRDefault="00340FFB" w:rsidP="00340FFB">
      <w:pPr>
        <w:spacing w:after="0" w:line="240" w:lineRule="auto"/>
      </w:pPr>
      <w:r>
        <w:separator/>
      </w:r>
    </w:p>
  </w:endnote>
  <w:endnote w:type="continuationSeparator" w:id="0">
    <w:p w14:paraId="501A087E" w14:textId="77777777" w:rsidR="00340FFB" w:rsidRDefault="00340FFB" w:rsidP="00340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Antiqua">
    <w:panose1 w:val="00000000000000000000"/>
    <w:charset w:val="00"/>
    <w:family w:val="roman"/>
    <w:notTrueType/>
    <w:pitch w:val="default"/>
    <w:sig w:usb0="00000003" w:usb1="00000000" w:usb2="00000000" w:usb3="00000000" w:csb0="00000001" w:csb1="00000000"/>
  </w:font>
  <w:font w:name="BookAntiqua-BoldItalic">
    <w:panose1 w:val="00000000000000000000"/>
    <w:charset w:val="00"/>
    <w:family w:val="roman"/>
    <w:notTrueType/>
    <w:pitch w:val="default"/>
    <w:sig w:usb0="00000003" w:usb1="00000000" w:usb2="00000000" w:usb3="00000000" w:csb0="00000001" w:csb1="00000000"/>
  </w:font>
  <w:font w:name="BookAntiqua-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81A919" w14:textId="77777777" w:rsidR="00340FFB" w:rsidRDefault="00340FFB" w:rsidP="00340FFB">
      <w:pPr>
        <w:spacing w:after="0" w:line="240" w:lineRule="auto"/>
      </w:pPr>
      <w:r>
        <w:separator/>
      </w:r>
    </w:p>
  </w:footnote>
  <w:footnote w:type="continuationSeparator" w:id="0">
    <w:p w14:paraId="5365C037" w14:textId="77777777" w:rsidR="00340FFB" w:rsidRDefault="00340FFB" w:rsidP="00340FFB">
      <w:pPr>
        <w:spacing w:after="0" w:line="240" w:lineRule="auto"/>
      </w:pPr>
      <w:r>
        <w:continuationSeparator/>
      </w:r>
    </w:p>
  </w:footnote>
  <w:footnote w:id="1">
    <w:p w14:paraId="738EA1A5" w14:textId="2C32F71E" w:rsidR="00340FFB" w:rsidRDefault="00340FFB">
      <w:pPr>
        <w:pStyle w:val="FootnoteText"/>
      </w:pPr>
      <w:r>
        <w:rPr>
          <w:rStyle w:val="FootnoteReference"/>
        </w:rPr>
        <w:footnoteRef/>
      </w:r>
      <w:r>
        <w:t xml:space="preserve"> </w:t>
      </w:r>
      <w:r w:rsidRPr="00471D8B">
        <w:rPr>
          <w:sz w:val="18"/>
          <w:szCs w:val="18"/>
        </w:rPr>
        <w:t>It should also be noted that the settlement agreement includes a development agreement under which Sound Transit will construct bus layover facilities at the current WSDOT South Lot for approximately $2.2 M.  However, this construction will only proceed if King County Metro executes either an air space lease or a purchase agreement with WSDOT for the South Lot.  In addition, the need for replacement layover is related to development of Transit Oriented Development (TOD) on the remainder of the King County Metro Northgate Transit Center site and therefore the $2.2 M fiscal impact will be presented in the fiscal note accompanying either the air space lease or the TOD agreement.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406"/>
    <w:rsid w:val="000043C0"/>
    <w:rsid w:val="00007847"/>
    <w:rsid w:val="00030D39"/>
    <w:rsid w:val="000313FD"/>
    <w:rsid w:val="00044F30"/>
    <w:rsid w:val="000A7568"/>
    <w:rsid w:val="000E399E"/>
    <w:rsid w:val="00106A3B"/>
    <w:rsid w:val="00125A1B"/>
    <w:rsid w:val="00162733"/>
    <w:rsid w:val="00190CAE"/>
    <w:rsid w:val="001918A6"/>
    <w:rsid w:val="00223969"/>
    <w:rsid w:val="00240212"/>
    <w:rsid w:val="00295637"/>
    <w:rsid w:val="002E5D1F"/>
    <w:rsid w:val="002F03E9"/>
    <w:rsid w:val="002F4649"/>
    <w:rsid w:val="002F7927"/>
    <w:rsid w:val="0031511C"/>
    <w:rsid w:val="00337CAC"/>
    <w:rsid w:val="00340FFB"/>
    <w:rsid w:val="00365466"/>
    <w:rsid w:val="00384E0A"/>
    <w:rsid w:val="00387A10"/>
    <w:rsid w:val="003B3B95"/>
    <w:rsid w:val="003F28FF"/>
    <w:rsid w:val="00410FC8"/>
    <w:rsid w:val="00471D8B"/>
    <w:rsid w:val="00480B96"/>
    <w:rsid w:val="004F0EBB"/>
    <w:rsid w:val="004F46AF"/>
    <w:rsid w:val="00500372"/>
    <w:rsid w:val="005037C6"/>
    <w:rsid w:val="005074BC"/>
    <w:rsid w:val="0051636E"/>
    <w:rsid w:val="005A4798"/>
    <w:rsid w:val="005C7C6A"/>
    <w:rsid w:val="005D4928"/>
    <w:rsid w:val="005E0CE7"/>
    <w:rsid w:val="005F79AB"/>
    <w:rsid w:val="00634E24"/>
    <w:rsid w:val="006633C7"/>
    <w:rsid w:val="00673BC0"/>
    <w:rsid w:val="006B440A"/>
    <w:rsid w:val="006E7CEC"/>
    <w:rsid w:val="006F6E7B"/>
    <w:rsid w:val="007618A0"/>
    <w:rsid w:val="007A4D7B"/>
    <w:rsid w:val="007A72DE"/>
    <w:rsid w:val="007D68DB"/>
    <w:rsid w:val="00824A1B"/>
    <w:rsid w:val="008533C5"/>
    <w:rsid w:val="00854B7B"/>
    <w:rsid w:val="0086055D"/>
    <w:rsid w:val="00871C82"/>
    <w:rsid w:val="008B5EC4"/>
    <w:rsid w:val="008C2C87"/>
    <w:rsid w:val="008F3ABD"/>
    <w:rsid w:val="00985FFD"/>
    <w:rsid w:val="009A7C99"/>
    <w:rsid w:val="009F502E"/>
    <w:rsid w:val="00A4052B"/>
    <w:rsid w:val="00A55406"/>
    <w:rsid w:val="00AB707E"/>
    <w:rsid w:val="00AC0E3B"/>
    <w:rsid w:val="00AE5AEF"/>
    <w:rsid w:val="00AF2F50"/>
    <w:rsid w:val="00AF56CD"/>
    <w:rsid w:val="00B24DF2"/>
    <w:rsid w:val="00B67E9E"/>
    <w:rsid w:val="00B75766"/>
    <w:rsid w:val="00B926AF"/>
    <w:rsid w:val="00BB03E1"/>
    <w:rsid w:val="00BC0EFD"/>
    <w:rsid w:val="00BE291D"/>
    <w:rsid w:val="00BE69FE"/>
    <w:rsid w:val="00BF48F2"/>
    <w:rsid w:val="00C453A2"/>
    <w:rsid w:val="00C46164"/>
    <w:rsid w:val="00CB643F"/>
    <w:rsid w:val="00CE789C"/>
    <w:rsid w:val="00D20505"/>
    <w:rsid w:val="00D3029E"/>
    <w:rsid w:val="00D5117C"/>
    <w:rsid w:val="00DD0455"/>
    <w:rsid w:val="00DD2BA4"/>
    <w:rsid w:val="00DD33DD"/>
    <w:rsid w:val="00DD4B78"/>
    <w:rsid w:val="00E13791"/>
    <w:rsid w:val="00E139CB"/>
    <w:rsid w:val="00E1545F"/>
    <w:rsid w:val="00E40D7A"/>
    <w:rsid w:val="00E5397B"/>
    <w:rsid w:val="00E83F7C"/>
    <w:rsid w:val="00E863F8"/>
    <w:rsid w:val="00E970B9"/>
    <w:rsid w:val="00F56E62"/>
    <w:rsid w:val="00F70145"/>
    <w:rsid w:val="00F716BF"/>
    <w:rsid w:val="00F752DE"/>
    <w:rsid w:val="00F92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C4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406"/>
    <w:pPr>
      <w:spacing w:after="80"/>
    </w:pPr>
    <w:rPr>
      <w:rFonts w:ascii="Verdana" w:hAnsi="Verdan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A55406"/>
    <w:pPr>
      <w:spacing w:line="240" w:lineRule="auto"/>
    </w:pPr>
    <w:rPr>
      <w:szCs w:val="20"/>
    </w:rPr>
  </w:style>
  <w:style w:type="character" w:customStyle="1" w:styleId="CommentTextChar">
    <w:name w:val="Comment Text Char"/>
    <w:basedOn w:val="DefaultParagraphFont"/>
    <w:link w:val="CommentText"/>
    <w:uiPriority w:val="99"/>
    <w:semiHidden/>
    <w:rsid w:val="00A55406"/>
    <w:rPr>
      <w:rFonts w:ascii="Verdana" w:hAnsi="Verdana"/>
      <w:sz w:val="20"/>
      <w:szCs w:val="20"/>
    </w:rPr>
  </w:style>
  <w:style w:type="paragraph" w:styleId="Caption">
    <w:name w:val="caption"/>
    <w:basedOn w:val="Normal"/>
    <w:next w:val="Normal"/>
    <w:uiPriority w:val="35"/>
    <w:semiHidden/>
    <w:unhideWhenUsed/>
    <w:qFormat/>
    <w:rsid w:val="00A55406"/>
    <w:pPr>
      <w:spacing w:after="200"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A55406"/>
    <w:rPr>
      <w:sz w:val="16"/>
      <w:szCs w:val="16"/>
    </w:rPr>
  </w:style>
  <w:style w:type="character" w:styleId="PlaceholderText">
    <w:name w:val="Placeholder Text"/>
    <w:basedOn w:val="DefaultParagraphFont"/>
    <w:uiPriority w:val="99"/>
    <w:semiHidden/>
    <w:rsid w:val="00A55406"/>
    <w:rPr>
      <w:color w:val="808080"/>
    </w:rPr>
  </w:style>
  <w:style w:type="table" w:styleId="TableGrid">
    <w:name w:val="Table Grid"/>
    <w:basedOn w:val="TableNormal"/>
    <w:uiPriority w:val="59"/>
    <w:rsid w:val="00A55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554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406"/>
    <w:rPr>
      <w:rFonts w:ascii="Tahoma" w:hAnsi="Tahoma" w:cs="Tahoma"/>
      <w:sz w:val="16"/>
      <w:szCs w:val="16"/>
    </w:rPr>
  </w:style>
  <w:style w:type="paragraph" w:styleId="NormalWeb">
    <w:name w:val="Normal (Web)"/>
    <w:basedOn w:val="Normal"/>
    <w:uiPriority w:val="99"/>
    <w:semiHidden/>
    <w:unhideWhenUsed/>
    <w:rsid w:val="00E139CB"/>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223969"/>
    <w:rPr>
      <w:b/>
      <w:bCs/>
    </w:rPr>
  </w:style>
  <w:style w:type="character" w:customStyle="1" w:styleId="CommentSubjectChar">
    <w:name w:val="Comment Subject Char"/>
    <w:basedOn w:val="CommentTextChar"/>
    <w:link w:val="CommentSubject"/>
    <w:uiPriority w:val="99"/>
    <w:semiHidden/>
    <w:rsid w:val="00223969"/>
    <w:rPr>
      <w:rFonts w:ascii="Verdana" w:hAnsi="Verdana"/>
      <w:b/>
      <w:bCs/>
      <w:sz w:val="20"/>
      <w:szCs w:val="20"/>
    </w:rPr>
  </w:style>
  <w:style w:type="paragraph" w:styleId="FootnoteText">
    <w:name w:val="footnote text"/>
    <w:basedOn w:val="Normal"/>
    <w:link w:val="FootnoteTextChar"/>
    <w:uiPriority w:val="99"/>
    <w:semiHidden/>
    <w:unhideWhenUsed/>
    <w:rsid w:val="00340FFB"/>
    <w:pPr>
      <w:spacing w:after="0" w:line="240" w:lineRule="auto"/>
    </w:pPr>
    <w:rPr>
      <w:szCs w:val="20"/>
    </w:rPr>
  </w:style>
  <w:style w:type="character" w:customStyle="1" w:styleId="FootnoteTextChar">
    <w:name w:val="Footnote Text Char"/>
    <w:basedOn w:val="DefaultParagraphFont"/>
    <w:link w:val="FootnoteText"/>
    <w:uiPriority w:val="99"/>
    <w:semiHidden/>
    <w:rsid w:val="00340FFB"/>
    <w:rPr>
      <w:rFonts w:ascii="Verdana" w:hAnsi="Verdana"/>
      <w:sz w:val="20"/>
      <w:szCs w:val="20"/>
    </w:rPr>
  </w:style>
  <w:style w:type="character" w:styleId="FootnoteReference">
    <w:name w:val="footnote reference"/>
    <w:basedOn w:val="DefaultParagraphFont"/>
    <w:uiPriority w:val="99"/>
    <w:semiHidden/>
    <w:unhideWhenUsed/>
    <w:rsid w:val="00340FF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406"/>
    <w:pPr>
      <w:spacing w:after="80"/>
    </w:pPr>
    <w:rPr>
      <w:rFonts w:ascii="Verdana" w:hAnsi="Verdan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A55406"/>
    <w:pPr>
      <w:spacing w:line="240" w:lineRule="auto"/>
    </w:pPr>
    <w:rPr>
      <w:szCs w:val="20"/>
    </w:rPr>
  </w:style>
  <w:style w:type="character" w:customStyle="1" w:styleId="CommentTextChar">
    <w:name w:val="Comment Text Char"/>
    <w:basedOn w:val="DefaultParagraphFont"/>
    <w:link w:val="CommentText"/>
    <w:uiPriority w:val="99"/>
    <w:semiHidden/>
    <w:rsid w:val="00A55406"/>
    <w:rPr>
      <w:rFonts w:ascii="Verdana" w:hAnsi="Verdana"/>
      <w:sz w:val="20"/>
      <w:szCs w:val="20"/>
    </w:rPr>
  </w:style>
  <w:style w:type="paragraph" w:styleId="Caption">
    <w:name w:val="caption"/>
    <w:basedOn w:val="Normal"/>
    <w:next w:val="Normal"/>
    <w:uiPriority w:val="35"/>
    <w:semiHidden/>
    <w:unhideWhenUsed/>
    <w:qFormat/>
    <w:rsid w:val="00A55406"/>
    <w:pPr>
      <w:spacing w:after="200"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A55406"/>
    <w:rPr>
      <w:sz w:val="16"/>
      <w:szCs w:val="16"/>
    </w:rPr>
  </w:style>
  <w:style w:type="character" w:styleId="PlaceholderText">
    <w:name w:val="Placeholder Text"/>
    <w:basedOn w:val="DefaultParagraphFont"/>
    <w:uiPriority w:val="99"/>
    <w:semiHidden/>
    <w:rsid w:val="00A55406"/>
    <w:rPr>
      <w:color w:val="808080"/>
    </w:rPr>
  </w:style>
  <w:style w:type="table" w:styleId="TableGrid">
    <w:name w:val="Table Grid"/>
    <w:basedOn w:val="TableNormal"/>
    <w:uiPriority w:val="59"/>
    <w:rsid w:val="00A55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554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406"/>
    <w:rPr>
      <w:rFonts w:ascii="Tahoma" w:hAnsi="Tahoma" w:cs="Tahoma"/>
      <w:sz w:val="16"/>
      <w:szCs w:val="16"/>
    </w:rPr>
  </w:style>
  <w:style w:type="paragraph" w:styleId="NormalWeb">
    <w:name w:val="Normal (Web)"/>
    <w:basedOn w:val="Normal"/>
    <w:uiPriority w:val="99"/>
    <w:semiHidden/>
    <w:unhideWhenUsed/>
    <w:rsid w:val="00E139CB"/>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223969"/>
    <w:rPr>
      <w:b/>
      <w:bCs/>
    </w:rPr>
  </w:style>
  <w:style w:type="character" w:customStyle="1" w:styleId="CommentSubjectChar">
    <w:name w:val="Comment Subject Char"/>
    <w:basedOn w:val="CommentTextChar"/>
    <w:link w:val="CommentSubject"/>
    <w:uiPriority w:val="99"/>
    <w:semiHidden/>
    <w:rsid w:val="00223969"/>
    <w:rPr>
      <w:rFonts w:ascii="Verdana" w:hAnsi="Verdana"/>
      <w:b/>
      <w:bCs/>
      <w:sz w:val="20"/>
      <w:szCs w:val="20"/>
    </w:rPr>
  </w:style>
  <w:style w:type="paragraph" w:styleId="FootnoteText">
    <w:name w:val="footnote text"/>
    <w:basedOn w:val="Normal"/>
    <w:link w:val="FootnoteTextChar"/>
    <w:uiPriority w:val="99"/>
    <w:semiHidden/>
    <w:unhideWhenUsed/>
    <w:rsid w:val="00340FFB"/>
    <w:pPr>
      <w:spacing w:after="0" w:line="240" w:lineRule="auto"/>
    </w:pPr>
    <w:rPr>
      <w:szCs w:val="20"/>
    </w:rPr>
  </w:style>
  <w:style w:type="character" w:customStyle="1" w:styleId="FootnoteTextChar">
    <w:name w:val="Footnote Text Char"/>
    <w:basedOn w:val="DefaultParagraphFont"/>
    <w:link w:val="FootnoteText"/>
    <w:uiPriority w:val="99"/>
    <w:semiHidden/>
    <w:rsid w:val="00340FFB"/>
    <w:rPr>
      <w:rFonts w:ascii="Verdana" w:hAnsi="Verdana"/>
      <w:sz w:val="20"/>
      <w:szCs w:val="20"/>
    </w:rPr>
  </w:style>
  <w:style w:type="character" w:styleId="FootnoteReference">
    <w:name w:val="footnote reference"/>
    <w:basedOn w:val="DefaultParagraphFont"/>
    <w:uiPriority w:val="99"/>
    <w:semiHidden/>
    <w:unhideWhenUsed/>
    <w:rsid w:val="00340F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066794">
      <w:bodyDiv w:val="1"/>
      <w:marLeft w:val="0"/>
      <w:marRight w:val="0"/>
      <w:marTop w:val="0"/>
      <w:marBottom w:val="0"/>
      <w:divBdr>
        <w:top w:val="none" w:sz="0" w:space="0" w:color="auto"/>
        <w:left w:val="none" w:sz="0" w:space="0" w:color="auto"/>
        <w:bottom w:val="none" w:sz="0" w:space="0" w:color="auto"/>
        <w:right w:val="none" w:sz="0" w:space="0" w:color="auto"/>
      </w:divBdr>
    </w:div>
    <w:div w:id="303506174">
      <w:bodyDiv w:val="1"/>
      <w:marLeft w:val="0"/>
      <w:marRight w:val="0"/>
      <w:marTop w:val="0"/>
      <w:marBottom w:val="0"/>
      <w:divBdr>
        <w:top w:val="none" w:sz="0" w:space="0" w:color="auto"/>
        <w:left w:val="none" w:sz="0" w:space="0" w:color="auto"/>
        <w:bottom w:val="none" w:sz="0" w:space="0" w:color="auto"/>
        <w:right w:val="none" w:sz="0" w:space="0" w:color="auto"/>
      </w:divBdr>
    </w:div>
    <w:div w:id="338579529">
      <w:bodyDiv w:val="1"/>
      <w:marLeft w:val="0"/>
      <w:marRight w:val="0"/>
      <w:marTop w:val="0"/>
      <w:marBottom w:val="0"/>
      <w:divBdr>
        <w:top w:val="none" w:sz="0" w:space="0" w:color="auto"/>
        <w:left w:val="none" w:sz="0" w:space="0" w:color="auto"/>
        <w:bottom w:val="none" w:sz="0" w:space="0" w:color="auto"/>
        <w:right w:val="none" w:sz="0" w:space="0" w:color="auto"/>
      </w:divBdr>
    </w:div>
    <w:div w:id="1031371797">
      <w:bodyDiv w:val="1"/>
      <w:marLeft w:val="0"/>
      <w:marRight w:val="0"/>
      <w:marTop w:val="0"/>
      <w:marBottom w:val="0"/>
      <w:divBdr>
        <w:top w:val="none" w:sz="0" w:space="0" w:color="auto"/>
        <w:left w:val="none" w:sz="0" w:space="0" w:color="auto"/>
        <w:bottom w:val="none" w:sz="0" w:space="0" w:color="auto"/>
        <w:right w:val="none" w:sz="0" w:space="0" w:color="auto"/>
      </w:divBdr>
    </w:div>
    <w:div w:id="1073088674">
      <w:bodyDiv w:val="1"/>
      <w:marLeft w:val="0"/>
      <w:marRight w:val="0"/>
      <w:marTop w:val="0"/>
      <w:marBottom w:val="0"/>
      <w:divBdr>
        <w:top w:val="none" w:sz="0" w:space="0" w:color="auto"/>
        <w:left w:val="none" w:sz="0" w:space="0" w:color="auto"/>
        <w:bottom w:val="none" w:sz="0" w:space="0" w:color="auto"/>
        <w:right w:val="none" w:sz="0" w:space="0" w:color="auto"/>
      </w:divBdr>
    </w:div>
    <w:div w:id="1091197179">
      <w:bodyDiv w:val="1"/>
      <w:marLeft w:val="0"/>
      <w:marRight w:val="0"/>
      <w:marTop w:val="0"/>
      <w:marBottom w:val="0"/>
      <w:divBdr>
        <w:top w:val="none" w:sz="0" w:space="0" w:color="auto"/>
        <w:left w:val="none" w:sz="0" w:space="0" w:color="auto"/>
        <w:bottom w:val="none" w:sz="0" w:space="0" w:color="auto"/>
        <w:right w:val="none" w:sz="0" w:space="0" w:color="auto"/>
      </w:divBdr>
    </w:div>
    <w:div w:id="1598253018">
      <w:bodyDiv w:val="1"/>
      <w:marLeft w:val="0"/>
      <w:marRight w:val="0"/>
      <w:marTop w:val="0"/>
      <w:marBottom w:val="0"/>
      <w:divBdr>
        <w:top w:val="none" w:sz="0" w:space="0" w:color="auto"/>
        <w:left w:val="none" w:sz="0" w:space="0" w:color="auto"/>
        <w:bottom w:val="none" w:sz="0" w:space="0" w:color="auto"/>
        <w:right w:val="none" w:sz="0" w:space="0" w:color="auto"/>
      </w:divBdr>
    </w:div>
    <w:div w:id="1663313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53AA6285DF74019B9FFB5D64CC454FF"/>
        <w:category>
          <w:name w:val="General"/>
          <w:gallery w:val="placeholder"/>
        </w:category>
        <w:types>
          <w:type w:val="bbPlcHdr"/>
        </w:types>
        <w:behaviors>
          <w:behavior w:val="content"/>
        </w:behaviors>
        <w:guid w:val="{2B0979F6-C405-4395-98F5-EB9EDCC0EC0D}"/>
      </w:docPartPr>
      <w:docPartBody>
        <w:p w14:paraId="08713189" w14:textId="77777777" w:rsidR="005459A4" w:rsidRDefault="00F54488" w:rsidP="00F54488">
          <w:pPr>
            <w:pStyle w:val="F53AA6285DF74019B9FFB5D64CC454FF"/>
          </w:pPr>
          <w:r>
            <w:rPr>
              <w:rStyle w:val="PlaceholderText"/>
            </w:rPr>
            <w:t>Use address from Purchase and Sale Agreement (PSA)</w:t>
          </w:r>
        </w:p>
      </w:docPartBody>
    </w:docPart>
    <w:docPart>
      <w:docPartPr>
        <w:name w:val="2E1E65E171884FD3AD3DE3F25C3F6CEF"/>
        <w:category>
          <w:name w:val="General"/>
          <w:gallery w:val="placeholder"/>
        </w:category>
        <w:types>
          <w:type w:val="bbPlcHdr"/>
        </w:types>
        <w:behaviors>
          <w:behavior w:val="content"/>
        </w:behaviors>
        <w:guid w:val="{028C6DCE-D0AF-4CB9-9DDB-626EC09B2146}"/>
      </w:docPartPr>
      <w:docPartBody>
        <w:p w14:paraId="0871318A" w14:textId="77777777" w:rsidR="005459A4" w:rsidRDefault="00F54488" w:rsidP="00F54488">
          <w:pPr>
            <w:pStyle w:val="2E1E65E171884FD3AD3DE3F25C3F6CEF"/>
          </w:pPr>
          <w:r>
            <w:rPr>
              <w:rStyle w:val="PlaceholderText"/>
            </w:rPr>
            <w:t>Use Assessor’s website</w:t>
          </w:r>
        </w:p>
      </w:docPartBody>
    </w:docPart>
    <w:docPart>
      <w:docPartPr>
        <w:name w:val="BF7DE961F5A643249B13738602C92AD4"/>
        <w:category>
          <w:name w:val="General"/>
          <w:gallery w:val="placeholder"/>
        </w:category>
        <w:types>
          <w:type w:val="bbPlcHdr"/>
        </w:types>
        <w:behaviors>
          <w:behavior w:val="content"/>
        </w:behaviors>
        <w:guid w:val="{91D03664-B421-4BB1-B4A1-9C553077AC9D}"/>
      </w:docPartPr>
      <w:docPartBody>
        <w:p w14:paraId="0871318B" w14:textId="77777777" w:rsidR="005459A4" w:rsidRDefault="00F54488" w:rsidP="00F54488">
          <w:pPr>
            <w:pStyle w:val="BF7DE961F5A643249B13738602C92AD4"/>
          </w:pPr>
          <w:r>
            <w:rPr>
              <w:color w:val="808080" w:themeColor="background1" w:themeShade="80"/>
              <w:szCs w:val="20"/>
            </w:rPr>
            <w:t>Use Assessor’s website with council website</w:t>
          </w:r>
        </w:p>
      </w:docPartBody>
    </w:docPart>
    <w:docPart>
      <w:docPartPr>
        <w:name w:val="3021A4D81D3045489DB1D90171F09974"/>
        <w:category>
          <w:name w:val="General"/>
          <w:gallery w:val="placeholder"/>
        </w:category>
        <w:types>
          <w:type w:val="bbPlcHdr"/>
        </w:types>
        <w:behaviors>
          <w:behavior w:val="content"/>
        </w:behaviors>
        <w:guid w:val="{4A3FD52F-C20C-454E-9D78-C7E3E2D6AE28}"/>
      </w:docPartPr>
      <w:docPartBody>
        <w:p w14:paraId="0871318C" w14:textId="77777777" w:rsidR="005459A4" w:rsidRDefault="00F54488" w:rsidP="00F54488">
          <w:pPr>
            <w:pStyle w:val="3021A4D81D3045489DB1D90171F09974"/>
          </w:pPr>
          <w:r>
            <w:rPr>
              <w:rStyle w:val="PlaceholderText"/>
            </w:rPr>
            <w:t>Assessor website with council website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Antiqua">
    <w:panose1 w:val="00000000000000000000"/>
    <w:charset w:val="00"/>
    <w:family w:val="roman"/>
    <w:notTrueType/>
    <w:pitch w:val="default"/>
    <w:sig w:usb0="00000003" w:usb1="00000000" w:usb2="00000000" w:usb3="00000000" w:csb0="00000001" w:csb1="00000000"/>
  </w:font>
  <w:font w:name="BookAntiqua-BoldItalic">
    <w:panose1 w:val="00000000000000000000"/>
    <w:charset w:val="00"/>
    <w:family w:val="roman"/>
    <w:notTrueType/>
    <w:pitch w:val="default"/>
    <w:sig w:usb0="00000003" w:usb1="00000000" w:usb2="00000000" w:usb3="00000000" w:csb0="00000001" w:csb1="00000000"/>
  </w:font>
  <w:font w:name="BookAntiqua-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F54488"/>
    <w:rsid w:val="00011EB2"/>
    <w:rsid w:val="00330801"/>
    <w:rsid w:val="005459A4"/>
    <w:rsid w:val="0059165F"/>
    <w:rsid w:val="007942A5"/>
    <w:rsid w:val="00DD5AA9"/>
    <w:rsid w:val="00EA3312"/>
    <w:rsid w:val="00F544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713189"/>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165F"/>
  </w:style>
  <w:style w:type="paragraph" w:customStyle="1" w:styleId="F53AA6285DF74019B9FFB5D64CC454FF">
    <w:name w:val="F53AA6285DF74019B9FFB5D64CC454FF"/>
    <w:rsid w:val="00F54488"/>
  </w:style>
  <w:style w:type="paragraph" w:customStyle="1" w:styleId="E453820E9458479AAF24F231E99E6FCE">
    <w:name w:val="E453820E9458479AAF24F231E99E6FCE"/>
    <w:rsid w:val="00F54488"/>
  </w:style>
  <w:style w:type="paragraph" w:customStyle="1" w:styleId="9C46CEDFFB3D4A9882FAC7095E50894B">
    <w:name w:val="9C46CEDFFB3D4A9882FAC7095E50894B"/>
    <w:rsid w:val="00F54488"/>
  </w:style>
  <w:style w:type="paragraph" w:customStyle="1" w:styleId="2E1E65E171884FD3AD3DE3F25C3F6CEF">
    <w:name w:val="2E1E65E171884FD3AD3DE3F25C3F6CEF"/>
    <w:rsid w:val="00F54488"/>
  </w:style>
  <w:style w:type="paragraph" w:customStyle="1" w:styleId="BF7DE961F5A643249B13738602C92AD4">
    <w:name w:val="BF7DE961F5A643249B13738602C92AD4"/>
    <w:rsid w:val="00F54488"/>
  </w:style>
  <w:style w:type="paragraph" w:customStyle="1" w:styleId="3021A4D81D3045489DB1D90171F09974">
    <w:name w:val="3021A4D81D3045489DB1D90171F09974"/>
    <w:rsid w:val="00F54488"/>
  </w:style>
  <w:style w:type="paragraph" w:customStyle="1" w:styleId="73D506C01A9C4597ABF1A8F4FE9744F9">
    <w:name w:val="73D506C01A9C4597ABF1A8F4FE9744F9"/>
    <w:rsid w:val="00F54488"/>
  </w:style>
  <w:style w:type="paragraph" w:customStyle="1" w:styleId="E68C9FA768224B7BB3C369DD29F7505B">
    <w:name w:val="E68C9FA768224B7BB3C369DD29F7505B"/>
    <w:rsid w:val="00F54488"/>
  </w:style>
  <w:style w:type="paragraph" w:customStyle="1" w:styleId="1F57F4C54AE3435E995E316BBDE4EB1B">
    <w:name w:val="1F57F4C54AE3435E995E316BBDE4EB1B"/>
    <w:rsid w:val="00F54488"/>
  </w:style>
  <w:style w:type="paragraph" w:customStyle="1" w:styleId="9EB4417599C14DDA90DBDD7662D20117">
    <w:name w:val="9EB4417599C14DDA90DBDD7662D20117"/>
    <w:rsid w:val="00F54488"/>
  </w:style>
  <w:style w:type="paragraph" w:customStyle="1" w:styleId="D219E4F9CDB14D72A50EBE383914F995">
    <w:name w:val="D219E4F9CDB14D72A50EBE383914F995"/>
    <w:rsid w:val="00F54488"/>
  </w:style>
  <w:style w:type="paragraph" w:customStyle="1" w:styleId="5C8C0257D5BF4EEEBBA9902668C3F3D8">
    <w:name w:val="5C8C0257D5BF4EEEBBA9902668C3F3D8"/>
    <w:rsid w:val="00F54488"/>
  </w:style>
  <w:style w:type="paragraph" w:customStyle="1" w:styleId="A05B273EB1E4487CB50B8739FC9F9F5A">
    <w:name w:val="A05B273EB1E4487CB50B8739FC9F9F5A"/>
    <w:rsid w:val="00F54488"/>
  </w:style>
  <w:style w:type="paragraph" w:customStyle="1" w:styleId="9AC5654471D844F797B982812F7CCA09">
    <w:name w:val="9AC5654471D844F797B982812F7CCA09"/>
    <w:rsid w:val="00F54488"/>
  </w:style>
  <w:style w:type="paragraph" w:customStyle="1" w:styleId="E6ACE4C528744F4C8F70B428189D83BD">
    <w:name w:val="E6ACE4C528744F4C8F70B428189D83BD"/>
    <w:rsid w:val="00F54488"/>
  </w:style>
  <w:style w:type="paragraph" w:customStyle="1" w:styleId="F1C202CC68574F30A86B4AB6CF38A899">
    <w:name w:val="F1C202CC68574F30A86B4AB6CF38A899"/>
    <w:rsid w:val="00F54488"/>
  </w:style>
  <w:style w:type="paragraph" w:customStyle="1" w:styleId="E28628B42E2946B393D276B45C0671F8">
    <w:name w:val="E28628B42E2946B393D276B45C0671F8"/>
    <w:rsid w:val="00F54488"/>
  </w:style>
  <w:style w:type="paragraph" w:customStyle="1" w:styleId="0A4D8211438547D598F622D1D3BB6F40">
    <w:name w:val="0A4D8211438547D598F622D1D3BB6F40"/>
    <w:rsid w:val="00F54488"/>
  </w:style>
  <w:style w:type="paragraph" w:customStyle="1" w:styleId="16BD5FDCD169478E92EFC9BC817E4674">
    <w:name w:val="16BD5FDCD169478E92EFC9BC817E4674"/>
    <w:rsid w:val="00F54488"/>
  </w:style>
  <w:style w:type="paragraph" w:customStyle="1" w:styleId="C517C9CBB2D64B00BDCA91006FA3CB7F">
    <w:name w:val="C517C9CBB2D64B00BDCA91006FA3CB7F"/>
    <w:rsid w:val="00F54488"/>
  </w:style>
  <w:style w:type="paragraph" w:customStyle="1" w:styleId="520F18AAD16F4C5CA8F8C6060934E8ED">
    <w:name w:val="520F18AAD16F4C5CA8F8C6060934E8ED"/>
    <w:rsid w:val="00F54488"/>
  </w:style>
  <w:style w:type="paragraph" w:customStyle="1" w:styleId="42D89BC8CFF744BE93D4D9B4A9C8074D">
    <w:name w:val="42D89BC8CFF744BE93D4D9B4A9C8074D"/>
    <w:rsid w:val="00F54488"/>
  </w:style>
  <w:style w:type="paragraph" w:customStyle="1" w:styleId="3467125621DB40D694631C09BDF315E6">
    <w:name w:val="3467125621DB40D694631C09BDF315E6"/>
    <w:rsid w:val="00F54488"/>
  </w:style>
  <w:style w:type="paragraph" w:customStyle="1" w:styleId="EE31DCC3F55B4E12887E295D2BCE29F0">
    <w:name w:val="EE31DCC3F55B4E12887E295D2BCE29F0"/>
    <w:rsid w:val="00F54488"/>
  </w:style>
  <w:style w:type="paragraph" w:customStyle="1" w:styleId="725E480FD12C4B228BD8704F50C51C3B">
    <w:name w:val="725E480FD12C4B228BD8704F50C51C3B"/>
    <w:rsid w:val="005459A4"/>
  </w:style>
  <w:style w:type="paragraph" w:customStyle="1" w:styleId="4EA29D0557324C6BBEE3643EB240343E">
    <w:name w:val="4EA29D0557324C6BBEE3643EB240343E"/>
    <w:rsid w:val="0059165F"/>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oposed_x002f_Passed_x0020__x0023__x003a_ xmlns="308dc21f-8940-46b7-9ee9-f86b439897b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Reviewer Log" ma:contentTypeID="0x010100D03C1FEDB24A304B88B22491CFC09769007BCB61E4A4E32649B1237591E6F177C2" ma:contentTypeVersion="10" ma:contentTypeDescription="" ma:contentTypeScope="" ma:versionID="48a7790f0f2f77bfe50483962329ac18">
  <xsd:schema xmlns:xsd="http://www.w3.org/2001/XMLSchema" xmlns:xs="http://www.w3.org/2001/XMLSchema" xmlns:p="http://schemas.microsoft.com/office/2006/metadata/properties" xmlns:ns2="308dc21f-8940-46b7-9ee9-f86b439897b1" xmlns:ns3="cc811197-5a73-4d86-a206-c117da05ddaa" targetNamespace="http://schemas.microsoft.com/office/2006/metadata/properties" ma:root="true" ma:fieldsID="49d6a9d76b1d75e79f40e45d3653b6ad" ns2:_="" ns3:_="">
    <xsd:import namespace="308dc21f-8940-46b7-9ee9-f86b439897b1"/>
    <xsd:import namespace="cc811197-5a73-4d86-a206-c117da05ddaa"/>
    <xsd:element name="properties">
      <xsd:complexType>
        <xsd:sequence>
          <xsd:element name="documentManagement">
            <xsd:complexType>
              <xsd:all>
                <xsd:element ref="ns2:Proposed_x002f_Passed_x0020__x0023__x003a_" minOccurs="0"/>
                <xsd:element ref="ns3:SharedWithUsers" minOccurs="0"/>
                <xsd:element ref="ns3: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8dc21f-8940-46b7-9ee9-f86b439897b1" elementFormDefault="qualified">
    <xsd:import namespace="http://schemas.microsoft.com/office/2006/documentManagement/types"/>
    <xsd:import namespace="http://schemas.microsoft.com/office/infopath/2007/PartnerControls"/>
    <xsd:element name="Proposed_x002f_Passed_x0020__x0023__x003a_" ma:index="8" nillable="true" ma:displayName="Proposed/Passed #:" ma:internalName="Proposed_x002f_Passed_x0020__x0023__x003a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811197-5a73-4d86-a206-c117da05ddaa"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internalName="SharingHintHash" ma:readOnly="true">
      <xsd:simpleType>
        <xsd:restriction base="dms:Text"/>
      </xsd:simple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Inf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871A6-65E2-4DFA-9365-3E1FF1C04CE1}">
  <ds:schemaRefs>
    <ds:schemaRef ds:uri="http://www.w3.org/XML/1998/namespace"/>
    <ds:schemaRef ds:uri="http://schemas.microsoft.com/office/2006/documentManagement/types"/>
    <ds:schemaRef ds:uri="http://schemas.microsoft.com/office/2006/metadata/properties"/>
    <ds:schemaRef ds:uri="http://purl.org/dc/dcmitype/"/>
    <ds:schemaRef ds:uri="http://schemas.openxmlformats.org/package/2006/metadata/core-properties"/>
    <ds:schemaRef ds:uri="http://purl.org/dc/terms/"/>
    <ds:schemaRef ds:uri="cc811197-5a73-4d86-a206-c117da05ddaa"/>
    <ds:schemaRef ds:uri="http://schemas.microsoft.com/office/infopath/2007/PartnerControls"/>
    <ds:schemaRef ds:uri="308dc21f-8940-46b7-9ee9-f86b439897b1"/>
    <ds:schemaRef ds:uri="http://purl.org/dc/elements/1.1/"/>
  </ds:schemaRefs>
</ds:datastoreItem>
</file>

<file path=customXml/itemProps2.xml><?xml version="1.0" encoding="utf-8"?>
<ds:datastoreItem xmlns:ds="http://schemas.openxmlformats.org/officeDocument/2006/customXml" ds:itemID="{0CA8821A-178C-4CA6-B4E6-5576C571A4DF}">
  <ds:schemaRefs>
    <ds:schemaRef ds:uri="http://schemas.microsoft.com/sharepoint/v3/contenttype/forms"/>
  </ds:schemaRefs>
</ds:datastoreItem>
</file>

<file path=customXml/itemProps3.xml><?xml version="1.0" encoding="utf-8"?>
<ds:datastoreItem xmlns:ds="http://schemas.openxmlformats.org/officeDocument/2006/customXml" ds:itemID="{C8C87669-8BA4-45EF-B4F9-5AAE83A7F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8dc21f-8940-46b7-9ee9-f86b439897b1"/>
    <ds:schemaRef ds:uri="cc811197-5a73-4d86-a206-c117da05dd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9B8C0A-ECF2-4EF2-8BF9-2D99F0942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1483</Words>
  <Characters>8456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property summary</vt:lpstr>
    </vt:vector>
  </TitlesOfParts>
  <Company>King County</Company>
  <LinksUpToDate>false</LinksUpToDate>
  <CharactersWithSpaces>9920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property summary</dc:title>
  <dc:creator>Way, Nicole</dc:creator>
  <cp:lastModifiedBy>Kelly, Ayesha</cp:lastModifiedBy>
  <cp:revision>2</cp:revision>
  <cp:lastPrinted>2017-04-21T23:57:00Z</cp:lastPrinted>
  <dcterms:created xsi:type="dcterms:W3CDTF">2017-06-22T20:21:00Z</dcterms:created>
  <dcterms:modified xsi:type="dcterms:W3CDTF">2017-06-22T20:21:00Z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0x010100D03C1FEDB24A304B88B22491CFC09769007BCB61E4A4E32649B1237591E6F177C2</vt:lpwstr>
  </property>
  <property fmtid="{D5CDD505-2E9C-101B-9397-08002B2CF9AE}" pid="3" name="_dlc_DocIdItemGuid">
    <vt:lpwstr>643ba463-76bb-47e8-8f12-61d03e37fe68</vt:lpwstr>
  </property>
  <property fmtid="{D5CDD505-2E9C-101B-9397-08002B2CF9AE}" pid="4" name="TaxKeyword">
    <vt:lpwstr/>
  </property>
</Properties>
</file>