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63" w:rsidRPr="00A46A5D" w:rsidRDefault="00140E63" w:rsidP="00140E63">
      <w:pPr>
        <w:pStyle w:val="Heading2"/>
        <w:rPr>
          <w:b w:val="0"/>
          <w:sz w:val="24"/>
          <w:u w:val="none"/>
        </w:rPr>
      </w:pPr>
    </w:p>
    <w:p w:rsidR="00140E63" w:rsidRPr="00F71F8C" w:rsidRDefault="00140E63" w:rsidP="00140E63">
      <w:pPr>
        <w:pStyle w:val="Heading2"/>
        <w:rPr>
          <w:rFonts w:ascii="Arial" w:hAnsi="Arial" w:cs="Arial"/>
          <w:sz w:val="24"/>
        </w:rPr>
      </w:pPr>
      <w:r w:rsidRPr="00F71F8C">
        <w:rPr>
          <w:rFonts w:ascii="Arial" w:hAnsi="Arial" w:cs="Arial"/>
          <w:sz w:val="24"/>
        </w:rPr>
        <w:t>STAFF REPORT</w:t>
      </w:r>
    </w:p>
    <w:p w:rsidR="00140E63" w:rsidRPr="00F3508D" w:rsidRDefault="00140E63" w:rsidP="00140E6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140E63" w:rsidRPr="009349D6" w:rsidTr="007A2A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140E63" w:rsidRPr="009349D6" w:rsidRDefault="00140E63" w:rsidP="007A2A1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140E63" w:rsidRPr="009349D6" w:rsidRDefault="009A298D" w:rsidP="007A2A1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rsidR="00140E63" w:rsidRPr="009349D6" w:rsidRDefault="00140E63" w:rsidP="007A2A1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140E63" w:rsidRPr="009349D6" w:rsidRDefault="00140E63" w:rsidP="007A2A16">
            <w:pPr>
              <w:spacing w:before="40" w:after="40"/>
              <w:rPr>
                <w:rFonts w:ascii="Arial" w:hAnsi="Arial" w:cs="Arial"/>
              </w:rPr>
            </w:pPr>
            <w:r>
              <w:rPr>
                <w:rFonts w:ascii="Arial" w:hAnsi="Arial" w:cs="Arial"/>
              </w:rPr>
              <w:t>Mike Reed</w:t>
            </w:r>
          </w:p>
        </w:tc>
      </w:tr>
      <w:tr w:rsidR="00140E63" w:rsidRPr="009349D6" w:rsidTr="007A2A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140E63" w:rsidRPr="009349D6" w:rsidRDefault="00140E63" w:rsidP="007A2A1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140E63" w:rsidRPr="009349D6" w:rsidRDefault="00140E63" w:rsidP="007A2A16">
            <w:pPr>
              <w:spacing w:before="40" w:after="40"/>
              <w:rPr>
                <w:rFonts w:ascii="Arial" w:hAnsi="Arial" w:cs="Arial"/>
              </w:rPr>
            </w:pPr>
            <w:r>
              <w:rPr>
                <w:rFonts w:ascii="Arial" w:hAnsi="Arial" w:cs="Arial"/>
              </w:rPr>
              <w:t>2017-0188</w:t>
            </w:r>
          </w:p>
        </w:tc>
        <w:tc>
          <w:tcPr>
            <w:tcW w:w="1170" w:type="dxa"/>
            <w:tcBorders>
              <w:top w:val="single" w:sz="4" w:space="0" w:color="auto"/>
              <w:left w:val="single" w:sz="4" w:space="0" w:color="auto"/>
              <w:bottom w:val="single" w:sz="4" w:space="0" w:color="auto"/>
              <w:right w:val="single" w:sz="4" w:space="0" w:color="auto"/>
            </w:tcBorders>
            <w:vAlign w:val="center"/>
          </w:tcPr>
          <w:p w:rsidR="00140E63" w:rsidRPr="009349D6" w:rsidRDefault="00140E63" w:rsidP="007A2A1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140E63" w:rsidRPr="009349D6" w:rsidRDefault="00140E63" w:rsidP="007A2A16">
            <w:pPr>
              <w:spacing w:before="40" w:after="40"/>
              <w:rPr>
                <w:rFonts w:ascii="Arial" w:hAnsi="Arial" w:cs="Arial"/>
              </w:rPr>
            </w:pPr>
            <w:r>
              <w:rPr>
                <w:rFonts w:ascii="Arial" w:hAnsi="Arial" w:cs="Arial"/>
              </w:rPr>
              <w:t>May 24, 2017</w:t>
            </w:r>
          </w:p>
        </w:tc>
      </w:tr>
    </w:tbl>
    <w:p w:rsidR="00140E63" w:rsidRPr="009864F8" w:rsidRDefault="00140E63" w:rsidP="00140E63">
      <w:pPr>
        <w:rPr>
          <w:rFonts w:ascii="Arial" w:hAnsi="Arial" w:cs="Arial"/>
          <w:b/>
          <w:smallCaps/>
          <w:szCs w:val="24"/>
          <w:u w:val="single"/>
        </w:rPr>
      </w:pPr>
    </w:p>
    <w:p w:rsidR="00140E63" w:rsidRDefault="00140E63" w:rsidP="0014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rPr>
      </w:pPr>
      <w:r w:rsidRPr="00046D57">
        <w:rPr>
          <w:rFonts w:ascii="Arial" w:hAnsi="Arial" w:cs="Arial"/>
          <w:b/>
          <w:u w:val="single"/>
        </w:rPr>
        <w:t>SUBJECT</w:t>
      </w:r>
      <w:r w:rsidRPr="00046D57">
        <w:rPr>
          <w:rFonts w:ascii="Arial" w:hAnsi="Arial" w:cs="Arial"/>
          <w:b/>
        </w:rPr>
        <w:t>:</w:t>
      </w:r>
      <w:r>
        <w:rPr>
          <w:rFonts w:ascii="Arial" w:hAnsi="Arial" w:cs="Arial"/>
          <w:b/>
        </w:rPr>
        <w:t xml:space="preserve">  </w:t>
      </w:r>
    </w:p>
    <w:p w:rsidR="00140E63" w:rsidRDefault="00140E63" w:rsidP="0014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p>
    <w:p w:rsidR="00140E63" w:rsidRPr="00046D57" w:rsidRDefault="00140E63" w:rsidP="0014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Pr>
          <w:rFonts w:ascii="Arial" w:hAnsi="Arial" w:cs="Arial"/>
        </w:rPr>
        <w:t xml:space="preserve">Proposed Ordinance 2017-0188 would set </w:t>
      </w:r>
      <w:r w:rsidRPr="00046D57">
        <w:rPr>
          <w:rFonts w:ascii="Arial" w:hAnsi="Arial" w:cs="Arial"/>
        </w:rPr>
        <w:t xml:space="preserve">the sewer rate and capacity charge for </w:t>
      </w:r>
      <w:r>
        <w:rPr>
          <w:rFonts w:ascii="Arial" w:hAnsi="Arial" w:cs="Arial"/>
        </w:rPr>
        <w:t>2018.</w:t>
      </w:r>
    </w:p>
    <w:p w:rsidR="00140E63" w:rsidRPr="00046D57" w:rsidRDefault="00140E63" w:rsidP="00140E63">
      <w:pPr>
        <w:pStyle w:val="Courier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p>
    <w:p w:rsidR="00140E63" w:rsidRDefault="00140E63" w:rsidP="00140E63">
      <w:pPr>
        <w:jc w:val="both"/>
        <w:rPr>
          <w:rFonts w:ascii="Arial" w:hAnsi="Arial" w:cs="Arial"/>
        </w:rPr>
      </w:pPr>
      <w:r w:rsidRPr="00046D57">
        <w:rPr>
          <w:rFonts w:ascii="Arial" w:hAnsi="Arial" w:cs="Arial"/>
          <w:b/>
          <w:u w:val="single"/>
        </w:rPr>
        <w:t>SUMMARY</w:t>
      </w:r>
      <w:r w:rsidRPr="00046D57">
        <w:rPr>
          <w:rFonts w:ascii="Arial" w:hAnsi="Arial" w:cs="Arial"/>
          <w:b/>
        </w:rPr>
        <w:t>:</w:t>
      </w:r>
      <w:r w:rsidRPr="00046D57">
        <w:rPr>
          <w:rFonts w:ascii="Arial" w:hAnsi="Arial" w:cs="Arial"/>
        </w:rPr>
        <w:t xml:space="preserve">  </w:t>
      </w:r>
    </w:p>
    <w:p w:rsidR="00140E63" w:rsidRDefault="00140E63" w:rsidP="00140E63">
      <w:pPr>
        <w:jc w:val="both"/>
        <w:rPr>
          <w:rFonts w:ascii="Arial" w:hAnsi="Arial" w:cs="Arial"/>
        </w:rPr>
      </w:pPr>
    </w:p>
    <w:p w:rsidR="00140E63" w:rsidRPr="00046D57" w:rsidRDefault="00140E63" w:rsidP="00140E63">
      <w:pPr>
        <w:jc w:val="both"/>
        <w:rPr>
          <w:rFonts w:ascii="Arial" w:hAnsi="Arial" w:cs="Arial"/>
        </w:rPr>
      </w:pPr>
      <w:r>
        <w:rPr>
          <w:rFonts w:ascii="Arial" w:hAnsi="Arial" w:cs="Arial"/>
        </w:rPr>
        <w:t>King County's sewer rates are set for the following year by June 30 of each year, pursuant to the county’s contract</w:t>
      </w:r>
      <w:r w:rsidR="00C31647">
        <w:rPr>
          <w:rFonts w:ascii="Arial" w:hAnsi="Arial" w:cs="Arial"/>
        </w:rPr>
        <w:t xml:space="preserve"> with participating utilities.  </w:t>
      </w:r>
      <w:r>
        <w:rPr>
          <w:rFonts w:ascii="Arial" w:hAnsi="Arial" w:cs="Arial"/>
        </w:rPr>
        <w:t>Proposed O</w:t>
      </w:r>
      <w:r w:rsidRPr="00046D57">
        <w:rPr>
          <w:rFonts w:ascii="Arial" w:hAnsi="Arial" w:cs="Arial"/>
        </w:rPr>
        <w:t>rdinance</w:t>
      </w:r>
      <w:r>
        <w:rPr>
          <w:rFonts w:ascii="Arial" w:hAnsi="Arial" w:cs="Arial"/>
        </w:rPr>
        <w:t xml:space="preserve"> 2017-0188</w:t>
      </w:r>
      <w:r w:rsidRPr="00046D57">
        <w:rPr>
          <w:rFonts w:ascii="Arial" w:hAnsi="Arial" w:cs="Arial"/>
        </w:rPr>
        <w:t xml:space="preserve"> would:</w:t>
      </w:r>
    </w:p>
    <w:p w:rsidR="00140E63" w:rsidRPr="00046D57" w:rsidRDefault="00140E63" w:rsidP="00140E63">
      <w:pPr>
        <w:jc w:val="both"/>
        <w:rPr>
          <w:rFonts w:ascii="Arial" w:hAnsi="Arial" w:cs="Arial"/>
        </w:rPr>
      </w:pPr>
    </w:p>
    <w:p w:rsidR="00140E63" w:rsidRPr="00A7535F" w:rsidRDefault="00140E63" w:rsidP="00140E63">
      <w:pPr>
        <w:numPr>
          <w:ilvl w:val="0"/>
          <w:numId w:val="2"/>
        </w:numPr>
        <w:jc w:val="both"/>
        <w:rPr>
          <w:rFonts w:ascii="Arial" w:hAnsi="Arial" w:cs="Arial"/>
        </w:rPr>
      </w:pPr>
      <w:r>
        <w:rPr>
          <w:rFonts w:ascii="Arial" w:hAnsi="Arial" w:cs="Arial"/>
        </w:rPr>
        <w:t xml:space="preserve">Retain the </w:t>
      </w:r>
      <w:r w:rsidRPr="00A7535F">
        <w:rPr>
          <w:rFonts w:ascii="Arial" w:hAnsi="Arial" w:cs="Arial"/>
          <w:b/>
        </w:rPr>
        <w:t>monthly sewer rate at $</w:t>
      </w:r>
      <w:r>
        <w:rPr>
          <w:rFonts w:ascii="Arial" w:hAnsi="Arial" w:cs="Arial"/>
          <w:b/>
        </w:rPr>
        <w:t>44.22</w:t>
      </w:r>
      <w:r w:rsidRPr="00A7535F">
        <w:rPr>
          <w:rFonts w:ascii="Arial" w:hAnsi="Arial" w:cs="Arial"/>
        </w:rPr>
        <w:t xml:space="preserve"> </w:t>
      </w:r>
      <w:r>
        <w:rPr>
          <w:rFonts w:ascii="Arial" w:hAnsi="Arial" w:cs="Arial"/>
        </w:rPr>
        <w:t xml:space="preserve">for 2018 </w:t>
      </w:r>
      <w:r w:rsidRPr="00A7535F">
        <w:rPr>
          <w:rFonts w:ascii="Arial" w:hAnsi="Arial" w:cs="Arial"/>
        </w:rPr>
        <w:t>per residential customer equi</w:t>
      </w:r>
      <w:r>
        <w:rPr>
          <w:rFonts w:ascii="Arial" w:hAnsi="Arial" w:cs="Arial"/>
        </w:rPr>
        <w:t>valent (RCE) per month, which is the same as the approved 2017 rate.</w:t>
      </w:r>
    </w:p>
    <w:p w:rsidR="00140E63" w:rsidRDefault="00140E63" w:rsidP="00140E63">
      <w:pPr>
        <w:numPr>
          <w:ilvl w:val="0"/>
          <w:numId w:val="2"/>
        </w:numPr>
        <w:jc w:val="both"/>
        <w:rPr>
          <w:rFonts w:ascii="Arial" w:hAnsi="Arial" w:cs="Arial"/>
        </w:rPr>
      </w:pPr>
      <w:r w:rsidRPr="00A7535F">
        <w:rPr>
          <w:rFonts w:ascii="Arial" w:hAnsi="Arial" w:cs="Arial"/>
        </w:rPr>
        <w:t xml:space="preserve">Set the </w:t>
      </w:r>
      <w:r w:rsidRPr="00A7535F">
        <w:rPr>
          <w:rFonts w:ascii="Arial" w:hAnsi="Arial" w:cs="Arial"/>
          <w:b/>
        </w:rPr>
        <w:t>monthly capacity charge</w:t>
      </w:r>
      <w:r w:rsidRPr="00A7535F">
        <w:rPr>
          <w:rFonts w:ascii="Arial" w:hAnsi="Arial" w:cs="Arial"/>
        </w:rPr>
        <w:t xml:space="preserve"> for new connections to the regional system occurring in 201</w:t>
      </w:r>
      <w:r>
        <w:rPr>
          <w:rFonts w:ascii="Arial" w:hAnsi="Arial" w:cs="Arial"/>
        </w:rPr>
        <w:t>8</w:t>
      </w:r>
      <w:r w:rsidRPr="00A7535F">
        <w:rPr>
          <w:rFonts w:ascii="Arial" w:hAnsi="Arial" w:cs="Arial"/>
        </w:rPr>
        <w:t xml:space="preserve"> </w:t>
      </w:r>
      <w:r w:rsidRPr="002B00F4">
        <w:rPr>
          <w:rFonts w:ascii="Arial" w:hAnsi="Arial" w:cs="Arial"/>
        </w:rPr>
        <w:t xml:space="preserve">at </w:t>
      </w:r>
      <w:r>
        <w:rPr>
          <w:rFonts w:ascii="Arial" w:hAnsi="Arial" w:cs="Arial"/>
          <w:b/>
        </w:rPr>
        <w:t>$62.60</w:t>
      </w:r>
      <w:r w:rsidRPr="00A7535F">
        <w:rPr>
          <w:rFonts w:ascii="Arial" w:hAnsi="Arial" w:cs="Arial"/>
        </w:rPr>
        <w:t>, which is a 3.</w:t>
      </w:r>
      <w:r>
        <w:rPr>
          <w:rFonts w:ascii="Arial" w:hAnsi="Arial" w:cs="Arial"/>
        </w:rPr>
        <w:t>0 percent</w:t>
      </w:r>
      <w:r w:rsidRPr="00A7535F">
        <w:rPr>
          <w:rFonts w:ascii="Arial" w:hAnsi="Arial" w:cs="Arial"/>
        </w:rPr>
        <w:t xml:space="preserve"> increase over the 201</w:t>
      </w:r>
      <w:r>
        <w:rPr>
          <w:rFonts w:ascii="Arial" w:hAnsi="Arial" w:cs="Arial"/>
        </w:rPr>
        <w:t>7</w:t>
      </w:r>
      <w:r w:rsidRPr="00A7535F">
        <w:rPr>
          <w:rFonts w:ascii="Arial" w:hAnsi="Arial" w:cs="Arial"/>
        </w:rPr>
        <w:t xml:space="preserve"> rate of $</w:t>
      </w:r>
      <w:r>
        <w:rPr>
          <w:rFonts w:ascii="Arial" w:hAnsi="Arial" w:cs="Arial"/>
        </w:rPr>
        <w:t>60.80</w:t>
      </w:r>
      <w:r w:rsidRPr="00A7535F">
        <w:rPr>
          <w:rFonts w:ascii="Arial" w:hAnsi="Arial" w:cs="Arial"/>
        </w:rPr>
        <w:t>.</w:t>
      </w:r>
    </w:p>
    <w:p w:rsidR="00140E63" w:rsidRPr="005B19E7" w:rsidRDefault="00140E63" w:rsidP="00140E63">
      <w:pPr>
        <w:numPr>
          <w:ilvl w:val="0"/>
          <w:numId w:val="2"/>
        </w:numPr>
        <w:jc w:val="both"/>
        <w:rPr>
          <w:rFonts w:ascii="Arial" w:hAnsi="Arial" w:cs="Arial"/>
        </w:rPr>
      </w:pPr>
      <w:r>
        <w:rPr>
          <w:rFonts w:ascii="Arial" w:hAnsi="Arial" w:cs="Arial"/>
        </w:rPr>
        <w:t xml:space="preserve">Provide revenue sufficient to continue the increased cash funding of capital projects, increase debt service coverage ratios, and extend funding for the rate stabilization fund. </w:t>
      </w:r>
    </w:p>
    <w:p w:rsidR="00140E63" w:rsidRDefault="00140E63" w:rsidP="00140E63">
      <w:pPr>
        <w:ind w:right="-540"/>
        <w:rPr>
          <w:rFonts w:ascii="Arial" w:hAnsi="Arial" w:cs="Arial"/>
        </w:rPr>
      </w:pPr>
    </w:p>
    <w:p w:rsidR="00140E63" w:rsidRPr="00AC709F" w:rsidRDefault="00140E63" w:rsidP="00140E63">
      <w:pPr>
        <w:ind w:right="-540"/>
        <w:rPr>
          <w:rFonts w:ascii="Arial" w:hAnsi="Arial" w:cs="Arial"/>
          <w:b/>
          <w:u w:val="single"/>
        </w:rPr>
      </w:pPr>
      <w:r w:rsidRPr="00AC709F">
        <w:rPr>
          <w:rFonts w:ascii="Arial" w:hAnsi="Arial" w:cs="Arial"/>
          <w:b/>
          <w:u w:val="single"/>
        </w:rPr>
        <w:t>BACKGROUND</w:t>
      </w:r>
    </w:p>
    <w:p w:rsidR="00140E63" w:rsidRPr="00AC709F" w:rsidRDefault="00140E63" w:rsidP="00140E63">
      <w:pPr>
        <w:pStyle w:val="Flush1CS1"/>
        <w:tabs>
          <w:tab w:val="left" w:pos="720"/>
          <w:tab w:val="decimal" w:pos="7200"/>
        </w:tabs>
        <w:rPr>
          <w:rFonts w:ascii="Arial" w:hAnsi="Arial" w:cs="Arial"/>
          <w:szCs w:val="24"/>
        </w:rPr>
      </w:pPr>
    </w:p>
    <w:p w:rsidR="00140E63" w:rsidRPr="00AC709F" w:rsidRDefault="00140E63" w:rsidP="00140E63">
      <w:pPr>
        <w:rPr>
          <w:rFonts w:ascii="Arial" w:hAnsi="Arial" w:cs="Arial"/>
          <w:b/>
        </w:rPr>
      </w:pPr>
      <w:r w:rsidRPr="00AC709F">
        <w:rPr>
          <w:rFonts w:ascii="Arial" w:hAnsi="Arial" w:cs="Arial"/>
          <w:b/>
        </w:rPr>
        <w:t>Monthly Sewer Rate</w:t>
      </w:r>
    </w:p>
    <w:p w:rsidR="00140E63" w:rsidRDefault="00140E63" w:rsidP="00140E63">
      <w:pPr>
        <w:tabs>
          <w:tab w:val="left" w:pos="720"/>
          <w:tab w:val="decimal" w:pos="7200"/>
        </w:tabs>
        <w:jc w:val="both"/>
        <w:rPr>
          <w:rFonts w:ascii="Arial" w:hAnsi="Arial" w:cs="Arial"/>
        </w:rPr>
      </w:pPr>
      <w:r w:rsidRPr="00AC709F">
        <w:rPr>
          <w:rFonts w:ascii="Arial" w:hAnsi="Arial" w:cs="Arial"/>
        </w:rPr>
        <w:t xml:space="preserve">King County provides wastewater treatment services for 17 municipalities and 17 sewer districts (including the Muckleshoot Tribe) in King County, southern Snohomish County and the northern tip of Pierce County.  </w:t>
      </w:r>
      <w:r>
        <w:rPr>
          <w:rFonts w:ascii="Arial" w:hAnsi="Arial" w:cs="Arial"/>
        </w:rPr>
        <w:t>The county provides sewer interceptor lines that receive wastewater collected from residences and businesses by the cities and sewer districts, who bill their customers directly for both county and local utility charges.  The sewer rate is charged by the county to the utilities to deliver, treat and discharge wastewater.</w:t>
      </w:r>
      <w:r>
        <w:rPr>
          <w:rStyle w:val="FootnoteReference"/>
          <w:rFonts w:ascii="Arial" w:hAnsi="Arial" w:cs="Arial"/>
        </w:rPr>
        <w:footnoteReference w:id="1"/>
      </w:r>
      <w:r w:rsidRPr="00AC709F">
        <w:rPr>
          <w:rFonts w:ascii="Arial" w:hAnsi="Arial" w:cs="Arial"/>
        </w:rPr>
        <w:t xml:space="preserve"> </w:t>
      </w:r>
    </w:p>
    <w:p w:rsidR="00140E63" w:rsidRDefault="00140E63" w:rsidP="00140E63">
      <w:pPr>
        <w:tabs>
          <w:tab w:val="left" w:pos="720"/>
          <w:tab w:val="decimal" w:pos="7200"/>
        </w:tabs>
        <w:jc w:val="both"/>
        <w:rPr>
          <w:rFonts w:ascii="Arial" w:hAnsi="Arial" w:cs="Arial"/>
        </w:rPr>
      </w:pPr>
    </w:p>
    <w:p w:rsidR="00140E63" w:rsidRDefault="00140E63" w:rsidP="00140E63">
      <w:pPr>
        <w:tabs>
          <w:tab w:val="left" w:pos="720"/>
          <w:tab w:val="decimal" w:pos="7200"/>
        </w:tabs>
        <w:jc w:val="both"/>
        <w:rPr>
          <w:rFonts w:ascii="Arial" w:hAnsi="Arial" w:cs="Arial"/>
        </w:rPr>
      </w:pPr>
      <w:r w:rsidRPr="00AC709F">
        <w:rPr>
          <w:rFonts w:ascii="Arial" w:hAnsi="Arial" w:cs="Arial"/>
        </w:rPr>
        <w:t xml:space="preserve">The monthly sewer rate collected by the county goes towards all </w:t>
      </w:r>
      <w:r>
        <w:rPr>
          <w:rFonts w:ascii="Arial" w:hAnsi="Arial" w:cs="Arial"/>
        </w:rPr>
        <w:t>Wastewater Treatment Division (</w:t>
      </w:r>
      <w:r w:rsidRPr="00AC709F">
        <w:rPr>
          <w:rFonts w:ascii="Arial" w:hAnsi="Arial" w:cs="Arial"/>
        </w:rPr>
        <w:t>WTD</w:t>
      </w:r>
      <w:r>
        <w:rPr>
          <w:rFonts w:ascii="Arial" w:hAnsi="Arial" w:cs="Arial"/>
        </w:rPr>
        <w:t>)</w:t>
      </w:r>
      <w:r w:rsidRPr="00AC709F">
        <w:rPr>
          <w:rFonts w:ascii="Arial" w:hAnsi="Arial" w:cs="Arial"/>
        </w:rPr>
        <w:t xml:space="preserve"> expenses, including operating costs, debt service, and capital expenses.  </w:t>
      </w:r>
      <w:r w:rsidRPr="00AC709F">
        <w:rPr>
          <w:rFonts w:ascii="Arial" w:hAnsi="Arial" w:cs="Arial"/>
        </w:rPr>
        <w:lastRenderedPageBreak/>
        <w:t>The monthly sewer rate for both residential and commercial customers is calculated on the basis of Residen</w:t>
      </w:r>
      <w:r>
        <w:rPr>
          <w:rFonts w:ascii="Arial" w:hAnsi="Arial" w:cs="Arial"/>
        </w:rPr>
        <w:t>tial Customer Equivalents (“RCEs”)</w:t>
      </w:r>
      <w:r w:rsidRPr="00AC709F">
        <w:rPr>
          <w:rFonts w:ascii="Arial" w:hAnsi="Arial" w:cs="Arial"/>
        </w:rPr>
        <w:t>.</w:t>
      </w:r>
      <w:r>
        <w:rPr>
          <w:rStyle w:val="FootnoteReference"/>
          <w:rFonts w:ascii="Arial" w:hAnsi="Arial" w:cs="Arial"/>
        </w:rPr>
        <w:footnoteReference w:id="2"/>
      </w:r>
      <w:r w:rsidRPr="00AC709F">
        <w:rPr>
          <w:rFonts w:ascii="Arial" w:hAnsi="Arial" w:cs="Arial"/>
        </w:rPr>
        <w:t xml:space="preserve">  </w:t>
      </w:r>
    </w:p>
    <w:p w:rsidR="00140E63" w:rsidRDefault="00140E63" w:rsidP="00140E63">
      <w:pPr>
        <w:jc w:val="both"/>
        <w:rPr>
          <w:rFonts w:ascii="Arial" w:hAnsi="Arial" w:cs="Arial"/>
        </w:rPr>
      </w:pPr>
    </w:p>
    <w:p w:rsidR="00140E63" w:rsidRDefault="00140E63" w:rsidP="00140E63">
      <w:pPr>
        <w:spacing w:after="120"/>
        <w:jc w:val="center"/>
        <w:rPr>
          <w:rFonts w:ascii="Arial" w:hAnsi="Arial" w:cs="Arial"/>
          <w:b/>
          <w:bCs/>
          <w:sz w:val="22"/>
        </w:rPr>
      </w:pPr>
      <w:r>
        <w:rPr>
          <w:rFonts w:ascii="Arial" w:hAnsi="Arial" w:cs="Arial"/>
          <w:b/>
          <w:bCs/>
        </w:rPr>
        <w:t xml:space="preserve">Table 1. Sewer Rates </w:t>
      </w:r>
      <w:r w:rsidR="00C31647">
        <w:rPr>
          <w:rFonts w:ascii="Arial" w:hAnsi="Arial" w:cs="Arial"/>
          <w:b/>
          <w:bCs/>
        </w:rPr>
        <w:t xml:space="preserve">(2009-2017 Actual; 2018-2023 </w:t>
      </w:r>
      <w:r>
        <w:rPr>
          <w:rFonts w:ascii="Arial" w:hAnsi="Arial" w:cs="Arial"/>
          <w:b/>
          <w:bCs/>
        </w:rPr>
        <w:t>Projected)</w:t>
      </w:r>
    </w:p>
    <w:tbl>
      <w:tblPr>
        <w:tblW w:w="0" w:type="auto"/>
        <w:jc w:val="center"/>
        <w:tblCellMar>
          <w:left w:w="0" w:type="dxa"/>
          <w:right w:w="0" w:type="dxa"/>
        </w:tblCellMar>
        <w:tblLook w:val="04A0" w:firstRow="1" w:lastRow="0" w:firstColumn="1" w:lastColumn="0" w:noHBand="0" w:noVBand="1"/>
      </w:tblPr>
      <w:tblGrid>
        <w:gridCol w:w="1700"/>
        <w:gridCol w:w="2175"/>
        <w:gridCol w:w="1330"/>
      </w:tblGrid>
      <w:tr w:rsidR="00140E63" w:rsidRPr="00670372" w:rsidTr="00815709">
        <w:trPr>
          <w:jc w:val="center"/>
        </w:trPr>
        <w:tc>
          <w:tcPr>
            <w:tcW w:w="170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140E63" w:rsidRPr="00060A85" w:rsidRDefault="00140E63" w:rsidP="007A2A16">
            <w:pPr>
              <w:jc w:val="center"/>
              <w:rPr>
                <w:rFonts w:ascii="Arial" w:hAnsi="Arial" w:cs="Arial"/>
                <w:b/>
                <w:bCs/>
              </w:rPr>
            </w:pPr>
          </w:p>
          <w:p w:rsidR="00140E63" w:rsidRPr="00060A85" w:rsidRDefault="00140E63" w:rsidP="007A2A16">
            <w:pPr>
              <w:jc w:val="center"/>
              <w:rPr>
                <w:rFonts w:ascii="Arial" w:hAnsi="Arial" w:cs="Arial"/>
                <w:b/>
                <w:bCs/>
              </w:rPr>
            </w:pPr>
            <w:r w:rsidRPr="00060A85">
              <w:rPr>
                <w:rFonts w:ascii="Arial" w:hAnsi="Arial" w:cs="Arial"/>
                <w:b/>
                <w:bCs/>
              </w:rPr>
              <w:t>Year</w:t>
            </w:r>
          </w:p>
        </w:tc>
        <w:tc>
          <w:tcPr>
            <w:tcW w:w="217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center"/>
              <w:rPr>
                <w:rFonts w:ascii="Arial" w:hAnsi="Arial" w:cs="Arial"/>
                <w:b/>
                <w:bCs/>
              </w:rPr>
            </w:pPr>
            <w:r w:rsidRPr="00060A85">
              <w:rPr>
                <w:rFonts w:ascii="Arial" w:hAnsi="Arial" w:cs="Arial"/>
                <w:b/>
                <w:bCs/>
              </w:rPr>
              <w:t>Rate</w:t>
            </w:r>
          </w:p>
          <w:p w:rsidR="00140E63" w:rsidRPr="00060A85" w:rsidRDefault="00140E63" w:rsidP="007A2A16">
            <w:pPr>
              <w:jc w:val="center"/>
              <w:rPr>
                <w:rFonts w:ascii="Arial" w:hAnsi="Arial" w:cs="Arial"/>
                <w:b/>
                <w:bCs/>
              </w:rPr>
            </w:pPr>
            <w:r w:rsidRPr="00060A85">
              <w:rPr>
                <w:rFonts w:ascii="Arial" w:hAnsi="Arial" w:cs="Arial"/>
                <w:b/>
                <w:bCs/>
              </w:rPr>
              <w:t>($/RCE</w:t>
            </w:r>
            <w:r w:rsidR="00815709">
              <w:rPr>
                <w:rFonts w:ascii="Arial" w:hAnsi="Arial" w:cs="Arial"/>
                <w:b/>
                <w:bCs/>
              </w:rPr>
              <w:t>/</w:t>
            </w:r>
            <w:r w:rsidRPr="00060A85">
              <w:rPr>
                <w:rFonts w:ascii="Arial" w:hAnsi="Arial" w:cs="Arial"/>
                <w:b/>
                <w:bCs/>
              </w:rPr>
              <w:t>Month)</w:t>
            </w:r>
          </w:p>
        </w:tc>
        <w:tc>
          <w:tcPr>
            <w:tcW w:w="133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center"/>
              <w:rPr>
                <w:rFonts w:ascii="Arial" w:hAnsi="Arial" w:cs="Arial"/>
                <w:b/>
                <w:bCs/>
              </w:rPr>
            </w:pPr>
            <w:r w:rsidRPr="00060A85">
              <w:rPr>
                <w:rFonts w:ascii="Arial" w:hAnsi="Arial" w:cs="Arial"/>
                <w:b/>
                <w:bCs/>
              </w:rPr>
              <w:t xml:space="preserve">% </w:t>
            </w:r>
          </w:p>
          <w:p w:rsidR="00140E63" w:rsidRPr="00060A85" w:rsidRDefault="00140E63" w:rsidP="007A2A16">
            <w:pPr>
              <w:jc w:val="center"/>
              <w:rPr>
                <w:rFonts w:ascii="Arial" w:hAnsi="Arial" w:cs="Arial"/>
                <w:b/>
                <w:bCs/>
              </w:rPr>
            </w:pPr>
            <w:r w:rsidRPr="00060A85">
              <w:rPr>
                <w:rFonts w:ascii="Arial" w:hAnsi="Arial" w:cs="Arial"/>
                <w:b/>
                <w:bCs/>
              </w:rPr>
              <w:t>Increase</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E63" w:rsidRPr="00060A85" w:rsidRDefault="00C31647" w:rsidP="007A2A16">
            <w:pPr>
              <w:jc w:val="right"/>
              <w:rPr>
                <w:rFonts w:ascii="Arial" w:hAnsi="Arial" w:cs="Arial"/>
              </w:rPr>
            </w:pPr>
            <w:r>
              <w:rPr>
                <w:rFonts w:ascii="Arial" w:hAnsi="Arial" w:cs="Arial"/>
              </w:rPr>
              <w:t xml:space="preserve">2009 – </w:t>
            </w:r>
            <w:r w:rsidR="00140E63" w:rsidRPr="00060A85">
              <w:rPr>
                <w:rFonts w:ascii="Arial" w:hAnsi="Arial" w:cs="Arial"/>
              </w:rPr>
              <w:t>2010</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31.90</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14.1%</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E63" w:rsidRPr="00060A85" w:rsidRDefault="00C31647" w:rsidP="007A2A16">
            <w:pPr>
              <w:jc w:val="right"/>
              <w:rPr>
                <w:rFonts w:ascii="Arial" w:hAnsi="Arial" w:cs="Arial"/>
              </w:rPr>
            </w:pPr>
            <w:r>
              <w:rPr>
                <w:rFonts w:ascii="Arial" w:hAnsi="Arial" w:cs="Arial"/>
              </w:rPr>
              <w:t xml:space="preserve">2011 – </w:t>
            </w:r>
            <w:r w:rsidR="00140E63" w:rsidRPr="00060A85">
              <w:rPr>
                <w:rFonts w:ascii="Arial" w:hAnsi="Arial" w:cs="Arial"/>
              </w:rPr>
              <w:t>2012</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36.10</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13.2%</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E63" w:rsidRPr="00060A85" w:rsidRDefault="00C31647" w:rsidP="007A2A16">
            <w:pPr>
              <w:jc w:val="right"/>
              <w:rPr>
                <w:rFonts w:ascii="Arial" w:hAnsi="Arial" w:cs="Arial"/>
              </w:rPr>
            </w:pPr>
            <w:r>
              <w:rPr>
                <w:rFonts w:ascii="Arial" w:hAnsi="Arial" w:cs="Arial"/>
              </w:rPr>
              <w:t xml:space="preserve">2013 – </w:t>
            </w:r>
            <w:r w:rsidR="00140E63" w:rsidRPr="00060A85">
              <w:rPr>
                <w:rFonts w:ascii="Arial" w:hAnsi="Arial" w:cs="Arial"/>
              </w:rPr>
              <w:t>2014</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39.79</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10.4%</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E63" w:rsidRPr="00060A85" w:rsidRDefault="00C31647" w:rsidP="007A2A16">
            <w:pPr>
              <w:jc w:val="right"/>
              <w:rPr>
                <w:rFonts w:ascii="Arial" w:hAnsi="Arial" w:cs="Arial"/>
              </w:rPr>
            </w:pPr>
            <w:r>
              <w:rPr>
                <w:rFonts w:ascii="Arial" w:hAnsi="Arial" w:cs="Arial"/>
              </w:rPr>
              <w:t xml:space="preserve">2015 – </w:t>
            </w:r>
            <w:r w:rsidR="00140E63" w:rsidRPr="00060A85">
              <w:rPr>
                <w:rFonts w:ascii="Arial" w:hAnsi="Arial" w:cs="Arial"/>
              </w:rPr>
              <w:t>2016</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42.03</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5.6%</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140E63" w:rsidRPr="008C6057" w:rsidRDefault="00140E63" w:rsidP="007A2A16">
            <w:pPr>
              <w:jc w:val="right"/>
              <w:rPr>
                <w:rFonts w:ascii="Arial" w:hAnsi="Arial" w:cs="Arial"/>
                <w:bCs/>
              </w:rPr>
            </w:pPr>
            <w:r w:rsidRPr="008C6057">
              <w:rPr>
                <w:rFonts w:ascii="Arial" w:hAnsi="Arial" w:cs="Arial"/>
                <w:bCs/>
              </w:rPr>
              <w:t>2017</w:t>
            </w:r>
          </w:p>
        </w:tc>
        <w:tc>
          <w:tcPr>
            <w:tcW w:w="21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140E63" w:rsidRPr="008C6057" w:rsidRDefault="00140E63" w:rsidP="007A2A16">
            <w:pPr>
              <w:jc w:val="right"/>
              <w:rPr>
                <w:rFonts w:ascii="Arial" w:hAnsi="Arial" w:cs="Arial"/>
                <w:bCs/>
              </w:rPr>
            </w:pPr>
            <w:r w:rsidRPr="008C6057">
              <w:rPr>
                <w:rFonts w:ascii="Arial" w:hAnsi="Arial" w:cs="Arial"/>
                <w:bCs/>
              </w:rPr>
              <w:t>44.22</w:t>
            </w:r>
          </w:p>
        </w:tc>
        <w:tc>
          <w:tcPr>
            <w:tcW w:w="13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140E63" w:rsidRPr="008C6057" w:rsidRDefault="00140E63" w:rsidP="007A2A16">
            <w:pPr>
              <w:jc w:val="right"/>
              <w:rPr>
                <w:rFonts w:ascii="Arial" w:hAnsi="Arial" w:cs="Arial"/>
                <w:bCs/>
              </w:rPr>
            </w:pPr>
            <w:r w:rsidRPr="008C6057">
              <w:rPr>
                <w:rFonts w:ascii="Arial" w:hAnsi="Arial" w:cs="Arial"/>
                <w:bCs/>
              </w:rPr>
              <w:t>5.2%</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40E63" w:rsidRPr="008C6057" w:rsidRDefault="00140E63" w:rsidP="007A2A16">
            <w:pPr>
              <w:jc w:val="right"/>
              <w:rPr>
                <w:rFonts w:ascii="Arial" w:hAnsi="Arial" w:cs="Arial"/>
                <w:b/>
              </w:rPr>
            </w:pPr>
            <w:r w:rsidRPr="008C6057">
              <w:rPr>
                <w:rFonts w:ascii="Arial" w:hAnsi="Arial" w:cs="Arial"/>
                <w:b/>
              </w:rPr>
              <w:t>2018</w:t>
            </w:r>
          </w:p>
        </w:tc>
        <w:tc>
          <w:tcPr>
            <w:tcW w:w="21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8C6057" w:rsidRDefault="00140E63" w:rsidP="007A2A16">
            <w:pPr>
              <w:jc w:val="right"/>
              <w:rPr>
                <w:rFonts w:ascii="Arial" w:hAnsi="Arial" w:cs="Arial"/>
                <w:b/>
              </w:rPr>
            </w:pPr>
            <w:r w:rsidRPr="008C6057">
              <w:rPr>
                <w:rFonts w:ascii="Arial" w:hAnsi="Arial" w:cs="Arial"/>
                <w:b/>
              </w:rPr>
              <w:t>44.22</w:t>
            </w:r>
          </w:p>
        </w:tc>
        <w:tc>
          <w:tcPr>
            <w:tcW w:w="13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8C6057" w:rsidRDefault="00140E63" w:rsidP="007A2A16">
            <w:pPr>
              <w:jc w:val="right"/>
              <w:rPr>
                <w:rFonts w:ascii="Arial" w:hAnsi="Arial" w:cs="Arial"/>
                <w:b/>
              </w:rPr>
            </w:pPr>
            <w:r w:rsidRPr="008C6057">
              <w:rPr>
                <w:rFonts w:ascii="Arial" w:hAnsi="Arial" w:cs="Arial"/>
                <w:b/>
              </w:rPr>
              <w:t>0%</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2019</w:t>
            </w:r>
          </w:p>
        </w:tc>
        <w:tc>
          <w:tcPr>
            <w:tcW w:w="21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Pr>
                <w:rFonts w:ascii="Arial" w:hAnsi="Arial" w:cs="Arial"/>
              </w:rPr>
              <w:t>45.85</w:t>
            </w:r>
          </w:p>
        </w:tc>
        <w:tc>
          <w:tcPr>
            <w:tcW w:w="13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Pr>
                <w:rFonts w:ascii="Arial" w:hAnsi="Arial" w:cs="Arial"/>
              </w:rPr>
              <w:t>3.7</w:t>
            </w:r>
            <w:r w:rsidRPr="00060A85">
              <w:rPr>
                <w:rFonts w:ascii="Arial" w:hAnsi="Arial" w:cs="Arial"/>
              </w:rPr>
              <w:t>%</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2020</w:t>
            </w:r>
          </w:p>
        </w:tc>
        <w:tc>
          <w:tcPr>
            <w:tcW w:w="21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Pr>
                <w:rFonts w:ascii="Arial" w:hAnsi="Arial" w:cs="Arial"/>
              </w:rPr>
              <w:t>45.85</w:t>
            </w:r>
          </w:p>
        </w:tc>
        <w:tc>
          <w:tcPr>
            <w:tcW w:w="13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0%</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2021</w:t>
            </w:r>
          </w:p>
        </w:tc>
        <w:tc>
          <w:tcPr>
            <w:tcW w:w="21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Pr>
                <w:rFonts w:ascii="Arial" w:hAnsi="Arial" w:cs="Arial"/>
              </w:rPr>
              <w:t>46.64</w:t>
            </w:r>
          </w:p>
        </w:tc>
        <w:tc>
          <w:tcPr>
            <w:tcW w:w="13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Pr>
                <w:rFonts w:ascii="Arial" w:hAnsi="Arial" w:cs="Arial"/>
              </w:rPr>
              <w:t>1.7</w:t>
            </w:r>
            <w:r w:rsidRPr="00060A85">
              <w:rPr>
                <w:rFonts w:ascii="Arial" w:hAnsi="Arial" w:cs="Arial"/>
              </w:rPr>
              <w:t>%</w:t>
            </w:r>
          </w:p>
        </w:tc>
      </w:tr>
      <w:tr w:rsidR="00140E63" w:rsidRPr="00670372" w:rsidTr="00815709">
        <w:trPr>
          <w:jc w:val="center"/>
        </w:trPr>
        <w:tc>
          <w:tcPr>
            <w:tcW w:w="17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140E63" w:rsidRPr="00060A85" w:rsidRDefault="00140E63" w:rsidP="007A2A16">
            <w:pPr>
              <w:jc w:val="right"/>
              <w:rPr>
                <w:rFonts w:ascii="Arial" w:hAnsi="Arial" w:cs="Arial"/>
              </w:rPr>
            </w:pPr>
            <w:r w:rsidRPr="00060A85">
              <w:rPr>
                <w:rFonts w:ascii="Arial" w:hAnsi="Arial" w:cs="Arial"/>
              </w:rPr>
              <w:t>2022</w:t>
            </w:r>
          </w:p>
        </w:tc>
        <w:tc>
          <w:tcPr>
            <w:tcW w:w="21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140E63" w:rsidRPr="00060A85" w:rsidRDefault="00140E63" w:rsidP="007A2A16">
            <w:pPr>
              <w:jc w:val="right"/>
              <w:rPr>
                <w:rFonts w:ascii="Arial" w:hAnsi="Arial" w:cs="Arial"/>
              </w:rPr>
            </w:pPr>
            <w:r>
              <w:rPr>
                <w:rFonts w:ascii="Arial" w:hAnsi="Arial" w:cs="Arial"/>
              </w:rPr>
              <w:t>47.79</w:t>
            </w:r>
          </w:p>
        </w:tc>
        <w:tc>
          <w:tcPr>
            <w:tcW w:w="13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140E63" w:rsidRPr="00060A85" w:rsidRDefault="00140E63" w:rsidP="007A2A16">
            <w:pPr>
              <w:jc w:val="right"/>
              <w:rPr>
                <w:rFonts w:ascii="Arial" w:hAnsi="Arial" w:cs="Arial"/>
              </w:rPr>
            </w:pPr>
            <w:r w:rsidRPr="00060A85">
              <w:rPr>
                <w:rFonts w:ascii="Arial" w:hAnsi="Arial" w:cs="Arial"/>
              </w:rPr>
              <w:t>2.</w:t>
            </w:r>
            <w:r>
              <w:rPr>
                <w:rFonts w:ascii="Arial" w:hAnsi="Arial" w:cs="Arial"/>
              </w:rPr>
              <w:t>5</w:t>
            </w:r>
            <w:r w:rsidRPr="00060A85">
              <w:rPr>
                <w:rFonts w:ascii="Arial" w:hAnsi="Arial" w:cs="Arial"/>
              </w:rPr>
              <w:t>%</w:t>
            </w:r>
          </w:p>
        </w:tc>
      </w:tr>
      <w:tr w:rsidR="00140E63" w:rsidTr="00815709">
        <w:trPr>
          <w:jc w:val="center"/>
        </w:trPr>
        <w:tc>
          <w:tcPr>
            <w:tcW w:w="170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202</w:t>
            </w:r>
            <w:r>
              <w:rPr>
                <w:rFonts w:ascii="Arial" w:hAnsi="Arial" w:cs="Arial"/>
              </w:rPr>
              <w:t>3</w:t>
            </w:r>
          </w:p>
        </w:tc>
        <w:tc>
          <w:tcPr>
            <w:tcW w:w="21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sidRPr="00060A85">
              <w:rPr>
                <w:rFonts w:ascii="Arial" w:hAnsi="Arial" w:cs="Arial"/>
              </w:rPr>
              <w:t>4</w:t>
            </w:r>
            <w:r>
              <w:rPr>
                <w:rFonts w:ascii="Arial" w:hAnsi="Arial" w:cs="Arial"/>
              </w:rPr>
              <w:t>8.71</w:t>
            </w:r>
          </w:p>
        </w:tc>
        <w:tc>
          <w:tcPr>
            <w:tcW w:w="13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40E63" w:rsidRPr="00060A85" w:rsidRDefault="00140E63" w:rsidP="007A2A16">
            <w:pPr>
              <w:jc w:val="right"/>
              <w:rPr>
                <w:rFonts w:ascii="Arial" w:hAnsi="Arial" w:cs="Arial"/>
              </w:rPr>
            </w:pPr>
            <w:r>
              <w:rPr>
                <w:rFonts w:ascii="Arial" w:hAnsi="Arial" w:cs="Arial"/>
              </w:rPr>
              <w:t>1.9</w:t>
            </w:r>
            <w:r w:rsidRPr="00060A85">
              <w:rPr>
                <w:rFonts w:ascii="Arial" w:hAnsi="Arial" w:cs="Arial"/>
              </w:rPr>
              <w:t>%</w:t>
            </w:r>
          </w:p>
        </w:tc>
      </w:tr>
    </w:tbl>
    <w:p w:rsidR="00140E63" w:rsidRDefault="00140E63" w:rsidP="00140E63">
      <w:pPr>
        <w:rPr>
          <w:rFonts w:ascii="Calibri" w:eastAsiaTheme="minorHAnsi" w:hAnsi="Calibri" w:cs="Calibri"/>
          <w:sz w:val="22"/>
          <w:szCs w:val="22"/>
        </w:rPr>
      </w:pP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Table 1 above depicts the anticipated sewer rates through 2023.  Increases in 2019 are projected at 3.7% for the first year of the projected two-year rate; that is a decline from the 5.2% increase in 2017-2018.  Similarly, in 2021, the projected increase of 1.7%</w:t>
      </w:r>
      <w:r w:rsidR="00815709">
        <w:rPr>
          <w:rFonts w:ascii="Arial" w:hAnsi="Arial" w:cs="Arial"/>
        </w:rPr>
        <w:t>, declines</w:t>
      </w:r>
      <w:r>
        <w:rPr>
          <w:rFonts w:ascii="Arial" w:hAnsi="Arial" w:cs="Arial"/>
        </w:rPr>
        <w:t xml:space="preserve"> from the 2019 increase of 3.7%.  The projected biennial increases through 2021 are each lower than the annual increases witnessed between 2009 and 2016.  Increases are also lower than projected during last year’s rate discussion, when the Executive projected 2019 rates increase at 5.2% rather than 3.7%; and the 2021 increase at 2.6% rather than 1.7%.  </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 xml:space="preserve">Of particular note is that cost for the restoration of the West Point plant to full operations is being sought through insurance carried by the agency; the total restoration cost or timing and amount of insurance reimbursement is not yet known.  It is also important to note that the current independent review of the plant, and the anticipated half-century evaluation, may identify additional needs that drive further costs; those are also not currently known.  </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 xml:space="preserve">The Division does retain in reserve $129 million that had been held in escrow, related to the “Brightwater Settlement.”  Litigation between the County and a tunneling contractor, following termination of a contract for tunneling the Brightwater conveyance line, was initially determined in favor of the County in 2013, resulting in an award of $144 million.  That award amount was placed in escrow, pending the outcome of appeals. In September 2016, the Washington Supreme Court declined review, allowing release of that $129 million of the $144 million (legal costs, potentially amounting to $15 million, are still being </w:t>
      </w:r>
      <w:r>
        <w:rPr>
          <w:rFonts w:ascii="Arial" w:hAnsi="Arial" w:cs="Arial"/>
        </w:rPr>
        <w:lastRenderedPageBreak/>
        <w:t xml:space="preserve">determined).  The Division is recommending retaining this funding for costs not otherwise covered related to the West Point system failure.   </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 xml:space="preserve">The larger pattern is one of rate stability, and modest projected rate increases over time.  As noted, future rate increases are less than has been previously projected.  </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This rate stability is attributed to several factors:</w:t>
      </w:r>
    </w:p>
    <w:p w:rsidR="00140E63" w:rsidRDefault="00140E63" w:rsidP="00140E63">
      <w:pPr>
        <w:jc w:val="both"/>
        <w:rPr>
          <w:rFonts w:ascii="Arial" w:hAnsi="Arial" w:cs="Arial"/>
        </w:rPr>
      </w:pPr>
    </w:p>
    <w:p w:rsidR="00140E63" w:rsidRDefault="00140E63" w:rsidP="00140E63">
      <w:pPr>
        <w:pStyle w:val="ListParagraph"/>
        <w:numPr>
          <w:ilvl w:val="0"/>
          <w:numId w:val="5"/>
        </w:numPr>
        <w:jc w:val="both"/>
        <w:rPr>
          <w:rFonts w:ascii="Arial" w:hAnsi="Arial" w:cs="Arial"/>
        </w:rPr>
      </w:pPr>
      <w:r>
        <w:rPr>
          <w:rFonts w:ascii="Arial" w:hAnsi="Arial" w:cs="Arial"/>
        </w:rPr>
        <w:t>In 2016, WTD refinanced $770 million of outstanding bonds resulting in $104 million in debt service savings over the remaining life of the bonds;</w:t>
      </w:r>
    </w:p>
    <w:p w:rsidR="00140E63" w:rsidRDefault="00140E63" w:rsidP="00140E63">
      <w:pPr>
        <w:pStyle w:val="ListParagraph"/>
        <w:numPr>
          <w:ilvl w:val="0"/>
          <w:numId w:val="5"/>
        </w:numPr>
        <w:jc w:val="both"/>
        <w:rPr>
          <w:rFonts w:ascii="Arial" w:hAnsi="Arial" w:cs="Arial"/>
        </w:rPr>
      </w:pPr>
      <w:r>
        <w:rPr>
          <w:rFonts w:ascii="Arial" w:hAnsi="Arial" w:cs="Arial"/>
        </w:rPr>
        <w:t xml:space="preserve">Strong 2016 RCE growth, up 2.3 percent from 2015, broadening the customer base for coming years;  </w:t>
      </w:r>
    </w:p>
    <w:p w:rsidR="00140E63" w:rsidRDefault="00140E63" w:rsidP="00140E63">
      <w:pPr>
        <w:pStyle w:val="ListParagraph"/>
        <w:numPr>
          <w:ilvl w:val="0"/>
          <w:numId w:val="5"/>
        </w:numPr>
        <w:jc w:val="both"/>
        <w:rPr>
          <w:rFonts w:ascii="Arial" w:hAnsi="Arial" w:cs="Arial"/>
        </w:rPr>
      </w:pPr>
      <w:r>
        <w:rPr>
          <w:rFonts w:ascii="Arial" w:hAnsi="Arial" w:cs="Arial"/>
        </w:rPr>
        <w:t>Strong revenue collections, allowing rate stabilization fund balance to remain at $46.3 million through 2023;</w:t>
      </w:r>
    </w:p>
    <w:p w:rsidR="00140E63" w:rsidRDefault="00140E63" w:rsidP="00140E63">
      <w:pPr>
        <w:pStyle w:val="ListParagraph"/>
        <w:numPr>
          <w:ilvl w:val="0"/>
          <w:numId w:val="5"/>
        </w:numPr>
        <w:jc w:val="both"/>
        <w:rPr>
          <w:rFonts w:ascii="Arial" w:hAnsi="Arial" w:cs="Arial"/>
        </w:rPr>
      </w:pPr>
      <w:r>
        <w:rPr>
          <w:rFonts w:ascii="Arial" w:hAnsi="Arial" w:cs="Arial"/>
        </w:rPr>
        <w:t>Proceeds from the favorable Brightwater judgment, remain in fund balance pending outcome of West Point restoration. Once restoration costs are determined, the utilization of remaining settlement proceeds will be determined.</w:t>
      </w:r>
    </w:p>
    <w:p w:rsidR="00140E63" w:rsidRPr="008C6057" w:rsidRDefault="00140E63" w:rsidP="00140E63">
      <w:pPr>
        <w:jc w:val="both"/>
        <w:rPr>
          <w:rFonts w:ascii="Arial" w:hAnsi="Arial" w:cs="Arial"/>
        </w:rPr>
      </w:pPr>
    </w:p>
    <w:p w:rsidR="00140E63" w:rsidRDefault="00140E63" w:rsidP="00140E63">
      <w:pPr>
        <w:jc w:val="both"/>
        <w:rPr>
          <w:rFonts w:ascii="Arial" w:hAnsi="Arial" w:cs="Arial"/>
        </w:rPr>
      </w:pPr>
      <w:r w:rsidRPr="00BE290E">
        <w:rPr>
          <w:rFonts w:ascii="Arial" w:hAnsi="Arial" w:cs="Arial"/>
        </w:rPr>
        <w:t>Key fiscal management recommendations that were initiated in the 2017 rate, are being continued in the current 2018 rate proposal:</w:t>
      </w:r>
    </w:p>
    <w:p w:rsidR="00140E63" w:rsidRPr="00BE290E" w:rsidRDefault="00140E63" w:rsidP="00140E63">
      <w:pPr>
        <w:jc w:val="both"/>
        <w:rPr>
          <w:rFonts w:ascii="Arial" w:hAnsi="Arial" w:cs="Arial"/>
        </w:rPr>
      </w:pPr>
    </w:p>
    <w:p w:rsidR="00140E63" w:rsidRPr="00BE290E" w:rsidRDefault="00140E63" w:rsidP="00140E63">
      <w:pPr>
        <w:pStyle w:val="ListParagraph"/>
        <w:numPr>
          <w:ilvl w:val="0"/>
          <w:numId w:val="4"/>
        </w:numPr>
        <w:jc w:val="both"/>
        <w:rPr>
          <w:rFonts w:ascii="Arial" w:hAnsi="Arial" w:cs="Arial"/>
        </w:rPr>
      </w:pPr>
      <w:r w:rsidRPr="00BE290E">
        <w:rPr>
          <w:rFonts w:ascii="Arial" w:hAnsi="Arial" w:cs="Arial"/>
        </w:rPr>
        <w:t>The 40</w:t>
      </w:r>
      <w:r>
        <w:rPr>
          <w:rFonts w:ascii="Arial" w:hAnsi="Arial" w:cs="Arial"/>
        </w:rPr>
        <w:t xml:space="preserve"> percent</w:t>
      </w:r>
      <w:r w:rsidRPr="00BE290E">
        <w:rPr>
          <w:rFonts w:ascii="Arial" w:hAnsi="Arial" w:cs="Arial"/>
        </w:rPr>
        <w:t xml:space="preserve"> cash funding practice for capital projects, resulting in less reliance on debt than earlier fiscal management approaches.</w:t>
      </w:r>
    </w:p>
    <w:p w:rsidR="00140E63" w:rsidRPr="00BE290E" w:rsidRDefault="00140E63" w:rsidP="00140E63">
      <w:pPr>
        <w:pStyle w:val="ListParagraph"/>
        <w:numPr>
          <w:ilvl w:val="0"/>
          <w:numId w:val="4"/>
        </w:numPr>
        <w:jc w:val="both"/>
        <w:rPr>
          <w:rFonts w:ascii="Arial" w:hAnsi="Arial" w:cs="Arial"/>
        </w:rPr>
      </w:pPr>
      <w:r>
        <w:rPr>
          <w:rFonts w:ascii="Arial" w:hAnsi="Arial" w:cs="Arial"/>
        </w:rPr>
        <w:t>Begin</w:t>
      </w:r>
      <w:r w:rsidRPr="00BE290E">
        <w:rPr>
          <w:rFonts w:ascii="Arial" w:hAnsi="Arial" w:cs="Arial"/>
        </w:rPr>
        <w:t xml:space="preserve"> amortization of the principal on variable rate bonds.</w:t>
      </w:r>
    </w:p>
    <w:p w:rsidR="00140E63" w:rsidRPr="00E23E75" w:rsidRDefault="00140E63" w:rsidP="00140E63">
      <w:pPr>
        <w:pStyle w:val="ListParagraph"/>
        <w:numPr>
          <w:ilvl w:val="0"/>
          <w:numId w:val="4"/>
        </w:numPr>
        <w:jc w:val="both"/>
        <w:rPr>
          <w:rFonts w:ascii="Arial" w:hAnsi="Arial" w:cs="Arial"/>
        </w:rPr>
      </w:pPr>
      <w:r w:rsidRPr="00E23E75">
        <w:rPr>
          <w:rFonts w:ascii="Arial" w:hAnsi="Arial" w:cs="Arial"/>
        </w:rPr>
        <w:t xml:space="preserve">This rate proposes extension of funding levels in the Rate Stabilization Reserve rather than spending the account down.  </w:t>
      </w:r>
    </w:p>
    <w:p w:rsidR="00140E63" w:rsidRDefault="00140E63" w:rsidP="00140E63">
      <w:pPr>
        <w:jc w:val="both"/>
        <w:rPr>
          <w:rFonts w:ascii="Arial" w:hAnsi="Arial" w:cs="Arial"/>
          <w:b/>
        </w:rPr>
      </w:pPr>
    </w:p>
    <w:p w:rsidR="00140E63" w:rsidRDefault="00140E63" w:rsidP="00140E63">
      <w:pPr>
        <w:jc w:val="both"/>
        <w:rPr>
          <w:rFonts w:ascii="Arial" w:hAnsi="Arial" w:cs="Arial"/>
          <w:b/>
        </w:rPr>
      </w:pPr>
      <w:r w:rsidRPr="00AC709F">
        <w:rPr>
          <w:rFonts w:ascii="Arial" w:hAnsi="Arial" w:cs="Arial"/>
          <w:b/>
        </w:rPr>
        <w:t>Capacity Charge</w:t>
      </w:r>
    </w:p>
    <w:p w:rsidR="00140E63" w:rsidRDefault="00140E63" w:rsidP="00140E63">
      <w:pPr>
        <w:jc w:val="both"/>
        <w:rPr>
          <w:rFonts w:ascii="Arial" w:hAnsi="Arial" w:cs="Arial"/>
        </w:rPr>
      </w:pPr>
      <w:r w:rsidRPr="00AC709F">
        <w:rPr>
          <w:rFonts w:ascii="Arial" w:hAnsi="Arial" w:cs="Arial"/>
        </w:rPr>
        <w:t xml:space="preserve">New connections to the regional wastewater system </w:t>
      </w:r>
      <w:r>
        <w:rPr>
          <w:rFonts w:ascii="Arial" w:hAnsi="Arial" w:cs="Arial"/>
        </w:rPr>
        <w:t>are assessed a capacity charge, based on the policy of “growth pays for growth.”</w:t>
      </w:r>
      <w:r>
        <w:rPr>
          <w:rStyle w:val="FootnoteReference"/>
          <w:rFonts w:ascii="Arial" w:hAnsi="Arial" w:cs="Arial"/>
        </w:rPr>
        <w:footnoteReference w:id="3"/>
      </w:r>
      <w:r w:rsidRPr="00AC709F">
        <w:rPr>
          <w:rFonts w:ascii="Arial" w:hAnsi="Arial" w:cs="Arial"/>
        </w:rPr>
        <w:t xml:space="preserve"> </w:t>
      </w:r>
      <w:r>
        <w:rPr>
          <w:rFonts w:ascii="Arial" w:hAnsi="Arial" w:cs="Arial"/>
        </w:rPr>
        <w:t xml:space="preserve"> Every three years, the data supporting the calculation of the capacity charge is updated.  This data addresses the costs of growth, or increasing system capacity, accommodating new users.  That recalculation was made last year for the 2017 capacity charge, resulting in a 3.6 percent increase in the capacity charge for 2017 compared to 2016.  </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 xml:space="preserve">For 2018, the proposed capacity charge is $62.60, a 3.0 percent increase over the 2017 rate of $60.80.  </w:t>
      </w:r>
    </w:p>
    <w:p w:rsidR="00140E63" w:rsidRDefault="00140E63" w:rsidP="00140E63">
      <w:pPr>
        <w:jc w:val="both"/>
        <w:rPr>
          <w:rFonts w:ascii="Arial" w:hAnsi="Arial" w:cs="Arial"/>
        </w:rPr>
      </w:pPr>
    </w:p>
    <w:p w:rsidR="00140E63" w:rsidRPr="00AC709F" w:rsidRDefault="00140E63" w:rsidP="00140E63">
      <w:pPr>
        <w:jc w:val="both"/>
        <w:rPr>
          <w:rFonts w:ascii="Arial" w:hAnsi="Arial" w:cs="Arial"/>
        </w:rPr>
      </w:pPr>
      <w:r w:rsidRPr="00AC709F">
        <w:rPr>
          <w:rFonts w:ascii="Arial" w:hAnsi="Arial" w:cs="Arial"/>
        </w:rPr>
        <w:t xml:space="preserve">Payment </w:t>
      </w:r>
      <w:r>
        <w:rPr>
          <w:rFonts w:ascii="Arial" w:hAnsi="Arial" w:cs="Arial"/>
        </w:rPr>
        <w:t xml:space="preserve">of the capacity charge </w:t>
      </w:r>
      <w:r w:rsidRPr="00AC709F">
        <w:rPr>
          <w:rFonts w:ascii="Arial" w:hAnsi="Arial" w:cs="Arial"/>
        </w:rPr>
        <w:t xml:space="preserve">may be made </w:t>
      </w:r>
      <w:r>
        <w:rPr>
          <w:rFonts w:ascii="Arial" w:hAnsi="Arial" w:cs="Arial"/>
        </w:rPr>
        <w:t>in a lump sum or paid over a 15-</w:t>
      </w:r>
      <w:r w:rsidRPr="00AC709F">
        <w:rPr>
          <w:rFonts w:ascii="Arial" w:hAnsi="Arial" w:cs="Arial"/>
        </w:rPr>
        <w:t>year period. T</w:t>
      </w:r>
      <w:r>
        <w:rPr>
          <w:rFonts w:ascii="Arial" w:hAnsi="Arial" w:cs="Arial"/>
        </w:rPr>
        <w:t xml:space="preserve">able 2 presents the </w:t>
      </w:r>
      <w:r w:rsidRPr="00AC709F">
        <w:rPr>
          <w:rFonts w:ascii="Arial" w:hAnsi="Arial" w:cs="Arial"/>
        </w:rPr>
        <w:t xml:space="preserve">proposed charge as the monthly payment over 15 years.   </w:t>
      </w:r>
    </w:p>
    <w:p w:rsidR="00140E63" w:rsidRDefault="00140E63" w:rsidP="00140E63">
      <w:pPr>
        <w:jc w:val="both"/>
        <w:rPr>
          <w:rFonts w:ascii="Arial" w:hAnsi="Arial" w:cs="Arial"/>
        </w:rPr>
      </w:pPr>
    </w:p>
    <w:p w:rsidR="00140E63" w:rsidRDefault="00140E63" w:rsidP="00140E63">
      <w:pPr>
        <w:jc w:val="both"/>
        <w:rPr>
          <w:rFonts w:ascii="Arial" w:hAnsi="Arial" w:cs="Arial"/>
        </w:rPr>
      </w:pPr>
    </w:p>
    <w:p w:rsidR="00140E63" w:rsidRDefault="00140E63" w:rsidP="00140E63">
      <w:pPr>
        <w:jc w:val="both"/>
        <w:rPr>
          <w:rFonts w:ascii="Arial" w:hAnsi="Arial" w:cs="Arial"/>
        </w:rPr>
      </w:pPr>
      <w:r w:rsidRPr="00AC709F">
        <w:rPr>
          <w:rFonts w:ascii="Arial" w:hAnsi="Arial" w:cs="Arial"/>
        </w:rPr>
        <w:t xml:space="preserve"> </w:t>
      </w:r>
    </w:p>
    <w:p w:rsidR="00140E63" w:rsidRDefault="00140E63" w:rsidP="00140E63">
      <w:pPr>
        <w:jc w:val="both"/>
        <w:rPr>
          <w:rFonts w:ascii="Arial" w:hAnsi="Arial" w:cs="Arial"/>
        </w:rPr>
      </w:pPr>
    </w:p>
    <w:p w:rsidR="00140E63" w:rsidRPr="00046D57" w:rsidRDefault="00140E63" w:rsidP="00140E63">
      <w:pPr>
        <w:spacing w:after="120"/>
        <w:jc w:val="center"/>
        <w:rPr>
          <w:rFonts w:ascii="Arial" w:hAnsi="Arial" w:cs="Arial"/>
          <w:b/>
          <w:szCs w:val="24"/>
        </w:rPr>
      </w:pPr>
      <w:r>
        <w:rPr>
          <w:rFonts w:ascii="Arial" w:hAnsi="Arial" w:cs="Arial"/>
          <w:b/>
          <w:szCs w:val="24"/>
        </w:rPr>
        <w:lastRenderedPageBreak/>
        <w:t xml:space="preserve">Table 2. </w:t>
      </w:r>
      <w:r w:rsidRPr="00046D57">
        <w:rPr>
          <w:rFonts w:ascii="Arial" w:hAnsi="Arial" w:cs="Arial"/>
          <w:b/>
          <w:szCs w:val="24"/>
        </w:rPr>
        <w:t>Capacity Charge</w:t>
      </w:r>
      <w:r>
        <w:rPr>
          <w:rFonts w:ascii="Arial" w:hAnsi="Arial" w:cs="Arial"/>
          <w:b/>
          <w:szCs w:val="24"/>
        </w:rPr>
        <w:t xml:space="preserve"> (2010-</w:t>
      </w:r>
      <w:r w:rsidRPr="00046D57">
        <w:rPr>
          <w:rFonts w:ascii="Arial" w:hAnsi="Arial" w:cs="Arial"/>
          <w:b/>
          <w:szCs w:val="24"/>
        </w:rPr>
        <w:t>20</w:t>
      </w:r>
      <w:r>
        <w:rPr>
          <w:rFonts w:ascii="Arial" w:hAnsi="Arial" w:cs="Arial"/>
          <w:b/>
          <w:szCs w:val="24"/>
        </w:rPr>
        <w:t>16 Actual; 2017-2022 Projected)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096"/>
        <w:gridCol w:w="1340"/>
      </w:tblGrid>
      <w:tr w:rsidR="00140E63" w:rsidRPr="00046D57" w:rsidTr="007A2A16">
        <w:trPr>
          <w:jc w:val="center"/>
        </w:trPr>
        <w:tc>
          <w:tcPr>
            <w:tcW w:w="1534" w:type="dxa"/>
            <w:shd w:val="clear" w:color="auto" w:fill="CCCCCC"/>
          </w:tcPr>
          <w:p w:rsidR="00140E63" w:rsidRPr="00046D57" w:rsidRDefault="00140E63" w:rsidP="007A2A16">
            <w:pPr>
              <w:jc w:val="center"/>
              <w:rPr>
                <w:rFonts w:ascii="Arial" w:hAnsi="Arial" w:cs="Arial"/>
                <w:szCs w:val="24"/>
              </w:rPr>
            </w:pPr>
            <w:r w:rsidRPr="00046D57">
              <w:rPr>
                <w:rFonts w:ascii="Arial" w:hAnsi="Arial" w:cs="Arial"/>
                <w:szCs w:val="24"/>
              </w:rPr>
              <w:br w:type="page"/>
            </w:r>
          </w:p>
          <w:p w:rsidR="00140E63" w:rsidRPr="00046D57" w:rsidRDefault="00140E63" w:rsidP="007A2A16">
            <w:pPr>
              <w:jc w:val="center"/>
              <w:rPr>
                <w:rFonts w:ascii="Arial" w:hAnsi="Arial" w:cs="Arial"/>
                <w:b/>
                <w:szCs w:val="24"/>
              </w:rPr>
            </w:pPr>
            <w:r w:rsidRPr="00046D57">
              <w:rPr>
                <w:rFonts w:ascii="Arial" w:hAnsi="Arial" w:cs="Arial"/>
                <w:b/>
                <w:szCs w:val="24"/>
              </w:rPr>
              <w:t>Year</w:t>
            </w:r>
          </w:p>
        </w:tc>
        <w:tc>
          <w:tcPr>
            <w:tcW w:w="2096" w:type="dxa"/>
            <w:shd w:val="clear" w:color="auto" w:fill="CCCCCC"/>
          </w:tcPr>
          <w:p w:rsidR="00140E63" w:rsidRPr="00046D57" w:rsidRDefault="00140E63" w:rsidP="007A2A16">
            <w:pPr>
              <w:jc w:val="center"/>
              <w:rPr>
                <w:rFonts w:ascii="Arial" w:hAnsi="Arial" w:cs="Arial"/>
                <w:b/>
                <w:szCs w:val="24"/>
              </w:rPr>
            </w:pPr>
            <w:r>
              <w:rPr>
                <w:rFonts w:ascii="Arial" w:hAnsi="Arial" w:cs="Arial"/>
                <w:b/>
                <w:szCs w:val="24"/>
              </w:rPr>
              <w:t>Rate</w:t>
            </w:r>
            <w:r w:rsidRPr="00046D57">
              <w:rPr>
                <w:rFonts w:ascii="Arial" w:hAnsi="Arial" w:cs="Arial"/>
                <w:b/>
                <w:szCs w:val="24"/>
              </w:rPr>
              <w:t>/M</w:t>
            </w:r>
            <w:r>
              <w:rPr>
                <w:rFonts w:ascii="Arial" w:hAnsi="Arial" w:cs="Arial"/>
                <w:b/>
                <w:szCs w:val="24"/>
              </w:rPr>
              <w:t>onth/RCE</w:t>
            </w:r>
          </w:p>
          <w:p w:rsidR="00140E63" w:rsidRPr="00046D57" w:rsidRDefault="00140E63" w:rsidP="007A2A16">
            <w:pPr>
              <w:jc w:val="center"/>
              <w:rPr>
                <w:rFonts w:ascii="Arial" w:hAnsi="Arial" w:cs="Arial"/>
                <w:b/>
                <w:szCs w:val="24"/>
              </w:rPr>
            </w:pPr>
            <w:r w:rsidRPr="00046D57">
              <w:rPr>
                <w:rFonts w:ascii="Arial" w:hAnsi="Arial" w:cs="Arial"/>
                <w:b/>
                <w:szCs w:val="24"/>
              </w:rPr>
              <w:t>15-yr. duration</w:t>
            </w:r>
          </w:p>
        </w:tc>
        <w:tc>
          <w:tcPr>
            <w:tcW w:w="1340" w:type="dxa"/>
            <w:shd w:val="clear" w:color="auto" w:fill="CCCCCC"/>
          </w:tcPr>
          <w:p w:rsidR="00140E63" w:rsidRPr="00046D57" w:rsidRDefault="00140E63" w:rsidP="007A2A16">
            <w:pPr>
              <w:jc w:val="center"/>
              <w:rPr>
                <w:rFonts w:ascii="Arial" w:hAnsi="Arial" w:cs="Arial"/>
                <w:b/>
                <w:szCs w:val="24"/>
              </w:rPr>
            </w:pPr>
            <w:r>
              <w:rPr>
                <w:rFonts w:ascii="Arial" w:hAnsi="Arial" w:cs="Arial"/>
                <w:b/>
                <w:szCs w:val="24"/>
              </w:rPr>
              <w:t>% Increase</w:t>
            </w:r>
          </w:p>
        </w:tc>
      </w:tr>
      <w:tr w:rsidR="00140E63" w:rsidRPr="00046D57" w:rsidTr="007A2A16">
        <w:trPr>
          <w:jc w:val="center"/>
        </w:trPr>
        <w:tc>
          <w:tcPr>
            <w:tcW w:w="1534" w:type="dxa"/>
            <w:shd w:val="clear" w:color="auto" w:fill="auto"/>
          </w:tcPr>
          <w:p w:rsidR="00140E63" w:rsidRDefault="00140E63" w:rsidP="007A2A16">
            <w:pPr>
              <w:jc w:val="right"/>
              <w:rPr>
                <w:rFonts w:ascii="Arial" w:hAnsi="Arial" w:cs="Arial"/>
                <w:szCs w:val="24"/>
              </w:rPr>
            </w:pPr>
            <w:r>
              <w:rPr>
                <w:rFonts w:ascii="Arial" w:hAnsi="Arial" w:cs="Arial"/>
                <w:szCs w:val="24"/>
              </w:rPr>
              <w:t>2010</w:t>
            </w:r>
          </w:p>
        </w:tc>
        <w:tc>
          <w:tcPr>
            <w:tcW w:w="2096" w:type="dxa"/>
            <w:shd w:val="clear" w:color="auto" w:fill="auto"/>
          </w:tcPr>
          <w:p w:rsidR="00140E63" w:rsidRDefault="00140E63" w:rsidP="007A2A16">
            <w:pPr>
              <w:jc w:val="right"/>
              <w:rPr>
                <w:rFonts w:ascii="Arial" w:hAnsi="Arial" w:cs="Arial"/>
                <w:szCs w:val="24"/>
              </w:rPr>
            </w:pPr>
            <w:r>
              <w:rPr>
                <w:rFonts w:ascii="Arial" w:hAnsi="Arial" w:cs="Arial"/>
                <w:szCs w:val="24"/>
              </w:rPr>
              <w:t>49.07</w:t>
            </w:r>
          </w:p>
        </w:tc>
        <w:tc>
          <w:tcPr>
            <w:tcW w:w="1340" w:type="dxa"/>
            <w:shd w:val="clear" w:color="auto" w:fill="auto"/>
          </w:tcPr>
          <w:p w:rsidR="00140E63" w:rsidRDefault="00140E63" w:rsidP="007A2A16">
            <w:pPr>
              <w:jc w:val="right"/>
              <w:rPr>
                <w:rFonts w:ascii="Arial" w:hAnsi="Arial" w:cs="Arial"/>
                <w:szCs w:val="24"/>
              </w:rPr>
            </w:pPr>
            <w:r>
              <w:rPr>
                <w:rFonts w:ascii="Arial" w:hAnsi="Arial" w:cs="Arial"/>
                <w:szCs w:val="24"/>
              </w:rPr>
              <w:t>3.0%</w:t>
            </w:r>
          </w:p>
        </w:tc>
      </w:tr>
      <w:tr w:rsidR="00140E63" w:rsidRPr="00046D57" w:rsidTr="007A2A16">
        <w:trPr>
          <w:trHeight w:val="134"/>
          <w:jc w:val="center"/>
        </w:trPr>
        <w:tc>
          <w:tcPr>
            <w:tcW w:w="1534" w:type="dxa"/>
            <w:shd w:val="clear" w:color="auto" w:fill="auto"/>
          </w:tcPr>
          <w:p w:rsidR="00140E63" w:rsidRPr="00630D00" w:rsidRDefault="00140E63" w:rsidP="007A2A16">
            <w:pPr>
              <w:jc w:val="right"/>
              <w:rPr>
                <w:rFonts w:ascii="Arial" w:hAnsi="Arial" w:cs="Arial"/>
                <w:szCs w:val="24"/>
              </w:rPr>
            </w:pPr>
            <w:r w:rsidRPr="00630D00">
              <w:rPr>
                <w:rFonts w:ascii="Arial" w:hAnsi="Arial" w:cs="Arial"/>
                <w:szCs w:val="24"/>
              </w:rPr>
              <w:t>2011</w:t>
            </w:r>
          </w:p>
        </w:tc>
        <w:tc>
          <w:tcPr>
            <w:tcW w:w="2096" w:type="dxa"/>
            <w:shd w:val="clear" w:color="auto" w:fill="auto"/>
          </w:tcPr>
          <w:p w:rsidR="00140E63" w:rsidRPr="00577F09" w:rsidRDefault="00140E63" w:rsidP="007A2A16">
            <w:pPr>
              <w:jc w:val="right"/>
              <w:rPr>
                <w:rFonts w:ascii="Arial" w:hAnsi="Arial" w:cs="Arial"/>
                <w:szCs w:val="24"/>
              </w:rPr>
            </w:pPr>
            <w:r w:rsidRPr="00577F09">
              <w:rPr>
                <w:rFonts w:ascii="Arial" w:hAnsi="Arial" w:cs="Arial"/>
                <w:szCs w:val="24"/>
              </w:rPr>
              <w:t>50.45</w:t>
            </w:r>
          </w:p>
        </w:tc>
        <w:tc>
          <w:tcPr>
            <w:tcW w:w="1340" w:type="dxa"/>
            <w:shd w:val="clear" w:color="auto" w:fill="auto"/>
          </w:tcPr>
          <w:p w:rsidR="00140E63" w:rsidRPr="00577F09" w:rsidRDefault="00140E63" w:rsidP="007A2A16">
            <w:pPr>
              <w:jc w:val="right"/>
              <w:rPr>
                <w:rFonts w:ascii="Arial" w:hAnsi="Arial" w:cs="Arial"/>
                <w:szCs w:val="24"/>
              </w:rPr>
            </w:pPr>
            <w:r w:rsidRPr="00577F09">
              <w:rPr>
                <w:rFonts w:ascii="Arial" w:hAnsi="Arial" w:cs="Arial"/>
                <w:szCs w:val="24"/>
              </w:rPr>
              <w:t>2.8%</w:t>
            </w:r>
          </w:p>
        </w:tc>
      </w:tr>
      <w:tr w:rsidR="00140E63" w:rsidRPr="00630D00" w:rsidTr="007A2A16">
        <w:trPr>
          <w:jc w:val="center"/>
        </w:trPr>
        <w:tc>
          <w:tcPr>
            <w:tcW w:w="1534" w:type="dxa"/>
            <w:shd w:val="clear" w:color="auto" w:fill="auto"/>
          </w:tcPr>
          <w:p w:rsidR="00140E63" w:rsidRPr="00630D00" w:rsidRDefault="00140E63" w:rsidP="007A2A16">
            <w:pPr>
              <w:jc w:val="right"/>
              <w:rPr>
                <w:rFonts w:ascii="Arial" w:hAnsi="Arial" w:cs="Arial"/>
                <w:szCs w:val="24"/>
              </w:rPr>
            </w:pPr>
            <w:r w:rsidRPr="00630D00">
              <w:rPr>
                <w:rFonts w:ascii="Arial" w:hAnsi="Arial" w:cs="Arial"/>
                <w:szCs w:val="24"/>
              </w:rPr>
              <w:t>2012</w:t>
            </w:r>
          </w:p>
        </w:tc>
        <w:tc>
          <w:tcPr>
            <w:tcW w:w="2096" w:type="dxa"/>
            <w:shd w:val="clear" w:color="auto" w:fill="auto"/>
          </w:tcPr>
          <w:p w:rsidR="00140E63" w:rsidRPr="00577F09" w:rsidRDefault="00140E63" w:rsidP="007A2A16">
            <w:pPr>
              <w:jc w:val="right"/>
              <w:rPr>
                <w:rFonts w:ascii="Arial" w:hAnsi="Arial" w:cs="Arial"/>
                <w:szCs w:val="24"/>
              </w:rPr>
            </w:pPr>
            <w:r w:rsidRPr="00577F09">
              <w:rPr>
                <w:rFonts w:ascii="Arial" w:hAnsi="Arial" w:cs="Arial"/>
                <w:szCs w:val="24"/>
              </w:rPr>
              <w:t>51.95</w:t>
            </w:r>
          </w:p>
        </w:tc>
        <w:tc>
          <w:tcPr>
            <w:tcW w:w="1340" w:type="dxa"/>
            <w:shd w:val="clear" w:color="auto" w:fill="auto"/>
          </w:tcPr>
          <w:p w:rsidR="00140E63" w:rsidRPr="00577F09" w:rsidRDefault="00140E63" w:rsidP="007A2A16">
            <w:pPr>
              <w:jc w:val="right"/>
              <w:rPr>
                <w:rFonts w:ascii="Arial" w:hAnsi="Arial" w:cs="Arial"/>
                <w:szCs w:val="24"/>
              </w:rPr>
            </w:pPr>
            <w:r w:rsidRPr="00577F09">
              <w:rPr>
                <w:rFonts w:ascii="Arial" w:hAnsi="Arial" w:cs="Arial"/>
                <w:szCs w:val="24"/>
              </w:rPr>
              <w:t>3.0%</w:t>
            </w:r>
          </w:p>
        </w:tc>
      </w:tr>
      <w:tr w:rsidR="00140E63" w:rsidRPr="00577F09" w:rsidTr="007A2A16">
        <w:trPr>
          <w:jc w:val="center"/>
        </w:trPr>
        <w:tc>
          <w:tcPr>
            <w:tcW w:w="1534" w:type="dxa"/>
            <w:shd w:val="clear" w:color="auto" w:fill="auto"/>
          </w:tcPr>
          <w:p w:rsidR="00140E63" w:rsidRPr="0010081A" w:rsidRDefault="00140E63" w:rsidP="007A2A16">
            <w:pPr>
              <w:jc w:val="right"/>
              <w:rPr>
                <w:rFonts w:ascii="Arial" w:hAnsi="Arial" w:cs="Arial"/>
                <w:szCs w:val="24"/>
              </w:rPr>
            </w:pPr>
            <w:r w:rsidRPr="0010081A">
              <w:rPr>
                <w:rFonts w:ascii="Arial" w:hAnsi="Arial" w:cs="Arial"/>
                <w:szCs w:val="24"/>
              </w:rPr>
              <w:t>2013</w:t>
            </w:r>
          </w:p>
        </w:tc>
        <w:tc>
          <w:tcPr>
            <w:tcW w:w="2096" w:type="dxa"/>
            <w:shd w:val="clear" w:color="auto" w:fill="auto"/>
          </w:tcPr>
          <w:p w:rsidR="00140E63" w:rsidRPr="0010081A" w:rsidRDefault="00140E63" w:rsidP="007A2A16">
            <w:pPr>
              <w:jc w:val="right"/>
              <w:rPr>
                <w:rFonts w:ascii="Arial" w:hAnsi="Arial" w:cs="Arial"/>
                <w:szCs w:val="24"/>
              </w:rPr>
            </w:pPr>
            <w:r w:rsidRPr="0010081A">
              <w:rPr>
                <w:rFonts w:ascii="Arial" w:hAnsi="Arial" w:cs="Arial"/>
                <w:szCs w:val="24"/>
              </w:rPr>
              <w:t>53.50</w:t>
            </w:r>
          </w:p>
        </w:tc>
        <w:tc>
          <w:tcPr>
            <w:tcW w:w="1340" w:type="dxa"/>
            <w:shd w:val="clear" w:color="auto" w:fill="auto"/>
          </w:tcPr>
          <w:p w:rsidR="00140E63" w:rsidRPr="0010081A" w:rsidRDefault="00140E63" w:rsidP="007A2A16">
            <w:pPr>
              <w:jc w:val="right"/>
              <w:rPr>
                <w:rFonts w:ascii="Arial" w:hAnsi="Arial" w:cs="Arial"/>
                <w:szCs w:val="24"/>
              </w:rPr>
            </w:pPr>
            <w:r w:rsidRPr="0010081A">
              <w:rPr>
                <w:rFonts w:ascii="Arial" w:hAnsi="Arial" w:cs="Arial"/>
                <w:szCs w:val="24"/>
              </w:rPr>
              <w:t>3.0%</w:t>
            </w:r>
          </w:p>
        </w:tc>
      </w:tr>
      <w:tr w:rsidR="00140E63" w:rsidRPr="00645CBC" w:rsidTr="007A2A16">
        <w:trPr>
          <w:jc w:val="center"/>
        </w:trPr>
        <w:tc>
          <w:tcPr>
            <w:tcW w:w="1534" w:type="dxa"/>
            <w:shd w:val="clear" w:color="auto" w:fill="auto"/>
          </w:tcPr>
          <w:p w:rsidR="00140E63" w:rsidRPr="00E62916" w:rsidRDefault="00140E63" w:rsidP="007A2A16">
            <w:pPr>
              <w:jc w:val="right"/>
              <w:rPr>
                <w:rFonts w:ascii="Arial" w:hAnsi="Arial" w:cs="Arial"/>
                <w:szCs w:val="24"/>
              </w:rPr>
            </w:pPr>
            <w:r w:rsidRPr="00E62916">
              <w:rPr>
                <w:rFonts w:ascii="Arial" w:hAnsi="Arial" w:cs="Arial"/>
                <w:szCs w:val="24"/>
              </w:rPr>
              <w:t>2014</w:t>
            </w:r>
          </w:p>
        </w:tc>
        <w:tc>
          <w:tcPr>
            <w:tcW w:w="2096" w:type="dxa"/>
            <w:shd w:val="clear" w:color="auto" w:fill="auto"/>
          </w:tcPr>
          <w:p w:rsidR="00140E63" w:rsidRPr="00E62916" w:rsidRDefault="00140E63" w:rsidP="007A2A16">
            <w:pPr>
              <w:jc w:val="right"/>
              <w:rPr>
                <w:rFonts w:ascii="Arial" w:hAnsi="Arial" w:cs="Arial"/>
                <w:szCs w:val="24"/>
              </w:rPr>
            </w:pPr>
            <w:r w:rsidRPr="00E62916">
              <w:rPr>
                <w:rFonts w:ascii="Arial" w:hAnsi="Arial" w:cs="Arial"/>
                <w:szCs w:val="24"/>
              </w:rPr>
              <w:t>55.35</w:t>
            </w:r>
          </w:p>
        </w:tc>
        <w:tc>
          <w:tcPr>
            <w:tcW w:w="1340" w:type="dxa"/>
            <w:shd w:val="clear" w:color="auto" w:fill="auto"/>
          </w:tcPr>
          <w:p w:rsidR="00140E63" w:rsidRPr="00E62916" w:rsidRDefault="00140E63" w:rsidP="007A2A16">
            <w:pPr>
              <w:jc w:val="right"/>
              <w:rPr>
                <w:rFonts w:ascii="Arial" w:hAnsi="Arial" w:cs="Arial"/>
                <w:szCs w:val="24"/>
              </w:rPr>
            </w:pPr>
            <w:r w:rsidRPr="00E62916">
              <w:rPr>
                <w:rFonts w:ascii="Arial" w:hAnsi="Arial" w:cs="Arial"/>
                <w:szCs w:val="24"/>
              </w:rPr>
              <w:t>3.5%</w:t>
            </w:r>
          </w:p>
        </w:tc>
      </w:tr>
      <w:tr w:rsidR="00140E63" w:rsidRPr="00645CBC" w:rsidTr="007A2A16">
        <w:trPr>
          <w:jc w:val="center"/>
        </w:trPr>
        <w:tc>
          <w:tcPr>
            <w:tcW w:w="1534" w:type="dxa"/>
            <w:shd w:val="clear" w:color="auto" w:fill="auto"/>
          </w:tcPr>
          <w:p w:rsidR="00140E63" w:rsidRPr="00D510EA" w:rsidRDefault="00140E63" w:rsidP="007A2A16">
            <w:pPr>
              <w:jc w:val="right"/>
              <w:rPr>
                <w:rFonts w:ascii="Arial" w:hAnsi="Arial" w:cs="Arial"/>
                <w:szCs w:val="24"/>
              </w:rPr>
            </w:pPr>
            <w:r w:rsidRPr="00D510EA">
              <w:rPr>
                <w:rFonts w:ascii="Arial" w:hAnsi="Arial" w:cs="Arial"/>
                <w:szCs w:val="24"/>
              </w:rPr>
              <w:t>2015</w:t>
            </w:r>
          </w:p>
        </w:tc>
        <w:tc>
          <w:tcPr>
            <w:tcW w:w="2096" w:type="dxa"/>
            <w:shd w:val="clear" w:color="auto" w:fill="auto"/>
          </w:tcPr>
          <w:p w:rsidR="00140E63" w:rsidRPr="00D510EA" w:rsidRDefault="00140E63" w:rsidP="007A2A16">
            <w:pPr>
              <w:jc w:val="right"/>
              <w:rPr>
                <w:rFonts w:ascii="Arial" w:hAnsi="Arial" w:cs="Arial"/>
                <w:szCs w:val="24"/>
              </w:rPr>
            </w:pPr>
            <w:r w:rsidRPr="00D510EA">
              <w:rPr>
                <w:rFonts w:ascii="Arial" w:hAnsi="Arial" w:cs="Arial"/>
                <w:szCs w:val="24"/>
              </w:rPr>
              <w:t>57.00</w:t>
            </w:r>
          </w:p>
        </w:tc>
        <w:tc>
          <w:tcPr>
            <w:tcW w:w="1340" w:type="dxa"/>
            <w:shd w:val="clear" w:color="auto" w:fill="auto"/>
          </w:tcPr>
          <w:p w:rsidR="00140E63" w:rsidRPr="00D510EA" w:rsidRDefault="00140E63" w:rsidP="007A2A16">
            <w:pPr>
              <w:jc w:val="right"/>
              <w:rPr>
                <w:rFonts w:ascii="Arial" w:hAnsi="Arial" w:cs="Arial"/>
                <w:szCs w:val="24"/>
              </w:rPr>
            </w:pPr>
            <w:r w:rsidRPr="00D510EA">
              <w:rPr>
                <w:rFonts w:ascii="Arial" w:hAnsi="Arial" w:cs="Arial"/>
                <w:szCs w:val="24"/>
              </w:rPr>
              <w:t>3.0%</w:t>
            </w:r>
          </w:p>
        </w:tc>
      </w:tr>
      <w:tr w:rsidR="00140E63" w:rsidRPr="00046D57" w:rsidTr="007A2A16">
        <w:trPr>
          <w:jc w:val="center"/>
        </w:trPr>
        <w:tc>
          <w:tcPr>
            <w:tcW w:w="1534" w:type="dxa"/>
            <w:shd w:val="clear" w:color="auto" w:fill="auto"/>
          </w:tcPr>
          <w:p w:rsidR="00140E63" w:rsidRDefault="00140E63" w:rsidP="007A2A16">
            <w:pPr>
              <w:jc w:val="right"/>
              <w:rPr>
                <w:rFonts w:ascii="Arial" w:hAnsi="Arial" w:cs="Arial"/>
                <w:szCs w:val="24"/>
              </w:rPr>
            </w:pPr>
            <w:r>
              <w:rPr>
                <w:rFonts w:ascii="Arial" w:hAnsi="Arial" w:cs="Arial"/>
                <w:szCs w:val="24"/>
              </w:rPr>
              <w:t>2016</w:t>
            </w:r>
          </w:p>
        </w:tc>
        <w:tc>
          <w:tcPr>
            <w:tcW w:w="2096" w:type="dxa"/>
            <w:shd w:val="clear" w:color="auto" w:fill="auto"/>
          </w:tcPr>
          <w:p w:rsidR="00140E63" w:rsidRPr="00325CDC" w:rsidRDefault="00140E63" w:rsidP="007A2A16">
            <w:pPr>
              <w:jc w:val="right"/>
              <w:rPr>
                <w:rFonts w:ascii="Arial" w:hAnsi="Arial" w:cs="Arial"/>
                <w:szCs w:val="24"/>
              </w:rPr>
            </w:pPr>
            <w:r>
              <w:rPr>
                <w:rFonts w:ascii="Arial" w:hAnsi="Arial" w:cs="Arial"/>
                <w:szCs w:val="24"/>
              </w:rPr>
              <w:t>58.72</w:t>
            </w:r>
          </w:p>
        </w:tc>
        <w:tc>
          <w:tcPr>
            <w:tcW w:w="1340" w:type="dxa"/>
            <w:shd w:val="clear" w:color="auto" w:fill="auto"/>
          </w:tcPr>
          <w:p w:rsidR="00140E63" w:rsidRPr="00325CDC" w:rsidRDefault="00140E63" w:rsidP="007A2A16">
            <w:pPr>
              <w:jc w:val="right"/>
              <w:rPr>
                <w:rFonts w:ascii="Arial" w:hAnsi="Arial" w:cs="Arial"/>
                <w:szCs w:val="24"/>
              </w:rPr>
            </w:pPr>
            <w:r>
              <w:rPr>
                <w:rFonts w:ascii="Arial" w:hAnsi="Arial" w:cs="Arial"/>
                <w:szCs w:val="24"/>
              </w:rPr>
              <w:t>3.0%</w:t>
            </w:r>
          </w:p>
        </w:tc>
      </w:tr>
      <w:tr w:rsidR="00140E63" w:rsidRPr="00046D57" w:rsidTr="007A2A16">
        <w:trPr>
          <w:jc w:val="center"/>
        </w:trPr>
        <w:tc>
          <w:tcPr>
            <w:tcW w:w="1534" w:type="dxa"/>
            <w:shd w:val="clear" w:color="auto" w:fill="FFFFFF" w:themeFill="background1"/>
          </w:tcPr>
          <w:p w:rsidR="00140E63" w:rsidRPr="003E1092" w:rsidRDefault="00140E63" w:rsidP="007A2A16">
            <w:pPr>
              <w:jc w:val="right"/>
              <w:rPr>
                <w:rFonts w:ascii="Arial" w:hAnsi="Arial" w:cs="Arial"/>
                <w:szCs w:val="24"/>
              </w:rPr>
            </w:pPr>
            <w:r w:rsidRPr="003E1092">
              <w:rPr>
                <w:rFonts w:ascii="Arial" w:hAnsi="Arial" w:cs="Arial"/>
                <w:szCs w:val="24"/>
              </w:rPr>
              <w:t>2017</w:t>
            </w:r>
          </w:p>
        </w:tc>
        <w:tc>
          <w:tcPr>
            <w:tcW w:w="2096" w:type="dxa"/>
            <w:shd w:val="clear" w:color="auto" w:fill="FFFFFF" w:themeFill="background1"/>
          </w:tcPr>
          <w:p w:rsidR="00140E63" w:rsidRPr="003E1092" w:rsidRDefault="00140E63" w:rsidP="007A2A16">
            <w:pPr>
              <w:jc w:val="right"/>
              <w:rPr>
                <w:rFonts w:ascii="Arial" w:hAnsi="Arial" w:cs="Arial"/>
                <w:szCs w:val="24"/>
              </w:rPr>
            </w:pPr>
            <w:r w:rsidRPr="003E1092">
              <w:rPr>
                <w:rFonts w:ascii="Arial" w:hAnsi="Arial" w:cs="Arial"/>
                <w:szCs w:val="24"/>
              </w:rPr>
              <w:t>60.80</w:t>
            </w:r>
          </w:p>
        </w:tc>
        <w:tc>
          <w:tcPr>
            <w:tcW w:w="1340" w:type="dxa"/>
            <w:shd w:val="clear" w:color="auto" w:fill="FFFFFF" w:themeFill="background1"/>
          </w:tcPr>
          <w:p w:rsidR="00140E63" w:rsidRPr="003E1092" w:rsidRDefault="00140E63" w:rsidP="007A2A16">
            <w:pPr>
              <w:jc w:val="right"/>
              <w:rPr>
                <w:rFonts w:ascii="Arial" w:hAnsi="Arial" w:cs="Arial"/>
                <w:szCs w:val="24"/>
              </w:rPr>
            </w:pPr>
            <w:r w:rsidRPr="003E1092">
              <w:rPr>
                <w:rFonts w:ascii="Arial" w:hAnsi="Arial" w:cs="Arial"/>
                <w:szCs w:val="24"/>
              </w:rPr>
              <w:t>3.6%</w:t>
            </w:r>
          </w:p>
        </w:tc>
      </w:tr>
      <w:tr w:rsidR="00140E63" w:rsidRPr="00046D57" w:rsidTr="007A2A16">
        <w:trPr>
          <w:jc w:val="center"/>
        </w:trPr>
        <w:tc>
          <w:tcPr>
            <w:tcW w:w="1534" w:type="dxa"/>
            <w:shd w:val="clear" w:color="auto" w:fill="CCCCCC"/>
          </w:tcPr>
          <w:p w:rsidR="00140E63" w:rsidRPr="003E1092" w:rsidRDefault="00140E63" w:rsidP="007A2A16">
            <w:pPr>
              <w:jc w:val="right"/>
              <w:rPr>
                <w:rFonts w:ascii="Arial" w:hAnsi="Arial" w:cs="Arial"/>
                <w:b/>
                <w:szCs w:val="24"/>
              </w:rPr>
            </w:pPr>
            <w:r w:rsidRPr="003E1092">
              <w:rPr>
                <w:rFonts w:ascii="Arial" w:hAnsi="Arial" w:cs="Arial"/>
                <w:b/>
                <w:szCs w:val="24"/>
              </w:rPr>
              <w:t>2018</w:t>
            </w:r>
          </w:p>
        </w:tc>
        <w:tc>
          <w:tcPr>
            <w:tcW w:w="2096" w:type="dxa"/>
            <w:shd w:val="clear" w:color="auto" w:fill="CCCCCC"/>
          </w:tcPr>
          <w:p w:rsidR="00140E63" w:rsidRPr="003E1092" w:rsidRDefault="00140E63" w:rsidP="007A2A16">
            <w:pPr>
              <w:jc w:val="right"/>
              <w:rPr>
                <w:rFonts w:ascii="Arial" w:hAnsi="Arial" w:cs="Arial"/>
                <w:b/>
                <w:szCs w:val="24"/>
              </w:rPr>
            </w:pPr>
            <w:r w:rsidRPr="003E1092">
              <w:rPr>
                <w:rFonts w:ascii="Arial" w:hAnsi="Arial" w:cs="Arial"/>
                <w:b/>
                <w:szCs w:val="24"/>
              </w:rPr>
              <w:t>62.6</w:t>
            </w:r>
            <w:r>
              <w:rPr>
                <w:rFonts w:ascii="Arial" w:hAnsi="Arial" w:cs="Arial"/>
                <w:b/>
                <w:szCs w:val="24"/>
              </w:rPr>
              <w:t>0</w:t>
            </w:r>
          </w:p>
        </w:tc>
        <w:tc>
          <w:tcPr>
            <w:tcW w:w="1340" w:type="dxa"/>
            <w:shd w:val="clear" w:color="auto" w:fill="CCCCCC"/>
          </w:tcPr>
          <w:p w:rsidR="00140E63" w:rsidRPr="003E1092" w:rsidRDefault="00140E63" w:rsidP="007A2A16">
            <w:pPr>
              <w:jc w:val="right"/>
              <w:rPr>
                <w:rFonts w:ascii="Arial" w:hAnsi="Arial" w:cs="Arial"/>
                <w:b/>
                <w:szCs w:val="24"/>
              </w:rPr>
            </w:pPr>
            <w:r w:rsidRPr="003E1092">
              <w:rPr>
                <w:rFonts w:ascii="Arial" w:hAnsi="Arial" w:cs="Arial"/>
                <w:b/>
                <w:szCs w:val="24"/>
              </w:rPr>
              <w:t>3.0%</w:t>
            </w:r>
          </w:p>
        </w:tc>
      </w:tr>
      <w:tr w:rsidR="00140E63" w:rsidRPr="00046D57" w:rsidTr="007A2A16">
        <w:trPr>
          <w:jc w:val="center"/>
        </w:trPr>
        <w:tc>
          <w:tcPr>
            <w:tcW w:w="1534" w:type="dxa"/>
            <w:shd w:val="clear" w:color="auto" w:fill="CCCCCC"/>
          </w:tcPr>
          <w:p w:rsidR="00140E63" w:rsidRDefault="00140E63" w:rsidP="007A2A16">
            <w:pPr>
              <w:jc w:val="right"/>
              <w:rPr>
                <w:rFonts w:ascii="Arial" w:hAnsi="Arial" w:cs="Arial"/>
                <w:szCs w:val="24"/>
              </w:rPr>
            </w:pPr>
            <w:r>
              <w:rPr>
                <w:rFonts w:ascii="Arial" w:hAnsi="Arial" w:cs="Arial"/>
                <w:szCs w:val="24"/>
              </w:rPr>
              <w:t>2019</w:t>
            </w:r>
          </w:p>
        </w:tc>
        <w:tc>
          <w:tcPr>
            <w:tcW w:w="2096" w:type="dxa"/>
            <w:shd w:val="clear" w:color="auto" w:fill="CCCCCC"/>
          </w:tcPr>
          <w:p w:rsidR="00140E63" w:rsidRDefault="00140E63" w:rsidP="007A2A16">
            <w:pPr>
              <w:jc w:val="right"/>
              <w:rPr>
                <w:rFonts w:ascii="Arial" w:hAnsi="Arial" w:cs="Arial"/>
                <w:szCs w:val="24"/>
              </w:rPr>
            </w:pPr>
            <w:r>
              <w:rPr>
                <w:rFonts w:ascii="Arial" w:hAnsi="Arial" w:cs="Arial"/>
                <w:szCs w:val="24"/>
              </w:rPr>
              <w:t>64.48</w:t>
            </w:r>
          </w:p>
        </w:tc>
        <w:tc>
          <w:tcPr>
            <w:tcW w:w="1340" w:type="dxa"/>
            <w:shd w:val="clear" w:color="auto" w:fill="CCCCCC"/>
          </w:tcPr>
          <w:p w:rsidR="00140E63" w:rsidRDefault="00140E63" w:rsidP="007A2A16">
            <w:pPr>
              <w:jc w:val="right"/>
              <w:rPr>
                <w:rFonts w:ascii="Arial" w:hAnsi="Arial" w:cs="Arial"/>
                <w:szCs w:val="24"/>
              </w:rPr>
            </w:pPr>
            <w:r>
              <w:rPr>
                <w:rFonts w:ascii="Arial" w:hAnsi="Arial" w:cs="Arial"/>
                <w:szCs w:val="24"/>
              </w:rPr>
              <w:t>3.0%</w:t>
            </w:r>
          </w:p>
        </w:tc>
      </w:tr>
      <w:tr w:rsidR="00140E63" w:rsidRPr="00046D57" w:rsidTr="007A2A16">
        <w:trPr>
          <w:jc w:val="center"/>
        </w:trPr>
        <w:tc>
          <w:tcPr>
            <w:tcW w:w="1534" w:type="dxa"/>
            <w:shd w:val="clear" w:color="auto" w:fill="CCCCCC"/>
          </w:tcPr>
          <w:p w:rsidR="00140E63" w:rsidRDefault="00140E63" w:rsidP="007A2A16">
            <w:pPr>
              <w:jc w:val="right"/>
              <w:rPr>
                <w:rFonts w:ascii="Arial" w:hAnsi="Arial" w:cs="Arial"/>
                <w:szCs w:val="24"/>
              </w:rPr>
            </w:pPr>
            <w:r>
              <w:rPr>
                <w:rFonts w:ascii="Arial" w:hAnsi="Arial" w:cs="Arial"/>
                <w:szCs w:val="24"/>
              </w:rPr>
              <w:t>2020</w:t>
            </w:r>
          </w:p>
        </w:tc>
        <w:tc>
          <w:tcPr>
            <w:tcW w:w="2096" w:type="dxa"/>
            <w:shd w:val="clear" w:color="auto" w:fill="CCCCCC"/>
          </w:tcPr>
          <w:p w:rsidR="00140E63" w:rsidRDefault="00140E63" w:rsidP="007A2A16">
            <w:pPr>
              <w:jc w:val="right"/>
              <w:rPr>
                <w:rFonts w:ascii="Arial" w:hAnsi="Arial" w:cs="Arial"/>
                <w:szCs w:val="24"/>
              </w:rPr>
            </w:pPr>
            <w:r>
              <w:rPr>
                <w:rFonts w:ascii="Arial" w:hAnsi="Arial" w:cs="Arial"/>
                <w:szCs w:val="24"/>
              </w:rPr>
              <w:t>66.41</w:t>
            </w:r>
          </w:p>
        </w:tc>
        <w:tc>
          <w:tcPr>
            <w:tcW w:w="1340" w:type="dxa"/>
            <w:shd w:val="clear" w:color="auto" w:fill="CCCCCC"/>
          </w:tcPr>
          <w:p w:rsidR="00140E63" w:rsidRDefault="00140E63" w:rsidP="007A2A16">
            <w:pPr>
              <w:jc w:val="right"/>
              <w:rPr>
                <w:rFonts w:ascii="Arial" w:hAnsi="Arial" w:cs="Arial"/>
                <w:szCs w:val="24"/>
              </w:rPr>
            </w:pPr>
            <w:r>
              <w:rPr>
                <w:rFonts w:ascii="Arial" w:hAnsi="Arial" w:cs="Arial"/>
                <w:szCs w:val="24"/>
              </w:rPr>
              <w:t>3.0%</w:t>
            </w:r>
          </w:p>
        </w:tc>
      </w:tr>
      <w:tr w:rsidR="00140E63" w:rsidRPr="00046D57" w:rsidTr="007A2A16">
        <w:trPr>
          <w:jc w:val="center"/>
        </w:trPr>
        <w:tc>
          <w:tcPr>
            <w:tcW w:w="1534" w:type="dxa"/>
            <w:shd w:val="clear" w:color="auto" w:fill="CCCCCC"/>
          </w:tcPr>
          <w:p w:rsidR="00140E63" w:rsidRDefault="00140E63" w:rsidP="007A2A16">
            <w:pPr>
              <w:jc w:val="right"/>
              <w:rPr>
                <w:rFonts w:ascii="Arial" w:hAnsi="Arial" w:cs="Arial"/>
                <w:szCs w:val="24"/>
              </w:rPr>
            </w:pPr>
            <w:r>
              <w:rPr>
                <w:rFonts w:ascii="Arial" w:hAnsi="Arial" w:cs="Arial"/>
                <w:szCs w:val="24"/>
              </w:rPr>
              <w:t>2021</w:t>
            </w:r>
          </w:p>
        </w:tc>
        <w:tc>
          <w:tcPr>
            <w:tcW w:w="2096" w:type="dxa"/>
            <w:shd w:val="clear" w:color="auto" w:fill="CCCCCC"/>
          </w:tcPr>
          <w:p w:rsidR="00140E63" w:rsidRDefault="00140E63" w:rsidP="007A2A16">
            <w:pPr>
              <w:jc w:val="right"/>
              <w:rPr>
                <w:rFonts w:ascii="Arial" w:hAnsi="Arial" w:cs="Arial"/>
                <w:szCs w:val="24"/>
              </w:rPr>
            </w:pPr>
            <w:r>
              <w:rPr>
                <w:rFonts w:ascii="Arial" w:hAnsi="Arial" w:cs="Arial"/>
                <w:szCs w:val="24"/>
              </w:rPr>
              <w:t>68.40</w:t>
            </w:r>
          </w:p>
        </w:tc>
        <w:tc>
          <w:tcPr>
            <w:tcW w:w="1340" w:type="dxa"/>
            <w:shd w:val="clear" w:color="auto" w:fill="CCCCCC"/>
          </w:tcPr>
          <w:p w:rsidR="00140E63" w:rsidRDefault="00140E63" w:rsidP="007A2A16">
            <w:pPr>
              <w:jc w:val="right"/>
              <w:rPr>
                <w:rFonts w:ascii="Arial" w:hAnsi="Arial" w:cs="Arial"/>
                <w:szCs w:val="24"/>
              </w:rPr>
            </w:pPr>
            <w:r>
              <w:rPr>
                <w:rFonts w:ascii="Arial" w:hAnsi="Arial" w:cs="Arial"/>
                <w:szCs w:val="24"/>
              </w:rPr>
              <w:t>3.0%</w:t>
            </w:r>
          </w:p>
        </w:tc>
      </w:tr>
      <w:tr w:rsidR="00140E63" w:rsidRPr="00046D57" w:rsidTr="007A2A16">
        <w:trPr>
          <w:jc w:val="center"/>
        </w:trPr>
        <w:tc>
          <w:tcPr>
            <w:tcW w:w="1534" w:type="dxa"/>
            <w:shd w:val="clear" w:color="auto" w:fill="CCCCCC"/>
          </w:tcPr>
          <w:p w:rsidR="00140E63" w:rsidRDefault="00140E63" w:rsidP="007A2A16">
            <w:pPr>
              <w:jc w:val="right"/>
              <w:rPr>
                <w:rFonts w:ascii="Arial" w:hAnsi="Arial" w:cs="Arial"/>
                <w:szCs w:val="24"/>
              </w:rPr>
            </w:pPr>
            <w:r>
              <w:rPr>
                <w:rFonts w:ascii="Arial" w:hAnsi="Arial" w:cs="Arial"/>
                <w:szCs w:val="24"/>
              </w:rPr>
              <w:t>2022</w:t>
            </w:r>
          </w:p>
        </w:tc>
        <w:tc>
          <w:tcPr>
            <w:tcW w:w="2096" w:type="dxa"/>
            <w:shd w:val="clear" w:color="auto" w:fill="CCCCCC"/>
          </w:tcPr>
          <w:p w:rsidR="00140E63" w:rsidRDefault="00140E63" w:rsidP="007A2A16">
            <w:pPr>
              <w:jc w:val="right"/>
              <w:rPr>
                <w:rFonts w:ascii="Arial" w:hAnsi="Arial" w:cs="Arial"/>
                <w:szCs w:val="24"/>
              </w:rPr>
            </w:pPr>
            <w:r>
              <w:rPr>
                <w:rFonts w:ascii="Arial" w:hAnsi="Arial" w:cs="Arial"/>
                <w:szCs w:val="24"/>
              </w:rPr>
              <w:t>70.46</w:t>
            </w:r>
          </w:p>
        </w:tc>
        <w:tc>
          <w:tcPr>
            <w:tcW w:w="1340" w:type="dxa"/>
            <w:shd w:val="clear" w:color="auto" w:fill="CCCCCC"/>
          </w:tcPr>
          <w:p w:rsidR="00140E63" w:rsidRDefault="00140E63" w:rsidP="007A2A16">
            <w:pPr>
              <w:jc w:val="right"/>
              <w:rPr>
                <w:rFonts w:ascii="Arial" w:hAnsi="Arial" w:cs="Arial"/>
                <w:szCs w:val="24"/>
              </w:rPr>
            </w:pPr>
            <w:r>
              <w:rPr>
                <w:rFonts w:ascii="Arial" w:hAnsi="Arial" w:cs="Arial"/>
                <w:szCs w:val="24"/>
              </w:rPr>
              <w:t>3.0%</w:t>
            </w:r>
          </w:p>
        </w:tc>
      </w:tr>
    </w:tbl>
    <w:p w:rsidR="00140E63" w:rsidRPr="00AC709F" w:rsidRDefault="00140E63" w:rsidP="00140E63">
      <w:pPr>
        <w:jc w:val="both"/>
        <w:rPr>
          <w:rFonts w:ascii="Arial" w:hAnsi="Arial" w:cs="Arial"/>
        </w:rPr>
      </w:pPr>
    </w:p>
    <w:p w:rsidR="00140E63" w:rsidRPr="00AC709F" w:rsidRDefault="00140E63" w:rsidP="00140E63">
      <w:pPr>
        <w:pStyle w:val="BodyTextIndent2"/>
        <w:spacing w:line="240" w:lineRule="auto"/>
        <w:ind w:left="0"/>
        <w:jc w:val="both"/>
        <w:rPr>
          <w:rFonts w:ascii="Arial" w:hAnsi="Arial" w:cs="Arial"/>
          <w:szCs w:val="24"/>
        </w:rPr>
      </w:pPr>
      <w:r>
        <w:rPr>
          <w:rFonts w:ascii="Arial" w:hAnsi="Arial" w:cs="Arial"/>
          <w:szCs w:val="24"/>
        </w:rPr>
        <w:t>Consistent with</w:t>
      </w:r>
      <w:r w:rsidRPr="00AC709F">
        <w:rPr>
          <w:rFonts w:ascii="Arial" w:hAnsi="Arial" w:cs="Arial"/>
          <w:szCs w:val="24"/>
        </w:rPr>
        <w:t xml:space="preserve"> the Regional Wastewater Services Plan policies, the capacity charge is based on the estimated costs of the 30-year Regional Wastewater Services Plan (RWSP).</w:t>
      </w:r>
      <w:r>
        <w:rPr>
          <w:rStyle w:val="FootnoteReference"/>
          <w:rFonts w:ascii="Arial" w:hAnsi="Arial" w:cs="Arial"/>
          <w:szCs w:val="24"/>
        </w:rPr>
        <w:footnoteReference w:id="4"/>
      </w:r>
      <w:r w:rsidRPr="00AC709F">
        <w:rPr>
          <w:rFonts w:ascii="Arial" w:hAnsi="Arial" w:cs="Arial"/>
          <w:szCs w:val="24"/>
        </w:rPr>
        <w:t xml:space="preserve">  </w:t>
      </w:r>
      <w:r>
        <w:rPr>
          <w:rFonts w:ascii="Arial" w:hAnsi="Arial" w:cs="Arial"/>
          <w:szCs w:val="24"/>
        </w:rPr>
        <w:t>T</w:t>
      </w:r>
      <w:r w:rsidRPr="00AC709F">
        <w:rPr>
          <w:rFonts w:ascii="Arial" w:hAnsi="Arial" w:cs="Arial"/>
          <w:szCs w:val="24"/>
        </w:rPr>
        <w:t>he capacity charge</w:t>
      </w:r>
      <w:r>
        <w:rPr>
          <w:rFonts w:ascii="Arial" w:hAnsi="Arial" w:cs="Arial"/>
          <w:szCs w:val="24"/>
        </w:rPr>
        <w:t xml:space="preserve"> is set</w:t>
      </w:r>
      <w:r w:rsidRPr="00AC709F">
        <w:rPr>
          <w:rFonts w:ascii="Arial" w:hAnsi="Arial" w:cs="Arial"/>
          <w:szCs w:val="24"/>
        </w:rPr>
        <w:t xml:space="preserve"> at a level to recover the designated, growth-related costs that are not covered by the monthly rate payments of newly connecting customers.  Over the </w:t>
      </w:r>
      <w:r>
        <w:rPr>
          <w:rFonts w:ascii="Arial" w:hAnsi="Arial" w:cs="Arial"/>
          <w:szCs w:val="24"/>
        </w:rPr>
        <w:t>planning period</w:t>
      </w:r>
      <w:r w:rsidRPr="00AC709F">
        <w:rPr>
          <w:rFonts w:ascii="Arial" w:hAnsi="Arial" w:cs="Arial"/>
          <w:szCs w:val="24"/>
        </w:rPr>
        <w:t xml:space="preserve"> of Regional Wastewater Services Plan (</w:t>
      </w:r>
      <w:r>
        <w:rPr>
          <w:rFonts w:ascii="Arial" w:hAnsi="Arial" w:cs="Arial"/>
          <w:szCs w:val="24"/>
        </w:rPr>
        <w:t xml:space="preserve">2003 </w:t>
      </w:r>
      <w:r w:rsidRPr="00AC709F">
        <w:rPr>
          <w:rFonts w:ascii="Arial" w:hAnsi="Arial" w:cs="Arial"/>
          <w:szCs w:val="24"/>
        </w:rPr>
        <w:t xml:space="preserve">– 2030), the capacity charge and monthly rate payments of newly connecting customers will cover 95% of growth-related costs.    </w:t>
      </w:r>
    </w:p>
    <w:p w:rsidR="00140E63" w:rsidRPr="00AC709F" w:rsidRDefault="00140E63" w:rsidP="00140E63">
      <w:pPr>
        <w:pStyle w:val="Flush1CS1"/>
        <w:tabs>
          <w:tab w:val="left" w:pos="720"/>
          <w:tab w:val="decimal" w:pos="7200"/>
        </w:tabs>
        <w:jc w:val="both"/>
        <w:rPr>
          <w:rFonts w:ascii="Arial" w:hAnsi="Arial" w:cs="Arial"/>
          <w:szCs w:val="24"/>
        </w:rPr>
      </w:pPr>
    </w:p>
    <w:p w:rsidR="00140E63" w:rsidRDefault="00140E63" w:rsidP="00140E63">
      <w:pPr>
        <w:pStyle w:val="Flush1CS1"/>
        <w:tabs>
          <w:tab w:val="left" w:pos="720"/>
          <w:tab w:val="decimal" w:pos="7200"/>
        </w:tabs>
        <w:jc w:val="both"/>
        <w:rPr>
          <w:rFonts w:ascii="Arial" w:hAnsi="Arial" w:cs="Arial"/>
          <w:szCs w:val="24"/>
        </w:rPr>
      </w:pPr>
      <w:r w:rsidRPr="00AC709F">
        <w:rPr>
          <w:rFonts w:ascii="Arial" w:hAnsi="Arial" w:cs="Arial"/>
          <w:szCs w:val="24"/>
        </w:rPr>
        <w:t xml:space="preserve">Unlike the monthly sewer rate, the capacity charge is directly billed by and paid to King County.  </w:t>
      </w:r>
      <w:r>
        <w:rPr>
          <w:rFonts w:ascii="Arial" w:hAnsi="Arial" w:cs="Arial"/>
          <w:szCs w:val="24"/>
        </w:rPr>
        <w:t xml:space="preserve">Based on information provided by the cities and sewer districts, </w:t>
      </w:r>
      <w:r w:rsidRPr="00AC709F">
        <w:rPr>
          <w:rFonts w:ascii="Arial" w:hAnsi="Arial" w:cs="Arial"/>
          <w:szCs w:val="24"/>
        </w:rPr>
        <w:t>King County notifies</w:t>
      </w:r>
      <w:r>
        <w:rPr>
          <w:rFonts w:ascii="Arial" w:hAnsi="Arial" w:cs="Arial"/>
          <w:szCs w:val="24"/>
        </w:rPr>
        <w:t xml:space="preserve"> new connecting</w:t>
      </w:r>
      <w:r w:rsidRPr="00AC709F">
        <w:rPr>
          <w:rFonts w:ascii="Arial" w:hAnsi="Arial" w:cs="Arial"/>
          <w:szCs w:val="24"/>
        </w:rPr>
        <w:t xml:space="preserve"> customers of the option to pay over time (15 years) or in a lump sum.  </w:t>
      </w:r>
      <w:r>
        <w:rPr>
          <w:rFonts w:ascii="Arial" w:hAnsi="Arial" w:cs="Arial"/>
          <w:szCs w:val="24"/>
        </w:rPr>
        <w:t>Customers also have the option to pay off the account at any time with a discount.</w:t>
      </w:r>
    </w:p>
    <w:p w:rsidR="00140E63" w:rsidRDefault="00140E63" w:rsidP="00140E63">
      <w:pPr>
        <w:pStyle w:val="Flush1CS1"/>
        <w:tabs>
          <w:tab w:val="left" w:pos="720"/>
          <w:tab w:val="decimal" w:pos="7200"/>
        </w:tabs>
        <w:jc w:val="both"/>
        <w:rPr>
          <w:rFonts w:ascii="Arial" w:hAnsi="Arial" w:cs="Arial"/>
          <w:szCs w:val="24"/>
        </w:rPr>
      </w:pPr>
    </w:p>
    <w:p w:rsidR="00140E63" w:rsidRDefault="00140E63" w:rsidP="00140E63">
      <w:pPr>
        <w:jc w:val="both"/>
        <w:rPr>
          <w:rFonts w:ascii="Arial" w:hAnsi="Arial" w:cs="Arial"/>
        </w:rPr>
      </w:pPr>
      <w:r w:rsidRPr="0057565D">
        <w:rPr>
          <w:rFonts w:ascii="Arial" w:hAnsi="Arial" w:cs="Arial"/>
        </w:rPr>
        <w:t>The cumulative amount of the capacity charge as proposed for 201</w:t>
      </w:r>
      <w:r>
        <w:rPr>
          <w:rFonts w:ascii="Arial" w:hAnsi="Arial" w:cs="Arial"/>
        </w:rPr>
        <w:t>8</w:t>
      </w:r>
      <w:r w:rsidRPr="0057565D">
        <w:rPr>
          <w:rFonts w:ascii="Arial" w:hAnsi="Arial" w:cs="Arial"/>
        </w:rPr>
        <w:t xml:space="preserve"> at $6</w:t>
      </w:r>
      <w:r>
        <w:rPr>
          <w:rFonts w:ascii="Arial" w:hAnsi="Arial" w:cs="Arial"/>
        </w:rPr>
        <w:t>2</w:t>
      </w:r>
      <w:r w:rsidRPr="0057565D">
        <w:rPr>
          <w:rFonts w:ascii="Arial" w:hAnsi="Arial" w:cs="Arial"/>
        </w:rPr>
        <w:t>.</w:t>
      </w:r>
      <w:r>
        <w:rPr>
          <w:rFonts w:ascii="Arial" w:hAnsi="Arial" w:cs="Arial"/>
        </w:rPr>
        <w:t>6</w:t>
      </w:r>
      <w:r w:rsidRPr="0057565D">
        <w:rPr>
          <w:rFonts w:ascii="Arial" w:hAnsi="Arial" w:cs="Arial"/>
        </w:rPr>
        <w:t xml:space="preserve">0 </w:t>
      </w:r>
      <w:r>
        <w:rPr>
          <w:rFonts w:ascii="Arial" w:hAnsi="Arial" w:cs="Arial"/>
        </w:rPr>
        <w:t xml:space="preserve">per month </w:t>
      </w:r>
      <w:r w:rsidRPr="0057565D">
        <w:rPr>
          <w:rFonts w:ascii="Arial" w:hAnsi="Arial" w:cs="Arial"/>
        </w:rPr>
        <w:t>would amount to $</w:t>
      </w:r>
      <w:r>
        <w:rPr>
          <w:rFonts w:ascii="Arial" w:hAnsi="Arial" w:cs="Arial"/>
        </w:rPr>
        <w:t>11,268</w:t>
      </w:r>
      <w:r w:rsidRPr="0057565D">
        <w:rPr>
          <w:rFonts w:ascii="Arial" w:hAnsi="Arial" w:cs="Arial"/>
        </w:rPr>
        <w:t xml:space="preserve"> if paid </w:t>
      </w:r>
      <w:r>
        <w:rPr>
          <w:rFonts w:ascii="Arial" w:hAnsi="Arial" w:cs="Arial"/>
        </w:rPr>
        <w:t>over</w:t>
      </w:r>
      <w:r w:rsidRPr="0057565D">
        <w:rPr>
          <w:rFonts w:ascii="Arial" w:hAnsi="Arial" w:cs="Arial"/>
        </w:rPr>
        <w:t xml:space="preserve"> the full term of 15 years.  An up-front payment, discounted at approximately 2.8% compounded over the 15 years, would </w:t>
      </w:r>
      <w:r>
        <w:rPr>
          <w:rFonts w:ascii="Arial" w:hAnsi="Arial" w:cs="Arial"/>
        </w:rPr>
        <w:t>reduce the</w:t>
      </w:r>
      <w:r w:rsidRPr="0057565D">
        <w:rPr>
          <w:rFonts w:ascii="Arial" w:hAnsi="Arial" w:cs="Arial"/>
        </w:rPr>
        <w:t xml:space="preserve"> payment </w:t>
      </w:r>
      <w:r>
        <w:rPr>
          <w:rFonts w:ascii="Arial" w:hAnsi="Arial" w:cs="Arial"/>
        </w:rPr>
        <w:t>to</w:t>
      </w:r>
      <w:r w:rsidRPr="0057565D">
        <w:rPr>
          <w:rFonts w:ascii="Arial" w:hAnsi="Arial" w:cs="Arial"/>
        </w:rPr>
        <w:t xml:space="preserve"> $</w:t>
      </w:r>
      <w:r>
        <w:rPr>
          <w:rFonts w:ascii="Arial" w:hAnsi="Arial" w:cs="Arial"/>
        </w:rPr>
        <w:t xml:space="preserve">9,171 </w:t>
      </w:r>
      <w:r w:rsidRPr="0057565D">
        <w:rPr>
          <w:rFonts w:ascii="Arial" w:hAnsi="Arial" w:cs="Arial"/>
        </w:rPr>
        <w:t>in 201</w:t>
      </w:r>
      <w:r>
        <w:rPr>
          <w:rFonts w:ascii="Arial" w:hAnsi="Arial" w:cs="Arial"/>
        </w:rPr>
        <w:t>8</w:t>
      </w:r>
      <w:r w:rsidRPr="0057565D">
        <w:rPr>
          <w:rFonts w:ascii="Arial" w:hAnsi="Arial" w:cs="Arial"/>
        </w:rPr>
        <w:t>, if paid as a lump sum. In practice, many people choose to pay this as a lump sum and have the amount rolled into mortgage payments.</w:t>
      </w:r>
      <w:r>
        <w:rPr>
          <w:rFonts w:ascii="Arial" w:hAnsi="Arial" w:cs="Arial"/>
        </w:rPr>
        <w:t xml:space="preserve"> </w:t>
      </w:r>
    </w:p>
    <w:p w:rsidR="00140E63" w:rsidRPr="00377CEE" w:rsidRDefault="00140E63" w:rsidP="00140E63">
      <w:pPr>
        <w:pStyle w:val="BodyText"/>
        <w:rPr>
          <w:rFonts w:ascii="Arial" w:hAnsi="Arial" w:cs="Arial"/>
          <w:szCs w:val="24"/>
        </w:rPr>
      </w:pPr>
    </w:p>
    <w:p w:rsidR="00140E63" w:rsidRDefault="00140E63" w:rsidP="00140E63">
      <w:pPr>
        <w:rPr>
          <w:rFonts w:ascii="Arial" w:hAnsi="Arial" w:cs="Arial"/>
          <w:b/>
          <w:u w:val="single"/>
        </w:rPr>
      </w:pPr>
      <w:r w:rsidRPr="00C6218C">
        <w:rPr>
          <w:rFonts w:ascii="Arial" w:hAnsi="Arial" w:cs="Arial"/>
          <w:b/>
          <w:u w:val="single"/>
        </w:rPr>
        <w:t>ANALYSIS</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As the regional wastewater system has taken on recent and ongoing major capital undertakings, it has funded these projects primarily through bonded indebtedness</w:t>
      </w:r>
      <w:r w:rsidR="00085595">
        <w:rPr>
          <w:rFonts w:ascii="Arial" w:hAnsi="Arial" w:cs="Arial"/>
        </w:rPr>
        <w:t xml:space="preserve">, consistent with RWSP policy.  </w:t>
      </w:r>
      <w:r>
        <w:rPr>
          <w:rFonts w:ascii="Arial" w:hAnsi="Arial" w:cs="Arial"/>
        </w:rPr>
        <w:t xml:space="preserve">The Brightwater Treatment Plant, completed in 2012, ongoing conveyance system projects, and the Combined Sewer Overflow capital projects, mandated by a consent decree with the state Department of Ecology and federal </w:t>
      </w:r>
      <w:r>
        <w:rPr>
          <w:rFonts w:ascii="Arial" w:hAnsi="Arial" w:cs="Arial"/>
        </w:rPr>
        <w:lastRenderedPageBreak/>
        <w:t xml:space="preserve">Environmental Protection Agency, represent the primary project expenditures supported by the growth in capital debt.  </w:t>
      </w:r>
      <w:r w:rsidR="00085595">
        <w:rPr>
          <w:rFonts w:ascii="Arial" w:hAnsi="Arial" w:cs="Arial"/>
        </w:rPr>
        <w:t>Chart 2 below shows the total 2017 debt by project era.</w:t>
      </w:r>
    </w:p>
    <w:p w:rsidR="00140E63" w:rsidRDefault="00140E63" w:rsidP="00140E63">
      <w:pPr>
        <w:jc w:val="center"/>
        <w:rPr>
          <w:rFonts w:ascii="Arial" w:hAnsi="Arial" w:cs="Arial"/>
        </w:rPr>
      </w:pPr>
    </w:p>
    <w:p w:rsidR="00140E63" w:rsidRDefault="00140E63" w:rsidP="00140E63">
      <w:pPr>
        <w:jc w:val="both"/>
        <w:rPr>
          <w:rFonts w:ascii="Arial" w:hAnsi="Arial" w:cs="Arial"/>
        </w:rPr>
      </w:pPr>
    </w:p>
    <w:p w:rsidR="00140E63" w:rsidRDefault="00140E63" w:rsidP="00140E63">
      <w:pPr>
        <w:jc w:val="both"/>
        <w:rPr>
          <w:rFonts w:ascii="Arial" w:hAnsi="Arial" w:cs="Arial"/>
        </w:rPr>
      </w:pPr>
      <w:r>
        <w:rPr>
          <w:noProof/>
          <w:lang w:eastAsia="ko-KR"/>
        </w:rPr>
        <w:drawing>
          <wp:inline distT="0" distB="0" distL="0" distR="0" wp14:anchorId="13F80F1B" wp14:editId="2E682818">
            <wp:extent cx="5942330" cy="4718756"/>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273" cy="4722681"/>
                    </a:xfrm>
                    <a:prstGeom prst="rect">
                      <a:avLst/>
                    </a:prstGeom>
                    <a:noFill/>
                  </pic:spPr>
                </pic:pic>
              </a:graphicData>
            </a:graphic>
          </wp:inline>
        </w:drawing>
      </w:r>
    </w:p>
    <w:p w:rsidR="00140E63" w:rsidRDefault="00140E63" w:rsidP="00140E63">
      <w:pPr>
        <w:jc w:val="both"/>
        <w:rPr>
          <w:rFonts w:ascii="Arial" w:hAnsi="Arial" w:cs="Arial"/>
        </w:rPr>
      </w:pPr>
    </w:p>
    <w:p w:rsidR="00140E63" w:rsidRDefault="00140E63" w:rsidP="00140E63">
      <w:pPr>
        <w:jc w:val="both"/>
        <w:rPr>
          <w:rFonts w:ascii="Arial" w:hAnsi="Arial" w:cs="Arial"/>
        </w:rPr>
      </w:pPr>
    </w:p>
    <w:p w:rsidR="00140E63" w:rsidRDefault="00140E63"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085595" w:rsidRDefault="00085595" w:rsidP="00140E63">
      <w:pPr>
        <w:jc w:val="both"/>
        <w:rPr>
          <w:rFonts w:ascii="Arial" w:hAnsi="Arial" w:cs="Arial"/>
        </w:rPr>
      </w:pPr>
    </w:p>
    <w:p w:rsidR="00140E63" w:rsidRPr="00085595" w:rsidRDefault="00140E63" w:rsidP="00085595">
      <w:pPr>
        <w:jc w:val="both"/>
        <w:rPr>
          <w:rFonts w:ascii="Arial" w:hAnsi="Arial" w:cs="Arial"/>
        </w:rPr>
      </w:pPr>
      <w:r>
        <w:rPr>
          <w:rFonts w:ascii="Arial" w:hAnsi="Arial" w:cs="Arial"/>
        </w:rPr>
        <w:lastRenderedPageBreak/>
        <w:t xml:space="preserve">Much of the operating revenue (52 percent) goes towards debt service payments, as shown in Chart 3 below. </w:t>
      </w:r>
    </w:p>
    <w:p w:rsidR="00140E63" w:rsidRDefault="00140E63" w:rsidP="00140E63">
      <w:pPr>
        <w:keepNext/>
        <w:jc w:val="center"/>
        <w:rPr>
          <w:rFonts w:ascii="Arial" w:hAnsi="Arial" w:cs="Arial"/>
          <w:b/>
          <w:bCs/>
        </w:rPr>
      </w:pPr>
    </w:p>
    <w:p w:rsidR="00140E63" w:rsidRDefault="00140E63" w:rsidP="00140E63">
      <w:pPr>
        <w:keepNext/>
        <w:jc w:val="center"/>
        <w:rPr>
          <w:rFonts w:ascii="Arial" w:hAnsi="Arial" w:cs="Arial"/>
          <w:b/>
          <w:bCs/>
        </w:rPr>
      </w:pPr>
      <w:r w:rsidRPr="0057565D">
        <w:rPr>
          <w:rFonts w:ascii="Arial" w:hAnsi="Arial" w:cs="Arial"/>
          <w:b/>
          <w:bCs/>
        </w:rPr>
        <w:t xml:space="preserve">Chart </w:t>
      </w:r>
      <w:r>
        <w:rPr>
          <w:rFonts w:ascii="Arial" w:hAnsi="Arial" w:cs="Arial"/>
          <w:b/>
          <w:bCs/>
        </w:rPr>
        <w:t>3.</w:t>
      </w:r>
      <w:r>
        <w:rPr>
          <w:rFonts w:ascii="Arial" w:hAnsi="Arial" w:cs="Arial"/>
        </w:rPr>
        <w:t xml:space="preserve">  </w:t>
      </w:r>
      <w:r>
        <w:rPr>
          <w:rFonts w:ascii="Arial" w:hAnsi="Arial" w:cs="Arial"/>
          <w:b/>
          <w:bCs/>
        </w:rPr>
        <w:t>Revenue Utilization, 2018 Proposed Sewer Rate</w:t>
      </w:r>
    </w:p>
    <w:p w:rsidR="00140E63" w:rsidRPr="00377CEE" w:rsidRDefault="00140E63" w:rsidP="00140E63">
      <w:pPr>
        <w:keepNext/>
        <w:jc w:val="center"/>
        <w:rPr>
          <w:rFonts w:ascii="Arial" w:hAnsi="Arial" w:cs="Arial"/>
          <w:b/>
          <w:bCs/>
        </w:rPr>
      </w:pPr>
    </w:p>
    <w:p w:rsidR="00140E63" w:rsidRPr="00085595" w:rsidRDefault="00140E63" w:rsidP="00085595">
      <w:pPr>
        <w:keepNext/>
        <w:spacing w:after="160" w:line="259" w:lineRule="auto"/>
        <w:rPr>
          <w:noProof/>
        </w:rPr>
      </w:pPr>
      <w:r>
        <w:rPr>
          <w:noProof/>
          <w:lang w:eastAsia="ko-KR"/>
        </w:rPr>
        <w:drawing>
          <wp:inline distT="0" distB="0" distL="0" distR="0" wp14:anchorId="17719572" wp14:editId="7B7F0130">
            <wp:extent cx="6151880" cy="451555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0083" cy="4521577"/>
                    </a:xfrm>
                    <a:prstGeom prst="rect">
                      <a:avLst/>
                    </a:prstGeom>
                    <a:noFill/>
                  </pic:spPr>
                </pic:pic>
              </a:graphicData>
            </a:graphic>
          </wp:inline>
        </w:drawing>
      </w:r>
    </w:p>
    <w:p w:rsidR="00140E63" w:rsidRDefault="00140E63" w:rsidP="00140E63">
      <w:pPr>
        <w:jc w:val="both"/>
        <w:rPr>
          <w:rFonts w:ascii="Arial" w:hAnsi="Arial" w:cs="Arial"/>
          <w:b/>
        </w:rPr>
      </w:pPr>
    </w:p>
    <w:p w:rsidR="00140E63" w:rsidRPr="0057565D" w:rsidRDefault="00140E63" w:rsidP="00140E63">
      <w:pPr>
        <w:jc w:val="both"/>
        <w:rPr>
          <w:rFonts w:ascii="Arial" w:hAnsi="Arial" w:cs="Arial"/>
          <w:b/>
        </w:rPr>
      </w:pPr>
      <w:r>
        <w:rPr>
          <w:rFonts w:ascii="Arial" w:hAnsi="Arial" w:cs="Arial"/>
          <w:b/>
        </w:rPr>
        <w:t>Cash Funding for Capital Projects</w:t>
      </w:r>
    </w:p>
    <w:p w:rsidR="00140E63" w:rsidRDefault="00140E63" w:rsidP="00140E63">
      <w:pPr>
        <w:jc w:val="both"/>
        <w:rPr>
          <w:rFonts w:ascii="Arial" w:hAnsi="Arial" w:cs="Arial"/>
        </w:rPr>
      </w:pPr>
      <w:r>
        <w:rPr>
          <w:rFonts w:ascii="Arial" w:hAnsi="Arial" w:cs="Arial"/>
        </w:rPr>
        <w:t xml:space="preserve">As noted, this rate continues the practice of 40 percent cash funding of capital projects, reducing the amount that must </w:t>
      </w:r>
      <w:r w:rsidR="00B90074">
        <w:rPr>
          <w:rFonts w:ascii="Arial" w:hAnsi="Arial" w:cs="Arial"/>
        </w:rPr>
        <w:t>be raised through debt.  Chart 4</w:t>
      </w:r>
      <w:r>
        <w:rPr>
          <w:rFonts w:ascii="Arial" w:hAnsi="Arial" w:cs="Arial"/>
        </w:rPr>
        <w:t xml:space="preserve"> below demonstrates the results, over time, of this cash funding strategy.  Projected debt would be $234 million less than under previous practices by 2023.  While debt issuance would continue to rise, </w:t>
      </w:r>
      <w:r w:rsidR="00B90074">
        <w:rPr>
          <w:rFonts w:ascii="Arial" w:hAnsi="Arial" w:cs="Arial"/>
        </w:rPr>
        <w:t xml:space="preserve">due </w:t>
      </w:r>
      <w:r>
        <w:rPr>
          <w:rFonts w:ascii="Arial" w:hAnsi="Arial" w:cs="Arial"/>
        </w:rPr>
        <w:t xml:space="preserve">primarily </w:t>
      </w:r>
      <w:r w:rsidR="00B90074">
        <w:rPr>
          <w:rFonts w:ascii="Arial" w:hAnsi="Arial" w:cs="Arial"/>
        </w:rPr>
        <w:t>to</w:t>
      </w:r>
      <w:r>
        <w:rPr>
          <w:rFonts w:ascii="Arial" w:hAnsi="Arial" w:cs="Arial"/>
        </w:rPr>
        <w:t xml:space="preserve"> required Combined Sewer Overflow projects, debt le</w:t>
      </w:r>
      <w:r w:rsidR="00B90074">
        <w:rPr>
          <w:rFonts w:ascii="Arial" w:hAnsi="Arial" w:cs="Arial"/>
        </w:rPr>
        <w:t>vels would not rise as rapidly.</w:t>
      </w:r>
    </w:p>
    <w:p w:rsidR="00140E63" w:rsidRDefault="00140E63" w:rsidP="00140E63">
      <w:pPr>
        <w:jc w:val="center"/>
        <w:rPr>
          <w:rFonts w:ascii="Arial" w:hAnsi="Arial" w:cs="Arial"/>
          <w:b/>
          <w:bCs/>
        </w:rPr>
      </w:pPr>
    </w:p>
    <w:p w:rsidR="00140E63" w:rsidRDefault="00140E63" w:rsidP="00140E63">
      <w:pPr>
        <w:keepNext/>
        <w:jc w:val="center"/>
        <w:rPr>
          <w:rFonts w:ascii="Arial" w:hAnsi="Arial" w:cs="Arial"/>
          <w:b/>
          <w:bCs/>
        </w:rPr>
      </w:pPr>
      <w:r w:rsidRPr="0057565D">
        <w:rPr>
          <w:rFonts w:ascii="Arial" w:hAnsi="Arial" w:cs="Arial"/>
          <w:b/>
          <w:bCs/>
        </w:rPr>
        <w:lastRenderedPageBreak/>
        <w:t xml:space="preserve">Chart </w:t>
      </w:r>
      <w:r w:rsidR="00B90074">
        <w:rPr>
          <w:rFonts w:ascii="Arial" w:hAnsi="Arial" w:cs="Arial"/>
          <w:b/>
          <w:bCs/>
        </w:rPr>
        <w:t>4</w:t>
      </w:r>
      <w:r>
        <w:rPr>
          <w:rFonts w:ascii="Arial" w:hAnsi="Arial" w:cs="Arial"/>
          <w:b/>
          <w:bCs/>
        </w:rPr>
        <w:t>.</w:t>
      </w:r>
      <w:r>
        <w:rPr>
          <w:rFonts w:ascii="Arial" w:hAnsi="Arial" w:cs="Arial"/>
        </w:rPr>
        <w:t xml:space="preserve">  </w:t>
      </w:r>
      <w:r>
        <w:rPr>
          <w:rFonts w:ascii="Arial" w:hAnsi="Arial" w:cs="Arial"/>
          <w:b/>
        </w:rPr>
        <w:t xml:space="preserve">Future Debt </w:t>
      </w:r>
      <w:r>
        <w:rPr>
          <w:rFonts w:ascii="Arial" w:hAnsi="Arial" w:cs="Arial"/>
          <w:b/>
          <w:bCs/>
        </w:rPr>
        <w:t>Impact of 40% Cash Funding</w:t>
      </w:r>
    </w:p>
    <w:p w:rsidR="00B90074" w:rsidRPr="0057565D" w:rsidRDefault="00B90074" w:rsidP="00140E63">
      <w:pPr>
        <w:keepNext/>
        <w:jc w:val="center"/>
        <w:rPr>
          <w:rFonts w:ascii="Arial" w:hAnsi="Arial" w:cs="Arial"/>
        </w:rPr>
      </w:pPr>
    </w:p>
    <w:p w:rsidR="00140E63" w:rsidRDefault="00140E63" w:rsidP="00140E63">
      <w:pPr>
        <w:keepNext/>
        <w:spacing w:after="160" w:line="259" w:lineRule="auto"/>
        <w:rPr>
          <w:rFonts w:ascii="Arial" w:hAnsi="Arial" w:cs="Arial"/>
          <w:b/>
          <w:bCs/>
        </w:rPr>
      </w:pPr>
      <w:r w:rsidRPr="0064429A">
        <w:rPr>
          <w:rFonts w:ascii="Arial" w:hAnsi="Arial" w:cs="Arial"/>
          <w:b/>
          <w:bCs/>
          <w:noProof/>
          <w:lang w:eastAsia="ko-KR"/>
        </w:rPr>
        <w:drawing>
          <wp:inline distT="0" distB="0" distL="0" distR="0" wp14:anchorId="5633015A" wp14:editId="7DC7B9C0">
            <wp:extent cx="5943600" cy="4502150"/>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02150"/>
                    </a:xfrm>
                    <a:prstGeom prst="rect">
                      <a:avLst/>
                    </a:prstGeom>
                    <a:noFill/>
                    <a:ln>
                      <a:noFill/>
                    </a:ln>
                    <a:effectLst/>
                    <a:extLst/>
                  </pic:spPr>
                </pic:pic>
              </a:graphicData>
            </a:graphic>
          </wp:inline>
        </w:drawing>
      </w:r>
    </w:p>
    <w:p w:rsidR="00140E63" w:rsidRDefault="00140E63" w:rsidP="00140E63">
      <w:pPr>
        <w:spacing w:line="259" w:lineRule="auto"/>
        <w:rPr>
          <w:rFonts w:ascii="Arial" w:hAnsi="Arial" w:cs="Arial"/>
          <w:b/>
        </w:rPr>
      </w:pPr>
    </w:p>
    <w:p w:rsidR="00140E63" w:rsidRPr="0057565D" w:rsidRDefault="00140E63" w:rsidP="00140E63">
      <w:pPr>
        <w:spacing w:line="259" w:lineRule="auto"/>
        <w:rPr>
          <w:rFonts w:ascii="Arial" w:hAnsi="Arial" w:cs="Arial"/>
          <w:b/>
        </w:rPr>
      </w:pPr>
      <w:r>
        <w:rPr>
          <w:rFonts w:ascii="Arial" w:hAnsi="Arial" w:cs="Arial"/>
          <w:b/>
        </w:rPr>
        <w:t>Debt Payment Coverage Ratio</w:t>
      </w:r>
    </w:p>
    <w:p w:rsidR="00140E63" w:rsidRDefault="00140E63" w:rsidP="00140E63">
      <w:pPr>
        <w:jc w:val="both"/>
        <w:rPr>
          <w:rFonts w:ascii="Arial" w:hAnsi="Arial" w:cs="Arial"/>
        </w:rPr>
      </w:pPr>
      <w:r>
        <w:rPr>
          <w:rFonts w:ascii="Arial" w:hAnsi="Arial" w:cs="Arial"/>
        </w:rPr>
        <w:t xml:space="preserve">WTD has historically structured rate proposals to provide debt payment coverage ratios of at least 1.15.  That is, for each $1 needed to make annual payments on all bonded indebtedness, $1.15 is raised in revenue. This debt coverage ratio is a commonly-used metric by bond rating agencies and bond purchasers, as a signal of the security of bond repayment capacity.  </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Several factors have acted to strengthen the agency’s financial position in 2017, including:</w:t>
      </w:r>
    </w:p>
    <w:p w:rsidR="00140E63" w:rsidRDefault="00140E63" w:rsidP="00140E63">
      <w:pPr>
        <w:jc w:val="both"/>
        <w:rPr>
          <w:rFonts w:ascii="Arial" w:hAnsi="Arial" w:cs="Arial"/>
        </w:rPr>
      </w:pPr>
    </w:p>
    <w:p w:rsidR="00140E63" w:rsidRDefault="00140E63" w:rsidP="00140E63">
      <w:pPr>
        <w:pStyle w:val="ListParagraph"/>
        <w:numPr>
          <w:ilvl w:val="0"/>
          <w:numId w:val="6"/>
        </w:numPr>
        <w:jc w:val="both"/>
        <w:rPr>
          <w:rFonts w:ascii="Arial" w:hAnsi="Arial" w:cs="Arial"/>
        </w:rPr>
      </w:pPr>
      <w:r>
        <w:rPr>
          <w:rFonts w:ascii="Arial" w:hAnsi="Arial" w:cs="Arial"/>
        </w:rPr>
        <w:t>Refunding bonds in September 2016, generating $10.8 million in debt service savings in 2016, 2017 and 2018.</w:t>
      </w:r>
    </w:p>
    <w:p w:rsidR="00140E63" w:rsidRDefault="00140E63" w:rsidP="00140E63">
      <w:pPr>
        <w:pStyle w:val="ListParagraph"/>
        <w:numPr>
          <w:ilvl w:val="0"/>
          <w:numId w:val="6"/>
        </w:numPr>
        <w:jc w:val="both"/>
        <w:rPr>
          <w:rFonts w:ascii="Arial" w:hAnsi="Arial" w:cs="Arial"/>
        </w:rPr>
      </w:pPr>
      <w:r>
        <w:rPr>
          <w:rFonts w:ascii="Arial" w:hAnsi="Arial" w:cs="Arial"/>
        </w:rPr>
        <w:t>Strong growth in the customer base generated an additional $12.3 million in sewer rate and capacity charge revenue in 2016.</w:t>
      </w:r>
    </w:p>
    <w:p w:rsidR="00140E63" w:rsidRDefault="00140E63" w:rsidP="00140E63">
      <w:pPr>
        <w:pStyle w:val="ListParagraph"/>
        <w:numPr>
          <w:ilvl w:val="0"/>
          <w:numId w:val="6"/>
        </w:numPr>
        <w:jc w:val="both"/>
        <w:rPr>
          <w:rFonts w:ascii="Arial" w:hAnsi="Arial" w:cs="Arial"/>
        </w:rPr>
      </w:pPr>
      <w:r>
        <w:rPr>
          <w:rFonts w:ascii="Arial" w:hAnsi="Arial" w:cs="Arial"/>
        </w:rPr>
        <w:t>Operating fund under-expenditures of $4.9 million in 2016.</w:t>
      </w:r>
    </w:p>
    <w:p w:rsidR="00140E63" w:rsidRDefault="00140E63" w:rsidP="00140E63">
      <w:pPr>
        <w:pStyle w:val="ListParagraph"/>
        <w:numPr>
          <w:ilvl w:val="0"/>
          <w:numId w:val="6"/>
        </w:numPr>
        <w:jc w:val="both"/>
        <w:rPr>
          <w:rFonts w:ascii="Arial" w:hAnsi="Arial" w:cs="Arial"/>
        </w:rPr>
      </w:pPr>
      <w:r>
        <w:rPr>
          <w:rFonts w:ascii="Arial" w:hAnsi="Arial" w:cs="Arial"/>
        </w:rPr>
        <w:t>New practice of funding 40 percent of the capital program with cash, as discussed during deliberations last year on the 2017 wastewater rate.</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lastRenderedPageBreak/>
        <w:t xml:space="preserve">As a result, the debt </w:t>
      </w:r>
      <w:r w:rsidR="007A2A16">
        <w:rPr>
          <w:rFonts w:ascii="Arial" w:hAnsi="Arial" w:cs="Arial"/>
        </w:rPr>
        <w:t>service coverage ratio, at year</w:t>
      </w:r>
      <w:r>
        <w:rPr>
          <w:rFonts w:ascii="Arial" w:hAnsi="Arial" w:cs="Arial"/>
        </w:rPr>
        <w:t xml:space="preserve">-end 2016, was 1.40, well </w:t>
      </w:r>
      <w:r w:rsidR="007A2A16">
        <w:rPr>
          <w:rFonts w:ascii="Arial" w:hAnsi="Arial" w:cs="Arial"/>
        </w:rPr>
        <w:t>above the 1.15 historic level.</w:t>
      </w:r>
    </w:p>
    <w:p w:rsidR="007A2A16" w:rsidRDefault="007A2A16" w:rsidP="00140E63">
      <w:pPr>
        <w:jc w:val="both"/>
        <w:rPr>
          <w:rFonts w:ascii="Arial" w:hAnsi="Arial" w:cs="Arial"/>
        </w:rPr>
      </w:pPr>
    </w:p>
    <w:p w:rsidR="00140E63" w:rsidRPr="00926A96" w:rsidRDefault="00140E63" w:rsidP="00140E63">
      <w:pPr>
        <w:jc w:val="both"/>
        <w:rPr>
          <w:rFonts w:ascii="Arial" w:hAnsi="Arial" w:cs="Arial"/>
        </w:rPr>
      </w:pPr>
      <w:r>
        <w:rPr>
          <w:rFonts w:ascii="Arial" w:hAnsi="Arial" w:cs="Arial"/>
        </w:rPr>
        <w:t xml:space="preserve">Additionally, this strong financial position has enabled the </w:t>
      </w:r>
      <w:r w:rsidR="007A2A16">
        <w:rPr>
          <w:rFonts w:ascii="Arial" w:hAnsi="Arial" w:cs="Arial"/>
        </w:rPr>
        <w:t>WTD</w:t>
      </w:r>
      <w:r>
        <w:rPr>
          <w:rFonts w:ascii="Arial" w:hAnsi="Arial" w:cs="Arial"/>
        </w:rPr>
        <w:t xml:space="preserve"> to adjust its debt issuance profile.  In the Financial Plan presented by the agency last year, a $60 million parity bond sale was projected for 2018.  This year’s financial plan eliminates that sale, while retaining plans for 2018 issuance of $43.4 million in variable rate debt, as well as $16.1 million of state revolving fund loans. </w:t>
      </w:r>
    </w:p>
    <w:p w:rsidR="00140E63" w:rsidRDefault="00140E63" w:rsidP="00140E63">
      <w:pPr>
        <w:jc w:val="both"/>
        <w:rPr>
          <w:rFonts w:ascii="Arial" w:hAnsi="Arial" w:cs="Arial"/>
        </w:rPr>
      </w:pPr>
    </w:p>
    <w:p w:rsidR="00140E63" w:rsidRDefault="00140E63" w:rsidP="00140E63">
      <w:pPr>
        <w:jc w:val="both"/>
        <w:rPr>
          <w:rFonts w:ascii="Arial" w:hAnsi="Arial" w:cs="Arial"/>
          <w:b/>
        </w:rPr>
      </w:pPr>
      <w:r>
        <w:rPr>
          <w:rFonts w:ascii="Arial" w:hAnsi="Arial" w:cs="Arial"/>
          <w:b/>
        </w:rPr>
        <w:t>Rate Stabilization Reserve</w:t>
      </w:r>
    </w:p>
    <w:p w:rsidR="00140E63" w:rsidRDefault="00140E63" w:rsidP="00140E63">
      <w:pPr>
        <w:jc w:val="both"/>
        <w:rPr>
          <w:rFonts w:ascii="Arial" w:hAnsi="Arial" w:cs="Arial"/>
        </w:rPr>
      </w:pPr>
      <w:r>
        <w:rPr>
          <w:rFonts w:ascii="Arial" w:hAnsi="Arial" w:cs="Arial"/>
        </w:rPr>
        <w:t xml:space="preserve">Beginning in 2005, WTD has deposited funds in a “rate stabilization reserve” as a tool to help manage rate increases by deferring available operating revenues into future years; funds were withdrawn as required, to moderate rates.  As part of the 2017 rate proposal, the Executive had proposed to draw the reserve down to $12.0 million, by 2023.   </w:t>
      </w:r>
    </w:p>
    <w:p w:rsidR="00140E63"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 xml:space="preserve">The current rate proposal, however, retains level funding in the reserve on a continuing basis.  The current balance of $46.3 million would be maintained through 2023; if contingencies present the agency with significant unanticipated expenses, the Rate Stabilization Reserve would be drawn upon to stabilize future rate levels.  This strategy addresses the interests of rating agencies with maintaining adequate liquidity.  </w:t>
      </w:r>
    </w:p>
    <w:p w:rsidR="00140E63" w:rsidRDefault="00140E63" w:rsidP="00140E63">
      <w:pPr>
        <w:jc w:val="both"/>
        <w:rPr>
          <w:rFonts w:ascii="Arial" w:hAnsi="Arial" w:cs="Arial"/>
        </w:rPr>
      </w:pPr>
    </w:p>
    <w:p w:rsidR="00140E63" w:rsidRDefault="00140E63" w:rsidP="00140E63">
      <w:pPr>
        <w:pStyle w:val="Caption"/>
        <w:spacing w:before="0" w:after="0"/>
        <w:rPr>
          <w:rFonts w:ascii="Arial" w:hAnsi="Arial" w:cs="Arial"/>
        </w:rPr>
      </w:pPr>
      <w:r w:rsidRPr="001C0E5F">
        <w:rPr>
          <w:rFonts w:ascii="Arial" w:hAnsi="Arial" w:cs="Arial"/>
        </w:rPr>
        <w:t xml:space="preserve">Table 4. </w:t>
      </w:r>
      <w:r>
        <w:rPr>
          <w:rFonts w:ascii="Arial" w:hAnsi="Arial" w:cs="Arial"/>
        </w:rPr>
        <w:t>Rate Stabilization Reserve, 2015</w:t>
      </w:r>
      <w:r w:rsidRPr="001C0E5F">
        <w:rPr>
          <w:rFonts w:ascii="Arial" w:hAnsi="Arial" w:cs="Arial"/>
        </w:rPr>
        <w:t>-202</w:t>
      </w:r>
      <w:r>
        <w:rPr>
          <w:rFonts w:ascii="Arial" w:hAnsi="Arial" w:cs="Arial"/>
        </w:rPr>
        <w:t>1</w:t>
      </w:r>
      <w:r w:rsidRPr="001C0E5F">
        <w:rPr>
          <w:rFonts w:ascii="Arial" w:hAnsi="Arial" w:cs="Arial"/>
        </w:rPr>
        <w:t xml:space="preserve"> (million</w:t>
      </w:r>
      <w:r>
        <w:rPr>
          <w:rFonts w:ascii="Arial" w:hAnsi="Arial" w:cs="Arial"/>
        </w:rPr>
        <w:t>s of</w:t>
      </w:r>
      <w:r w:rsidRPr="001C0E5F">
        <w:rPr>
          <w:rFonts w:ascii="Arial" w:hAnsi="Arial" w:cs="Arial"/>
        </w:rPr>
        <w:t xml:space="preserve"> dollars)</w:t>
      </w:r>
    </w:p>
    <w:p w:rsidR="007A2A16" w:rsidRPr="007A2A16" w:rsidRDefault="007A2A16" w:rsidP="007A2A16"/>
    <w:tbl>
      <w:tblPr>
        <w:tblW w:w="8100" w:type="dxa"/>
        <w:jc w:val="center"/>
        <w:tblLook w:val="04A0" w:firstRow="1" w:lastRow="0" w:firstColumn="1" w:lastColumn="0" w:noHBand="0" w:noVBand="1"/>
      </w:tblPr>
      <w:tblGrid>
        <w:gridCol w:w="921"/>
        <w:gridCol w:w="900"/>
        <w:gridCol w:w="69"/>
        <w:gridCol w:w="810"/>
        <w:gridCol w:w="61"/>
        <w:gridCol w:w="749"/>
        <w:gridCol w:w="171"/>
        <w:gridCol w:w="639"/>
        <w:gridCol w:w="299"/>
        <w:gridCol w:w="468"/>
        <w:gridCol w:w="481"/>
        <w:gridCol w:w="329"/>
        <w:gridCol w:w="630"/>
        <w:gridCol w:w="137"/>
        <w:gridCol w:w="767"/>
        <w:gridCol w:w="767"/>
      </w:tblGrid>
      <w:tr w:rsidR="00140E63" w:rsidRPr="00A00E9A" w:rsidTr="007A2A16">
        <w:trPr>
          <w:trHeight w:val="300"/>
          <w:jc w:val="center"/>
        </w:trPr>
        <w:tc>
          <w:tcPr>
            <w:tcW w:w="1890" w:type="dxa"/>
            <w:gridSpan w:val="3"/>
            <w:tcBorders>
              <w:top w:val="nil"/>
              <w:left w:val="nil"/>
              <w:bottom w:val="single" w:sz="4" w:space="0" w:color="auto"/>
              <w:right w:val="single" w:sz="4" w:space="0" w:color="auto"/>
            </w:tcBorders>
            <w:shd w:val="clear" w:color="auto" w:fill="auto"/>
            <w:noWrap/>
            <w:vAlign w:val="bottom"/>
            <w:hideMark/>
          </w:tcPr>
          <w:p w:rsidR="00140E63" w:rsidRPr="00A00E9A" w:rsidRDefault="00140E63" w:rsidP="007A2A16">
            <w:pPr>
              <w:jc w:val="center"/>
              <w:rPr>
                <w:rFonts w:ascii="Arial" w:hAnsi="Arial" w:cs="Arial"/>
                <w:sz w:val="20"/>
              </w:rPr>
            </w:pPr>
            <w:r w:rsidRPr="00A00E9A">
              <w:rPr>
                <w:rFonts w:ascii="Arial" w:hAnsi="Arial" w:cs="Arial"/>
                <w:sz w:val="20"/>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2016</w:t>
            </w:r>
          </w:p>
        </w:tc>
        <w:tc>
          <w:tcPr>
            <w:tcW w:w="8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2017</w:t>
            </w:r>
          </w:p>
        </w:tc>
        <w:tc>
          <w:tcPr>
            <w:tcW w:w="8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2018</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2019</w:t>
            </w:r>
          </w:p>
        </w:tc>
        <w:tc>
          <w:tcPr>
            <w:tcW w:w="8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2020</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2021</w:t>
            </w:r>
          </w:p>
        </w:tc>
        <w:tc>
          <w:tcPr>
            <w:tcW w:w="79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2022</w:t>
            </w:r>
          </w:p>
        </w:tc>
        <w:tc>
          <w:tcPr>
            <w:tcW w:w="73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40E63" w:rsidRPr="00D1170A" w:rsidRDefault="00140E63" w:rsidP="007A2A16">
            <w:pPr>
              <w:jc w:val="center"/>
              <w:rPr>
                <w:rFonts w:ascii="Arial" w:hAnsi="Arial" w:cs="Arial"/>
                <w:b/>
                <w:bCs/>
                <w:sz w:val="22"/>
                <w:szCs w:val="22"/>
              </w:rPr>
            </w:pPr>
            <w:r w:rsidRPr="00D1170A">
              <w:rPr>
                <w:rFonts w:ascii="Arial" w:hAnsi="Arial" w:cs="Arial"/>
                <w:b/>
                <w:bCs/>
                <w:sz w:val="22"/>
                <w:szCs w:val="22"/>
              </w:rPr>
              <w:t>2023</w:t>
            </w:r>
          </w:p>
        </w:tc>
      </w:tr>
      <w:tr w:rsidR="00140E63" w:rsidRPr="00A00E9A" w:rsidTr="007A2A16">
        <w:trPr>
          <w:trHeight w:val="300"/>
          <w:jc w:val="center"/>
        </w:trPr>
        <w:tc>
          <w:tcPr>
            <w:tcW w:w="1890" w:type="dxa"/>
            <w:gridSpan w:val="3"/>
            <w:tcBorders>
              <w:top w:val="nil"/>
              <w:left w:val="single" w:sz="4" w:space="0" w:color="auto"/>
              <w:bottom w:val="single" w:sz="4" w:space="0" w:color="auto"/>
              <w:right w:val="single" w:sz="4" w:space="0" w:color="auto"/>
            </w:tcBorders>
            <w:shd w:val="clear" w:color="auto" w:fill="auto"/>
            <w:noWrap/>
            <w:vAlign w:val="bottom"/>
            <w:hideMark/>
          </w:tcPr>
          <w:p w:rsidR="00140E63" w:rsidRPr="00D1170A" w:rsidRDefault="00140E63" w:rsidP="007A2A16">
            <w:pPr>
              <w:rPr>
                <w:rFonts w:ascii="Arial" w:hAnsi="Arial" w:cs="Arial"/>
                <w:b/>
                <w:sz w:val="22"/>
                <w:szCs w:val="22"/>
              </w:rPr>
            </w:pPr>
            <w:r w:rsidRPr="00D1170A">
              <w:rPr>
                <w:rFonts w:ascii="Arial" w:hAnsi="Arial" w:cs="Arial"/>
                <w:b/>
                <w:sz w:val="22"/>
                <w:szCs w:val="22"/>
              </w:rPr>
              <w:t>Beginning balance</w:t>
            </w:r>
          </w:p>
        </w:tc>
        <w:tc>
          <w:tcPr>
            <w:tcW w:w="810" w:type="dxa"/>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91"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39"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r>
      <w:tr w:rsidR="00140E63" w:rsidRPr="00A00E9A" w:rsidTr="007A2A16">
        <w:trPr>
          <w:trHeight w:val="300"/>
          <w:jc w:val="center"/>
        </w:trPr>
        <w:tc>
          <w:tcPr>
            <w:tcW w:w="1890" w:type="dxa"/>
            <w:gridSpan w:val="3"/>
            <w:tcBorders>
              <w:top w:val="nil"/>
              <w:left w:val="single" w:sz="4" w:space="0" w:color="auto"/>
              <w:bottom w:val="single" w:sz="4" w:space="0" w:color="auto"/>
              <w:right w:val="single" w:sz="4" w:space="0" w:color="auto"/>
            </w:tcBorders>
            <w:shd w:val="clear" w:color="auto" w:fill="auto"/>
            <w:noWrap/>
            <w:vAlign w:val="bottom"/>
            <w:hideMark/>
          </w:tcPr>
          <w:p w:rsidR="00140E63" w:rsidRPr="00D1170A" w:rsidRDefault="00140E63" w:rsidP="007A2A16">
            <w:pPr>
              <w:rPr>
                <w:rFonts w:ascii="Arial" w:hAnsi="Arial" w:cs="Arial"/>
                <w:b/>
                <w:sz w:val="22"/>
                <w:szCs w:val="22"/>
              </w:rPr>
            </w:pPr>
            <w:r w:rsidRPr="00D1170A">
              <w:rPr>
                <w:rFonts w:ascii="Arial" w:hAnsi="Arial" w:cs="Arial"/>
                <w:b/>
                <w:sz w:val="22"/>
                <w:szCs w:val="22"/>
              </w:rPr>
              <w:t>Additions</w:t>
            </w:r>
          </w:p>
        </w:tc>
        <w:tc>
          <w:tcPr>
            <w:tcW w:w="810" w:type="dxa"/>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91"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39"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r>
      <w:tr w:rsidR="00140E63" w:rsidRPr="00A00E9A" w:rsidTr="007A2A16">
        <w:trPr>
          <w:trHeight w:val="300"/>
          <w:jc w:val="center"/>
        </w:trPr>
        <w:tc>
          <w:tcPr>
            <w:tcW w:w="1890" w:type="dxa"/>
            <w:gridSpan w:val="3"/>
            <w:tcBorders>
              <w:top w:val="nil"/>
              <w:left w:val="single" w:sz="4" w:space="0" w:color="auto"/>
              <w:bottom w:val="single" w:sz="4" w:space="0" w:color="auto"/>
              <w:right w:val="single" w:sz="4" w:space="0" w:color="auto"/>
            </w:tcBorders>
            <w:shd w:val="clear" w:color="auto" w:fill="auto"/>
            <w:noWrap/>
            <w:vAlign w:val="bottom"/>
            <w:hideMark/>
          </w:tcPr>
          <w:p w:rsidR="00140E63" w:rsidRPr="00D1170A" w:rsidRDefault="00140E63" w:rsidP="007A2A16">
            <w:pPr>
              <w:rPr>
                <w:rFonts w:ascii="Arial" w:hAnsi="Arial" w:cs="Arial"/>
                <w:b/>
                <w:sz w:val="22"/>
                <w:szCs w:val="22"/>
              </w:rPr>
            </w:pPr>
            <w:r w:rsidRPr="00D1170A">
              <w:rPr>
                <w:rFonts w:ascii="Arial" w:hAnsi="Arial" w:cs="Arial"/>
                <w:b/>
                <w:sz w:val="22"/>
                <w:szCs w:val="22"/>
              </w:rPr>
              <w:t>Reductions</w:t>
            </w:r>
          </w:p>
        </w:tc>
        <w:tc>
          <w:tcPr>
            <w:tcW w:w="810" w:type="dxa"/>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81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2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81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2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91"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c>
          <w:tcPr>
            <w:tcW w:w="739"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$0.0</w:t>
            </w:r>
          </w:p>
        </w:tc>
      </w:tr>
      <w:tr w:rsidR="00140E63" w:rsidRPr="00A00E9A" w:rsidTr="007A2A16">
        <w:trPr>
          <w:trHeight w:val="300"/>
          <w:jc w:val="center"/>
        </w:trPr>
        <w:tc>
          <w:tcPr>
            <w:tcW w:w="1890" w:type="dxa"/>
            <w:gridSpan w:val="3"/>
            <w:tcBorders>
              <w:top w:val="nil"/>
              <w:left w:val="single" w:sz="4" w:space="0" w:color="auto"/>
              <w:bottom w:val="single" w:sz="4" w:space="0" w:color="auto"/>
              <w:right w:val="single" w:sz="4" w:space="0" w:color="auto"/>
            </w:tcBorders>
            <w:shd w:val="clear" w:color="auto" w:fill="auto"/>
            <w:noWrap/>
            <w:vAlign w:val="bottom"/>
            <w:hideMark/>
          </w:tcPr>
          <w:p w:rsidR="00140E63" w:rsidRPr="00D1170A" w:rsidRDefault="00140E63" w:rsidP="007A2A16">
            <w:pPr>
              <w:rPr>
                <w:rFonts w:ascii="Arial" w:hAnsi="Arial" w:cs="Arial"/>
                <w:b/>
                <w:sz w:val="22"/>
                <w:szCs w:val="22"/>
              </w:rPr>
            </w:pPr>
            <w:r w:rsidRPr="00D1170A">
              <w:rPr>
                <w:rFonts w:ascii="Arial" w:hAnsi="Arial" w:cs="Arial"/>
                <w:b/>
                <w:sz w:val="22"/>
                <w:szCs w:val="22"/>
              </w:rPr>
              <w:t>Ending balance</w:t>
            </w:r>
          </w:p>
        </w:tc>
        <w:tc>
          <w:tcPr>
            <w:tcW w:w="810" w:type="dxa"/>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81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2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81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20" w:type="dxa"/>
            <w:gridSpan w:val="2"/>
            <w:tcBorders>
              <w:top w:val="nil"/>
              <w:left w:val="nil"/>
              <w:bottom w:val="single" w:sz="4" w:space="0" w:color="auto"/>
              <w:right w:val="single" w:sz="4" w:space="0" w:color="auto"/>
            </w:tcBorders>
            <w:shd w:val="clear" w:color="auto" w:fill="auto"/>
            <w:noWrap/>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91"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c>
          <w:tcPr>
            <w:tcW w:w="739" w:type="dxa"/>
            <w:tcBorders>
              <w:top w:val="nil"/>
              <w:left w:val="nil"/>
              <w:bottom w:val="single" w:sz="4" w:space="0" w:color="auto"/>
              <w:right w:val="single" w:sz="4" w:space="0" w:color="auto"/>
            </w:tcBorders>
            <w:vAlign w:val="bottom"/>
          </w:tcPr>
          <w:p w:rsidR="00140E63" w:rsidRPr="00D1170A" w:rsidRDefault="00140E63" w:rsidP="007A2A16">
            <w:pPr>
              <w:jc w:val="right"/>
              <w:rPr>
                <w:rFonts w:ascii="Arial" w:hAnsi="Arial" w:cs="Arial"/>
                <w:sz w:val="22"/>
                <w:szCs w:val="22"/>
              </w:rPr>
            </w:pPr>
            <w:r w:rsidRPr="00D1170A">
              <w:rPr>
                <w:rFonts w:ascii="Arial" w:hAnsi="Arial" w:cs="Arial"/>
                <w:sz w:val="22"/>
                <w:szCs w:val="22"/>
              </w:rPr>
              <w:t>$46.3</w:t>
            </w:r>
          </w:p>
        </w:tc>
      </w:tr>
      <w:tr w:rsidR="00140E63" w:rsidRPr="000A05A5" w:rsidTr="007A2A16">
        <w:trPr>
          <w:gridAfter w:val="1"/>
          <w:wAfter w:w="739" w:type="dxa"/>
          <w:trHeight w:val="300"/>
          <w:jc w:val="center"/>
        </w:trPr>
        <w:tc>
          <w:tcPr>
            <w:tcW w:w="921" w:type="dxa"/>
            <w:tcBorders>
              <w:top w:val="nil"/>
              <w:left w:val="nil"/>
              <w:bottom w:val="nil"/>
              <w:right w:val="nil"/>
            </w:tcBorders>
            <w:shd w:val="clear" w:color="auto" w:fill="auto"/>
            <w:noWrap/>
            <w:vAlign w:val="bottom"/>
            <w:hideMark/>
          </w:tcPr>
          <w:p w:rsidR="00140E63" w:rsidRPr="000A05A5" w:rsidRDefault="00140E63" w:rsidP="007A2A16">
            <w:pPr>
              <w:rPr>
                <w:rFonts w:ascii="Arial" w:hAnsi="Arial" w:cs="Arial"/>
                <w:sz w:val="20"/>
              </w:rPr>
            </w:pPr>
          </w:p>
        </w:tc>
        <w:tc>
          <w:tcPr>
            <w:tcW w:w="900" w:type="dxa"/>
            <w:tcBorders>
              <w:top w:val="nil"/>
              <w:left w:val="nil"/>
              <w:bottom w:val="nil"/>
              <w:right w:val="nil"/>
            </w:tcBorders>
            <w:shd w:val="clear" w:color="auto" w:fill="auto"/>
            <w:noWrap/>
            <w:vAlign w:val="bottom"/>
            <w:hideMark/>
          </w:tcPr>
          <w:p w:rsidR="00140E63" w:rsidRPr="000A05A5" w:rsidRDefault="00140E63" w:rsidP="007A2A16">
            <w:pPr>
              <w:rPr>
                <w:rFonts w:ascii="Arial" w:hAnsi="Arial" w:cs="Arial"/>
                <w:sz w:val="20"/>
              </w:rPr>
            </w:pPr>
          </w:p>
        </w:tc>
        <w:tc>
          <w:tcPr>
            <w:tcW w:w="940" w:type="dxa"/>
            <w:gridSpan w:val="3"/>
            <w:tcBorders>
              <w:top w:val="nil"/>
              <w:left w:val="nil"/>
              <w:bottom w:val="nil"/>
              <w:right w:val="nil"/>
            </w:tcBorders>
            <w:shd w:val="clear" w:color="auto" w:fill="auto"/>
            <w:noWrap/>
            <w:vAlign w:val="bottom"/>
            <w:hideMark/>
          </w:tcPr>
          <w:p w:rsidR="00140E63" w:rsidRPr="000A05A5" w:rsidRDefault="00140E63" w:rsidP="007A2A16">
            <w:pPr>
              <w:rPr>
                <w:rFonts w:ascii="Arial" w:hAnsi="Arial" w:cs="Arial"/>
                <w:sz w:val="20"/>
              </w:rPr>
            </w:pPr>
          </w:p>
        </w:tc>
        <w:tc>
          <w:tcPr>
            <w:tcW w:w="920" w:type="dxa"/>
            <w:gridSpan w:val="2"/>
            <w:tcBorders>
              <w:top w:val="nil"/>
              <w:left w:val="nil"/>
              <w:bottom w:val="nil"/>
              <w:right w:val="nil"/>
            </w:tcBorders>
            <w:shd w:val="clear" w:color="auto" w:fill="auto"/>
            <w:noWrap/>
            <w:vAlign w:val="bottom"/>
            <w:hideMark/>
          </w:tcPr>
          <w:p w:rsidR="00140E63" w:rsidRPr="000A05A5" w:rsidRDefault="00140E63" w:rsidP="007A2A16">
            <w:pPr>
              <w:rPr>
                <w:rFonts w:ascii="Arial" w:hAnsi="Arial" w:cs="Arial"/>
                <w:sz w:val="20"/>
              </w:rPr>
            </w:pPr>
          </w:p>
        </w:tc>
        <w:tc>
          <w:tcPr>
            <w:tcW w:w="920" w:type="dxa"/>
            <w:gridSpan w:val="2"/>
            <w:tcBorders>
              <w:top w:val="nil"/>
              <w:left w:val="nil"/>
              <w:bottom w:val="nil"/>
              <w:right w:val="nil"/>
            </w:tcBorders>
            <w:shd w:val="clear" w:color="auto" w:fill="auto"/>
            <w:noWrap/>
            <w:vAlign w:val="bottom"/>
            <w:hideMark/>
          </w:tcPr>
          <w:p w:rsidR="00140E63" w:rsidRPr="000A05A5" w:rsidRDefault="00140E63" w:rsidP="007A2A16">
            <w:pPr>
              <w:rPr>
                <w:rFonts w:ascii="Arial" w:hAnsi="Arial" w:cs="Arial"/>
                <w:sz w:val="20"/>
              </w:rPr>
            </w:pPr>
          </w:p>
        </w:tc>
        <w:tc>
          <w:tcPr>
            <w:tcW w:w="920" w:type="dxa"/>
            <w:gridSpan w:val="2"/>
            <w:tcBorders>
              <w:top w:val="nil"/>
              <w:left w:val="nil"/>
              <w:bottom w:val="nil"/>
              <w:right w:val="nil"/>
            </w:tcBorders>
            <w:shd w:val="clear" w:color="auto" w:fill="auto"/>
            <w:noWrap/>
            <w:vAlign w:val="bottom"/>
            <w:hideMark/>
          </w:tcPr>
          <w:p w:rsidR="00140E63" w:rsidRPr="000A05A5" w:rsidRDefault="00140E63" w:rsidP="007A2A16">
            <w:pPr>
              <w:rPr>
                <w:rFonts w:ascii="Arial" w:hAnsi="Arial" w:cs="Arial"/>
                <w:sz w:val="20"/>
              </w:rPr>
            </w:pPr>
          </w:p>
        </w:tc>
        <w:tc>
          <w:tcPr>
            <w:tcW w:w="920" w:type="dxa"/>
            <w:gridSpan w:val="2"/>
            <w:tcBorders>
              <w:top w:val="nil"/>
              <w:left w:val="nil"/>
              <w:bottom w:val="nil"/>
              <w:right w:val="nil"/>
            </w:tcBorders>
          </w:tcPr>
          <w:p w:rsidR="00140E63" w:rsidRPr="000A05A5" w:rsidRDefault="00140E63" w:rsidP="007A2A16">
            <w:pPr>
              <w:rPr>
                <w:rFonts w:ascii="Arial" w:hAnsi="Arial" w:cs="Arial"/>
                <w:sz w:val="20"/>
              </w:rPr>
            </w:pPr>
          </w:p>
        </w:tc>
        <w:tc>
          <w:tcPr>
            <w:tcW w:w="920" w:type="dxa"/>
            <w:gridSpan w:val="2"/>
            <w:tcBorders>
              <w:top w:val="nil"/>
              <w:left w:val="nil"/>
              <w:bottom w:val="nil"/>
              <w:right w:val="nil"/>
            </w:tcBorders>
          </w:tcPr>
          <w:p w:rsidR="00140E63" w:rsidRPr="000A05A5" w:rsidRDefault="00140E63" w:rsidP="007A2A16">
            <w:pPr>
              <w:rPr>
                <w:rFonts w:ascii="Arial" w:hAnsi="Arial" w:cs="Arial"/>
                <w:sz w:val="20"/>
              </w:rPr>
            </w:pPr>
          </w:p>
        </w:tc>
      </w:tr>
    </w:tbl>
    <w:p w:rsidR="00140E63" w:rsidRPr="001266C7" w:rsidRDefault="00140E63" w:rsidP="00140E63">
      <w:pPr>
        <w:jc w:val="both"/>
        <w:rPr>
          <w:rFonts w:ascii="Arial" w:hAnsi="Arial" w:cs="Arial"/>
          <w:b/>
        </w:rPr>
      </w:pPr>
      <w:r>
        <w:rPr>
          <w:rFonts w:ascii="Arial" w:hAnsi="Arial" w:cs="Arial"/>
          <w:b/>
        </w:rPr>
        <w:t>Expenses and Revenues</w:t>
      </w:r>
    </w:p>
    <w:p w:rsidR="00140E63" w:rsidRDefault="00140E63" w:rsidP="00140E63">
      <w:pPr>
        <w:jc w:val="both"/>
        <w:rPr>
          <w:rFonts w:ascii="Arial" w:hAnsi="Arial" w:cs="Arial"/>
        </w:rPr>
      </w:pPr>
      <w:r>
        <w:rPr>
          <w:rFonts w:ascii="Arial" w:hAnsi="Arial" w:cs="Arial"/>
        </w:rPr>
        <w:t>The Executive reports that operating expenses for 2018 are projected to be $155.2 million, a 2.2 percent increase over the 2017 adopted budget.  The key elements driving this increase are identified as a projected increase in WTD’s insurance rate.  In response to inquiry as to whether insurance increase projections are related to the February 9</w:t>
      </w:r>
      <w:r w:rsidR="007A2A16" w:rsidRPr="007A2A16">
        <w:rPr>
          <w:rFonts w:ascii="Arial" w:hAnsi="Arial" w:cs="Arial"/>
          <w:vertAlign w:val="superscript"/>
        </w:rPr>
        <w:t>th</w:t>
      </w:r>
      <w:r w:rsidR="007A2A16">
        <w:rPr>
          <w:rFonts w:ascii="Arial" w:hAnsi="Arial" w:cs="Arial"/>
        </w:rPr>
        <w:t>, 2017</w:t>
      </w:r>
      <w:r>
        <w:rPr>
          <w:rFonts w:ascii="Arial" w:hAnsi="Arial" w:cs="Arial"/>
        </w:rPr>
        <w:t xml:space="preserve"> West Point system failure event, the Executive indicates that the County is in discussions with insurance carriers regarding policies for the regional system, not specific to individual facilities.</w:t>
      </w:r>
    </w:p>
    <w:p w:rsidR="00140E63" w:rsidRPr="004E58CF" w:rsidRDefault="00140E63" w:rsidP="00140E63">
      <w:pPr>
        <w:ind w:left="360"/>
        <w:contextualSpacing/>
        <w:jc w:val="both"/>
        <w:rPr>
          <w:rFonts w:ascii="Arial" w:hAnsi="Arial" w:cs="Arial"/>
        </w:rPr>
      </w:pPr>
    </w:p>
    <w:p w:rsidR="00140E63" w:rsidRPr="004E58CF" w:rsidRDefault="00140E63" w:rsidP="00140E63">
      <w:pPr>
        <w:jc w:val="both"/>
        <w:rPr>
          <w:rFonts w:ascii="Arial" w:hAnsi="Arial" w:cs="Arial"/>
        </w:rPr>
      </w:pPr>
      <w:r w:rsidRPr="004E58CF">
        <w:rPr>
          <w:rFonts w:ascii="Arial" w:hAnsi="Arial" w:cs="Arial"/>
        </w:rPr>
        <w:t>Operating revenues are projected at $</w:t>
      </w:r>
      <w:r>
        <w:rPr>
          <w:rFonts w:ascii="Arial" w:hAnsi="Arial" w:cs="Arial"/>
        </w:rPr>
        <w:t>499</w:t>
      </w:r>
      <w:r w:rsidRPr="004E58CF">
        <w:rPr>
          <w:rFonts w:ascii="Arial" w:hAnsi="Arial" w:cs="Arial"/>
        </w:rPr>
        <w:t xml:space="preserve"> million for 201</w:t>
      </w:r>
      <w:r>
        <w:rPr>
          <w:rFonts w:ascii="Arial" w:hAnsi="Arial" w:cs="Arial"/>
        </w:rPr>
        <w:t>8</w:t>
      </w:r>
      <w:r w:rsidRPr="004E58CF">
        <w:rPr>
          <w:rFonts w:ascii="Arial" w:hAnsi="Arial" w:cs="Arial"/>
        </w:rPr>
        <w:t xml:space="preserve">.  This is </w:t>
      </w:r>
      <w:r>
        <w:rPr>
          <w:rFonts w:ascii="Arial" w:hAnsi="Arial" w:cs="Arial"/>
        </w:rPr>
        <w:t xml:space="preserve">1.8 percent higher than the </w:t>
      </w:r>
      <w:r w:rsidRPr="004E58CF">
        <w:rPr>
          <w:rFonts w:ascii="Arial" w:hAnsi="Arial" w:cs="Arial"/>
        </w:rPr>
        <w:t xml:space="preserve">forecast </w:t>
      </w:r>
      <w:r>
        <w:rPr>
          <w:rFonts w:ascii="Arial" w:hAnsi="Arial" w:cs="Arial"/>
        </w:rPr>
        <w:t>for 2017 revenues</w:t>
      </w:r>
      <w:r w:rsidRPr="004E58CF">
        <w:rPr>
          <w:rFonts w:ascii="Arial" w:hAnsi="Arial" w:cs="Arial"/>
        </w:rPr>
        <w:t xml:space="preserve">.  The net increase of $26.4 million in operating revenues is generated from increases in both sewer rate revenue and capacity charge revenue, as shown in Table </w:t>
      </w:r>
      <w:r>
        <w:rPr>
          <w:rFonts w:ascii="Arial" w:hAnsi="Arial" w:cs="Arial"/>
        </w:rPr>
        <w:t>5</w:t>
      </w:r>
      <w:r w:rsidRPr="004E58CF">
        <w:rPr>
          <w:rFonts w:ascii="Arial" w:hAnsi="Arial" w:cs="Arial"/>
        </w:rPr>
        <w:t xml:space="preserve"> below.  </w:t>
      </w:r>
    </w:p>
    <w:p w:rsidR="00140E63" w:rsidRDefault="00140E63" w:rsidP="00140E63">
      <w:pPr>
        <w:jc w:val="center"/>
        <w:rPr>
          <w:rFonts w:ascii="Arial" w:hAnsi="Arial" w:cs="Arial"/>
          <w:b/>
        </w:rPr>
      </w:pPr>
    </w:p>
    <w:p w:rsidR="007A2A16" w:rsidRDefault="007A2A16" w:rsidP="00140E63">
      <w:pPr>
        <w:jc w:val="center"/>
        <w:rPr>
          <w:rFonts w:ascii="Arial" w:hAnsi="Arial" w:cs="Arial"/>
          <w:b/>
        </w:rPr>
      </w:pPr>
    </w:p>
    <w:p w:rsidR="007A2A16" w:rsidRDefault="007A2A16" w:rsidP="00140E63">
      <w:pPr>
        <w:jc w:val="center"/>
        <w:rPr>
          <w:rFonts w:ascii="Arial" w:hAnsi="Arial" w:cs="Arial"/>
          <w:b/>
        </w:rPr>
      </w:pPr>
    </w:p>
    <w:p w:rsidR="007A2A16" w:rsidRDefault="007A2A16" w:rsidP="00140E63">
      <w:pPr>
        <w:jc w:val="center"/>
        <w:rPr>
          <w:rFonts w:ascii="Arial" w:hAnsi="Arial" w:cs="Arial"/>
          <w:b/>
        </w:rPr>
      </w:pPr>
    </w:p>
    <w:p w:rsidR="007A2A16" w:rsidRDefault="007A2A16" w:rsidP="00140E63">
      <w:pPr>
        <w:jc w:val="center"/>
        <w:rPr>
          <w:rFonts w:ascii="Arial" w:hAnsi="Arial" w:cs="Arial"/>
          <w:b/>
        </w:rPr>
      </w:pPr>
    </w:p>
    <w:p w:rsidR="007A2A16" w:rsidRDefault="007A2A16" w:rsidP="00140E63">
      <w:pPr>
        <w:jc w:val="center"/>
        <w:rPr>
          <w:rFonts w:ascii="Arial" w:hAnsi="Arial" w:cs="Arial"/>
          <w:b/>
        </w:rPr>
      </w:pPr>
    </w:p>
    <w:p w:rsidR="00140E63" w:rsidRDefault="00140E63" w:rsidP="00140E63">
      <w:pPr>
        <w:jc w:val="center"/>
        <w:rPr>
          <w:rFonts w:ascii="Arial" w:hAnsi="Arial" w:cs="Arial"/>
          <w:b/>
        </w:rPr>
      </w:pPr>
      <w:r w:rsidRPr="005A696D">
        <w:rPr>
          <w:rFonts w:ascii="Arial" w:hAnsi="Arial" w:cs="Arial"/>
          <w:b/>
        </w:rPr>
        <w:lastRenderedPageBreak/>
        <w:t>Table</w:t>
      </w:r>
      <w:r>
        <w:rPr>
          <w:rFonts w:ascii="Arial" w:hAnsi="Arial" w:cs="Arial"/>
          <w:b/>
        </w:rPr>
        <w:t xml:space="preserve"> 5</w:t>
      </w:r>
      <w:r w:rsidRPr="005A696D">
        <w:rPr>
          <w:rFonts w:ascii="Arial" w:hAnsi="Arial" w:cs="Arial"/>
          <w:b/>
        </w:rPr>
        <w:t>.  Revenues Supporting Wastewater Operations and Capital</w:t>
      </w:r>
    </w:p>
    <w:p w:rsidR="007A2A16" w:rsidRPr="005A696D" w:rsidRDefault="007A2A16" w:rsidP="00140E63">
      <w:pPr>
        <w:jc w:val="center"/>
        <w:rPr>
          <w:rFonts w:ascii="Arial" w:hAnsi="Arial" w:cs="Arial"/>
          <w:b/>
        </w:rPr>
      </w:pPr>
    </w:p>
    <w:tbl>
      <w:tblPr>
        <w:tblStyle w:val="TableGrid"/>
        <w:tblW w:w="0" w:type="auto"/>
        <w:tblLayout w:type="fixed"/>
        <w:tblLook w:val="04A0" w:firstRow="1" w:lastRow="0" w:firstColumn="1" w:lastColumn="0" w:noHBand="0" w:noVBand="1"/>
      </w:tblPr>
      <w:tblGrid>
        <w:gridCol w:w="2065"/>
        <w:gridCol w:w="1112"/>
        <w:gridCol w:w="1161"/>
        <w:gridCol w:w="990"/>
        <w:gridCol w:w="990"/>
        <w:gridCol w:w="1080"/>
        <w:gridCol w:w="967"/>
        <w:gridCol w:w="985"/>
      </w:tblGrid>
      <w:tr w:rsidR="00140E63" w:rsidRPr="004E3FB7" w:rsidTr="007A2A16">
        <w:tc>
          <w:tcPr>
            <w:tcW w:w="2065" w:type="dxa"/>
            <w:shd w:val="clear" w:color="auto" w:fill="D9D9D9" w:themeFill="background1" w:themeFillShade="D9"/>
          </w:tcPr>
          <w:p w:rsidR="00140E63" w:rsidRPr="004E3FB7" w:rsidRDefault="00140E63" w:rsidP="007A2A16">
            <w:pPr>
              <w:jc w:val="center"/>
              <w:rPr>
                <w:rFonts w:ascii="Arial" w:hAnsi="Arial" w:cs="Arial"/>
                <w:b/>
                <w:sz w:val="18"/>
                <w:szCs w:val="18"/>
              </w:rPr>
            </w:pPr>
          </w:p>
        </w:tc>
        <w:tc>
          <w:tcPr>
            <w:tcW w:w="1112" w:type="dxa"/>
            <w:shd w:val="clear" w:color="auto" w:fill="D9D9D9" w:themeFill="background1" w:themeFillShade="D9"/>
          </w:tcPr>
          <w:p w:rsidR="00140E63" w:rsidRPr="00D1170A" w:rsidRDefault="00140E63" w:rsidP="007A2A16">
            <w:pPr>
              <w:jc w:val="center"/>
              <w:rPr>
                <w:rFonts w:ascii="Arial" w:hAnsi="Arial" w:cs="Arial"/>
                <w:b/>
                <w:sz w:val="20"/>
              </w:rPr>
            </w:pPr>
            <w:r w:rsidRPr="00D1170A">
              <w:rPr>
                <w:rFonts w:ascii="Arial" w:hAnsi="Arial" w:cs="Arial"/>
                <w:b/>
                <w:sz w:val="20"/>
              </w:rPr>
              <w:t>2017 Forecast</w:t>
            </w:r>
          </w:p>
        </w:tc>
        <w:tc>
          <w:tcPr>
            <w:tcW w:w="1161" w:type="dxa"/>
            <w:shd w:val="clear" w:color="auto" w:fill="D9D9D9" w:themeFill="background1" w:themeFillShade="D9"/>
          </w:tcPr>
          <w:p w:rsidR="00140E63" w:rsidRPr="00D1170A" w:rsidRDefault="00140E63" w:rsidP="007A2A16">
            <w:pPr>
              <w:jc w:val="center"/>
              <w:rPr>
                <w:rFonts w:ascii="Arial" w:hAnsi="Arial" w:cs="Arial"/>
                <w:b/>
                <w:sz w:val="20"/>
              </w:rPr>
            </w:pPr>
            <w:r w:rsidRPr="00D1170A">
              <w:rPr>
                <w:rFonts w:ascii="Arial" w:hAnsi="Arial" w:cs="Arial"/>
                <w:b/>
                <w:sz w:val="20"/>
              </w:rPr>
              <w:t>2018 Forecast</w:t>
            </w:r>
          </w:p>
        </w:tc>
        <w:tc>
          <w:tcPr>
            <w:tcW w:w="990" w:type="dxa"/>
            <w:shd w:val="clear" w:color="auto" w:fill="D9D9D9" w:themeFill="background1" w:themeFillShade="D9"/>
          </w:tcPr>
          <w:p w:rsidR="00140E63" w:rsidRPr="00D1170A" w:rsidRDefault="00140E63" w:rsidP="007A2A16">
            <w:pPr>
              <w:jc w:val="center"/>
              <w:rPr>
                <w:rFonts w:ascii="Arial" w:hAnsi="Arial" w:cs="Arial"/>
                <w:b/>
                <w:sz w:val="20"/>
              </w:rPr>
            </w:pPr>
            <w:r w:rsidRPr="00D1170A">
              <w:rPr>
                <w:rFonts w:ascii="Arial" w:hAnsi="Arial" w:cs="Arial"/>
                <w:b/>
                <w:sz w:val="20"/>
              </w:rPr>
              <w:t>Change</w:t>
            </w:r>
          </w:p>
        </w:tc>
        <w:tc>
          <w:tcPr>
            <w:tcW w:w="990" w:type="dxa"/>
            <w:shd w:val="clear" w:color="auto" w:fill="D9D9D9" w:themeFill="background1" w:themeFillShade="D9"/>
          </w:tcPr>
          <w:p w:rsidR="00140E63" w:rsidRPr="00D1170A" w:rsidRDefault="00140E63" w:rsidP="007A2A16">
            <w:pPr>
              <w:jc w:val="center"/>
              <w:rPr>
                <w:rFonts w:ascii="Arial" w:hAnsi="Arial" w:cs="Arial"/>
                <w:b/>
                <w:sz w:val="20"/>
              </w:rPr>
            </w:pPr>
            <w:r w:rsidRPr="00D1170A">
              <w:rPr>
                <w:rFonts w:ascii="Arial" w:hAnsi="Arial" w:cs="Arial"/>
                <w:b/>
                <w:sz w:val="20"/>
              </w:rPr>
              <w:t>% Change</w:t>
            </w:r>
          </w:p>
        </w:tc>
        <w:tc>
          <w:tcPr>
            <w:tcW w:w="1080" w:type="dxa"/>
            <w:shd w:val="clear" w:color="auto" w:fill="D9D9D9" w:themeFill="background1" w:themeFillShade="D9"/>
          </w:tcPr>
          <w:p w:rsidR="00140E63" w:rsidRPr="00D1170A" w:rsidRDefault="00140E63" w:rsidP="007A2A16">
            <w:pPr>
              <w:jc w:val="center"/>
              <w:rPr>
                <w:rFonts w:ascii="Arial" w:hAnsi="Arial" w:cs="Arial"/>
                <w:b/>
                <w:sz w:val="20"/>
              </w:rPr>
            </w:pPr>
            <w:r w:rsidRPr="00D1170A">
              <w:rPr>
                <w:rFonts w:ascii="Arial" w:hAnsi="Arial" w:cs="Arial"/>
                <w:b/>
                <w:sz w:val="20"/>
              </w:rPr>
              <w:t>2019 Forecast</w:t>
            </w:r>
          </w:p>
        </w:tc>
        <w:tc>
          <w:tcPr>
            <w:tcW w:w="967" w:type="dxa"/>
            <w:shd w:val="clear" w:color="auto" w:fill="D9D9D9" w:themeFill="background1" w:themeFillShade="D9"/>
          </w:tcPr>
          <w:p w:rsidR="00140E63" w:rsidRPr="00D1170A" w:rsidRDefault="00140E63" w:rsidP="007A2A16">
            <w:pPr>
              <w:jc w:val="center"/>
              <w:rPr>
                <w:rFonts w:ascii="Arial" w:hAnsi="Arial" w:cs="Arial"/>
                <w:b/>
                <w:sz w:val="20"/>
              </w:rPr>
            </w:pPr>
            <w:r w:rsidRPr="00D1170A">
              <w:rPr>
                <w:rFonts w:ascii="Arial" w:hAnsi="Arial" w:cs="Arial"/>
                <w:b/>
                <w:sz w:val="20"/>
              </w:rPr>
              <w:t>Change</w:t>
            </w:r>
          </w:p>
        </w:tc>
        <w:tc>
          <w:tcPr>
            <w:tcW w:w="985" w:type="dxa"/>
            <w:shd w:val="clear" w:color="auto" w:fill="D9D9D9" w:themeFill="background1" w:themeFillShade="D9"/>
          </w:tcPr>
          <w:p w:rsidR="00140E63" w:rsidRPr="00D1170A" w:rsidRDefault="00140E63" w:rsidP="007A2A16">
            <w:pPr>
              <w:jc w:val="center"/>
              <w:rPr>
                <w:rFonts w:ascii="Arial" w:hAnsi="Arial" w:cs="Arial"/>
                <w:b/>
                <w:sz w:val="20"/>
              </w:rPr>
            </w:pPr>
            <w:r w:rsidRPr="00D1170A">
              <w:rPr>
                <w:rFonts w:ascii="Arial" w:hAnsi="Arial" w:cs="Arial"/>
                <w:b/>
                <w:sz w:val="20"/>
              </w:rPr>
              <w:t>% Change</w:t>
            </w:r>
          </w:p>
        </w:tc>
      </w:tr>
      <w:tr w:rsidR="00140E63" w:rsidRPr="004E3FB7" w:rsidTr="007A2A16">
        <w:tc>
          <w:tcPr>
            <w:tcW w:w="2065" w:type="dxa"/>
          </w:tcPr>
          <w:p w:rsidR="00140E63" w:rsidRPr="00D1170A" w:rsidRDefault="00140E63" w:rsidP="007A2A16">
            <w:pPr>
              <w:rPr>
                <w:rFonts w:ascii="Arial" w:hAnsi="Arial" w:cs="Arial"/>
                <w:b/>
                <w:sz w:val="22"/>
                <w:szCs w:val="22"/>
              </w:rPr>
            </w:pPr>
            <w:r w:rsidRPr="00D1170A">
              <w:rPr>
                <w:rFonts w:ascii="Arial" w:hAnsi="Arial" w:cs="Arial"/>
                <w:b/>
                <w:sz w:val="22"/>
                <w:szCs w:val="22"/>
              </w:rPr>
              <w:t>Sewer Rate</w:t>
            </w:r>
          </w:p>
        </w:tc>
        <w:tc>
          <w:tcPr>
            <w:tcW w:w="1112"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$402.0</w:t>
            </w:r>
          </w:p>
        </w:tc>
        <w:tc>
          <w:tcPr>
            <w:tcW w:w="1161"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$404.4</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$2.4</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w:t>
            </w:r>
          </w:p>
        </w:tc>
        <w:tc>
          <w:tcPr>
            <w:tcW w:w="108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$421.6</w:t>
            </w:r>
          </w:p>
        </w:tc>
        <w:tc>
          <w:tcPr>
            <w:tcW w:w="96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$17.2</w:t>
            </w:r>
          </w:p>
        </w:tc>
        <w:tc>
          <w:tcPr>
            <w:tcW w:w="985"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4.3%</w:t>
            </w:r>
          </w:p>
        </w:tc>
      </w:tr>
      <w:tr w:rsidR="00140E63" w:rsidRPr="004E3FB7" w:rsidTr="007A2A16">
        <w:tc>
          <w:tcPr>
            <w:tcW w:w="2065" w:type="dxa"/>
          </w:tcPr>
          <w:p w:rsidR="00140E63" w:rsidRPr="00D1170A" w:rsidRDefault="00140E63" w:rsidP="007A2A16">
            <w:pPr>
              <w:rPr>
                <w:rFonts w:ascii="Arial" w:hAnsi="Arial" w:cs="Arial"/>
                <w:b/>
                <w:sz w:val="22"/>
                <w:szCs w:val="22"/>
              </w:rPr>
            </w:pPr>
            <w:r w:rsidRPr="00D1170A">
              <w:rPr>
                <w:rFonts w:ascii="Arial" w:hAnsi="Arial" w:cs="Arial"/>
                <w:b/>
                <w:sz w:val="22"/>
                <w:szCs w:val="22"/>
              </w:rPr>
              <w:t>Capacity Charge</w:t>
            </w:r>
          </w:p>
        </w:tc>
        <w:tc>
          <w:tcPr>
            <w:tcW w:w="1112"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$70.4</w:t>
            </w:r>
          </w:p>
        </w:tc>
        <w:tc>
          <w:tcPr>
            <w:tcW w:w="1161"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$75.6</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$5.3</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7.5%</w:t>
            </w:r>
          </w:p>
        </w:tc>
        <w:tc>
          <w:tcPr>
            <w:tcW w:w="108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$81.2</w:t>
            </w:r>
          </w:p>
        </w:tc>
        <w:tc>
          <w:tcPr>
            <w:tcW w:w="96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$5.2</w:t>
            </w:r>
          </w:p>
        </w:tc>
        <w:tc>
          <w:tcPr>
            <w:tcW w:w="985"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1.0%</w:t>
            </w:r>
          </w:p>
        </w:tc>
      </w:tr>
      <w:tr w:rsidR="00140E63" w:rsidRPr="004E3FB7" w:rsidTr="007A2A16">
        <w:tc>
          <w:tcPr>
            <w:tcW w:w="2065" w:type="dxa"/>
          </w:tcPr>
          <w:p w:rsidR="00140E63" w:rsidRPr="00D1170A" w:rsidRDefault="00140E63" w:rsidP="007A2A16">
            <w:pPr>
              <w:rPr>
                <w:rFonts w:ascii="Arial" w:hAnsi="Arial" w:cs="Arial"/>
                <w:b/>
                <w:sz w:val="22"/>
                <w:szCs w:val="22"/>
              </w:rPr>
            </w:pPr>
            <w:r w:rsidRPr="00D1170A">
              <w:rPr>
                <w:rFonts w:ascii="Arial" w:hAnsi="Arial" w:cs="Arial"/>
                <w:b/>
                <w:sz w:val="22"/>
                <w:szCs w:val="22"/>
              </w:rPr>
              <w:t>Other Income</w:t>
            </w:r>
          </w:p>
        </w:tc>
        <w:tc>
          <w:tcPr>
            <w:tcW w:w="1112"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$13.0</w:t>
            </w:r>
          </w:p>
        </w:tc>
        <w:tc>
          <w:tcPr>
            <w:tcW w:w="1161"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$13.4</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$0.3</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2.5%</w:t>
            </w:r>
          </w:p>
        </w:tc>
        <w:tc>
          <w:tcPr>
            <w:tcW w:w="108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$13.8</w:t>
            </w:r>
          </w:p>
        </w:tc>
        <w:tc>
          <w:tcPr>
            <w:tcW w:w="96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$0.4</w:t>
            </w:r>
          </w:p>
        </w:tc>
        <w:tc>
          <w:tcPr>
            <w:tcW w:w="985"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3.0%</w:t>
            </w:r>
          </w:p>
        </w:tc>
      </w:tr>
      <w:tr w:rsidR="00140E63" w:rsidRPr="004E3FB7" w:rsidTr="007A2A16">
        <w:tc>
          <w:tcPr>
            <w:tcW w:w="2065" w:type="dxa"/>
          </w:tcPr>
          <w:p w:rsidR="00140E63" w:rsidRPr="00D1170A" w:rsidRDefault="00140E63" w:rsidP="007A2A16">
            <w:pPr>
              <w:rPr>
                <w:rFonts w:ascii="Arial" w:hAnsi="Arial" w:cs="Arial"/>
                <w:b/>
                <w:sz w:val="22"/>
                <w:szCs w:val="22"/>
              </w:rPr>
            </w:pPr>
            <w:r w:rsidRPr="00D1170A">
              <w:rPr>
                <w:rFonts w:ascii="Arial" w:hAnsi="Arial" w:cs="Arial"/>
                <w:b/>
                <w:sz w:val="22"/>
                <w:szCs w:val="22"/>
              </w:rPr>
              <w:t>Investment Income</w:t>
            </w:r>
          </w:p>
        </w:tc>
        <w:tc>
          <w:tcPr>
            <w:tcW w:w="1112"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$5.0</w:t>
            </w:r>
          </w:p>
        </w:tc>
        <w:tc>
          <w:tcPr>
            <w:tcW w:w="1161"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$5.6</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w:t>
            </w:r>
          </w:p>
        </w:tc>
        <w:tc>
          <w:tcPr>
            <w:tcW w:w="99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11.9%</w:t>
            </w:r>
          </w:p>
        </w:tc>
        <w:tc>
          <w:tcPr>
            <w:tcW w:w="1080"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$7.4</w:t>
            </w:r>
          </w:p>
        </w:tc>
        <w:tc>
          <w:tcPr>
            <w:tcW w:w="96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$1.7</w:t>
            </w:r>
          </w:p>
        </w:tc>
        <w:tc>
          <w:tcPr>
            <w:tcW w:w="985"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30.8%</w:t>
            </w:r>
          </w:p>
        </w:tc>
      </w:tr>
      <w:tr w:rsidR="00140E63" w:rsidRPr="004E3FB7" w:rsidTr="007A2A16">
        <w:tc>
          <w:tcPr>
            <w:tcW w:w="2065" w:type="dxa"/>
          </w:tcPr>
          <w:p w:rsidR="00140E63" w:rsidRPr="00D1170A" w:rsidRDefault="00140E63" w:rsidP="007A2A16">
            <w:pPr>
              <w:rPr>
                <w:rFonts w:ascii="Arial" w:hAnsi="Arial" w:cs="Arial"/>
                <w:b/>
                <w:sz w:val="22"/>
                <w:szCs w:val="22"/>
              </w:rPr>
            </w:pPr>
            <w:r w:rsidRPr="00D1170A">
              <w:rPr>
                <w:rFonts w:ascii="Arial" w:hAnsi="Arial" w:cs="Arial"/>
                <w:b/>
                <w:sz w:val="22"/>
                <w:szCs w:val="22"/>
              </w:rPr>
              <w:t>Totals</w:t>
            </w:r>
          </w:p>
        </w:tc>
        <w:tc>
          <w:tcPr>
            <w:tcW w:w="1112" w:type="dxa"/>
          </w:tcPr>
          <w:p w:rsidR="00140E63" w:rsidRPr="00D1170A" w:rsidRDefault="00140E63" w:rsidP="007A2A16">
            <w:pPr>
              <w:jc w:val="right"/>
              <w:rPr>
                <w:rFonts w:ascii="Arial" w:hAnsi="Arial" w:cs="Arial"/>
                <w:b/>
                <w:sz w:val="22"/>
                <w:szCs w:val="22"/>
              </w:rPr>
            </w:pPr>
            <w:r w:rsidRPr="00D1170A">
              <w:rPr>
                <w:rFonts w:ascii="Arial" w:hAnsi="Arial" w:cs="Arial"/>
                <w:b/>
                <w:sz w:val="22"/>
                <w:szCs w:val="22"/>
              </w:rPr>
              <w:t>$490.5</w:t>
            </w:r>
          </w:p>
        </w:tc>
        <w:tc>
          <w:tcPr>
            <w:tcW w:w="1161" w:type="dxa"/>
          </w:tcPr>
          <w:p w:rsidR="00140E63" w:rsidRPr="00D1170A" w:rsidRDefault="00140E63" w:rsidP="007A2A16">
            <w:pPr>
              <w:jc w:val="right"/>
              <w:rPr>
                <w:rFonts w:ascii="Arial" w:hAnsi="Arial" w:cs="Arial"/>
                <w:b/>
                <w:sz w:val="22"/>
                <w:szCs w:val="22"/>
              </w:rPr>
            </w:pPr>
            <w:r w:rsidRPr="00D1170A">
              <w:rPr>
                <w:rFonts w:ascii="Arial" w:hAnsi="Arial" w:cs="Arial"/>
                <w:b/>
                <w:sz w:val="22"/>
                <w:szCs w:val="22"/>
              </w:rPr>
              <w:t>$499.0</w:t>
            </w:r>
          </w:p>
        </w:tc>
        <w:tc>
          <w:tcPr>
            <w:tcW w:w="990" w:type="dxa"/>
          </w:tcPr>
          <w:p w:rsidR="00140E63" w:rsidRPr="00D1170A" w:rsidRDefault="00140E63" w:rsidP="007A2A16">
            <w:pPr>
              <w:jc w:val="right"/>
              <w:rPr>
                <w:rFonts w:ascii="Arial" w:hAnsi="Arial" w:cs="Arial"/>
                <w:b/>
                <w:sz w:val="22"/>
                <w:szCs w:val="22"/>
              </w:rPr>
            </w:pPr>
            <w:r w:rsidRPr="00D1170A">
              <w:rPr>
                <w:rFonts w:ascii="Arial" w:hAnsi="Arial" w:cs="Arial"/>
                <w:b/>
                <w:sz w:val="22"/>
                <w:szCs w:val="22"/>
              </w:rPr>
              <w:t>$8.6</w:t>
            </w:r>
          </w:p>
        </w:tc>
        <w:tc>
          <w:tcPr>
            <w:tcW w:w="990" w:type="dxa"/>
          </w:tcPr>
          <w:p w:rsidR="00140E63" w:rsidRPr="00D1170A" w:rsidRDefault="00140E63" w:rsidP="007A2A16">
            <w:pPr>
              <w:jc w:val="right"/>
              <w:rPr>
                <w:rFonts w:ascii="Arial" w:hAnsi="Arial" w:cs="Arial"/>
                <w:b/>
                <w:sz w:val="22"/>
                <w:szCs w:val="22"/>
              </w:rPr>
            </w:pPr>
            <w:r w:rsidRPr="00D1170A">
              <w:rPr>
                <w:rFonts w:ascii="Arial" w:hAnsi="Arial" w:cs="Arial"/>
                <w:b/>
                <w:sz w:val="22"/>
                <w:szCs w:val="22"/>
              </w:rPr>
              <w:t>1.8%</w:t>
            </w:r>
          </w:p>
        </w:tc>
        <w:tc>
          <w:tcPr>
            <w:tcW w:w="1080" w:type="dxa"/>
          </w:tcPr>
          <w:p w:rsidR="00140E63" w:rsidRPr="00D1170A" w:rsidRDefault="00140E63" w:rsidP="007A2A16">
            <w:pPr>
              <w:jc w:val="right"/>
              <w:rPr>
                <w:rFonts w:ascii="Arial" w:hAnsi="Arial" w:cs="Arial"/>
                <w:b/>
                <w:sz w:val="22"/>
                <w:szCs w:val="22"/>
              </w:rPr>
            </w:pPr>
            <w:r w:rsidRPr="00D1170A">
              <w:rPr>
                <w:rFonts w:ascii="Arial" w:hAnsi="Arial" w:cs="Arial"/>
                <w:b/>
                <w:sz w:val="22"/>
                <w:szCs w:val="22"/>
              </w:rPr>
              <w:t>$524.0</w:t>
            </w:r>
          </w:p>
        </w:tc>
        <w:tc>
          <w:tcPr>
            <w:tcW w:w="967" w:type="dxa"/>
          </w:tcPr>
          <w:p w:rsidR="00140E63" w:rsidRPr="00D1170A" w:rsidRDefault="00140E63" w:rsidP="007A2A16">
            <w:pPr>
              <w:jc w:val="right"/>
              <w:rPr>
                <w:rFonts w:ascii="Arial" w:hAnsi="Arial" w:cs="Arial"/>
                <w:b/>
                <w:sz w:val="22"/>
                <w:szCs w:val="22"/>
              </w:rPr>
            </w:pPr>
            <w:r w:rsidRPr="00D1170A">
              <w:rPr>
                <w:rFonts w:ascii="Arial" w:hAnsi="Arial" w:cs="Arial"/>
                <w:b/>
                <w:sz w:val="22"/>
                <w:szCs w:val="22"/>
              </w:rPr>
              <w:t>$24.9</w:t>
            </w:r>
          </w:p>
        </w:tc>
        <w:tc>
          <w:tcPr>
            <w:tcW w:w="985" w:type="dxa"/>
          </w:tcPr>
          <w:p w:rsidR="00140E63" w:rsidRPr="00D1170A" w:rsidRDefault="00140E63" w:rsidP="007A2A16">
            <w:pPr>
              <w:jc w:val="right"/>
              <w:rPr>
                <w:rFonts w:ascii="Arial" w:hAnsi="Arial" w:cs="Arial"/>
                <w:b/>
                <w:sz w:val="22"/>
                <w:szCs w:val="22"/>
              </w:rPr>
            </w:pPr>
            <w:r w:rsidRPr="00D1170A">
              <w:rPr>
                <w:rFonts w:ascii="Arial" w:hAnsi="Arial" w:cs="Arial"/>
                <w:b/>
                <w:sz w:val="22"/>
                <w:szCs w:val="22"/>
              </w:rPr>
              <w:t>5.0%</w:t>
            </w:r>
          </w:p>
        </w:tc>
      </w:tr>
    </w:tbl>
    <w:p w:rsidR="00140E63" w:rsidRDefault="00140E63" w:rsidP="00140E63">
      <w:pPr>
        <w:jc w:val="both"/>
        <w:rPr>
          <w:rFonts w:ascii="Arial" w:hAnsi="Arial" w:cs="Arial"/>
        </w:rPr>
      </w:pPr>
    </w:p>
    <w:p w:rsidR="00140E63" w:rsidRPr="001266C7" w:rsidRDefault="00140E63" w:rsidP="00140E63">
      <w:pPr>
        <w:jc w:val="both"/>
        <w:rPr>
          <w:rFonts w:ascii="Arial" w:hAnsi="Arial" w:cs="Arial"/>
          <w:b/>
        </w:rPr>
      </w:pPr>
      <w:r w:rsidRPr="001266C7">
        <w:rPr>
          <w:rFonts w:ascii="Arial" w:hAnsi="Arial" w:cs="Arial"/>
          <w:b/>
        </w:rPr>
        <w:t>RCE Forecasts</w:t>
      </w:r>
    </w:p>
    <w:p w:rsidR="00140E63" w:rsidRDefault="00140E63" w:rsidP="00140E63">
      <w:pPr>
        <w:jc w:val="both"/>
        <w:rPr>
          <w:rFonts w:ascii="Arial" w:hAnsi="Arial" w:cs="Arial"/>
        </w:rPr>
      </w:pPr>
      <w:bookmarkStart w:id="0" w:name="_Ref321824408"/>
      <w:bookmarkStart w:id="1" w:name="_Toc321905032"/>
      <w:r>
        <w:rPr>
          <w:rFonts w:ascii="Arial" w:hAnsi="Arial" w:cs="Arial"/>
        </w:rPr>
        <w:t xml:space="preserve">Table 6 below illustrates the projected rate of growth of Residential Customer Equivalents in coming years. 2018 RCE’s—which had been expected to increase by 0.50 percent in the 2017 rate forecast—are now expected to increase at 0.60 percent, in light of a substantial increase in growth in recent years.  </w:t>
      </w:r>
    </w:p>
    <w:p w:rsidR="00140E63" w:rsidRDefault="00140E63" w:rsidP="00140E63">
      <w:pPr>
        <w:jc w:val="both"/>
        <w:rPr>
          <w:rFonts w:ascii="Arial" w:hAnsi="Arial" w:cs="Arial"/>
        </w:rPr>
      </w:pPr>
    </w:p>
    <w:p w:rsidR="00140E63" w:rsidRDefault="00140E63" w:rsidP="00140E63">
      <w:pPr>
        <w:jc w:val="both"/>
        <w:rPr>
          <w:rFonts w:ascii="Arial" w:hAnsi="Arial" w:cs="Arial"/>
        </w:rPr>
      </w:pPr>
    </w:p>
    <w:p w:rsidR="00140E63" w:rsidRPr="00AC709F" w:rsidRDefault="00140E63" w:rsidP="00140E63">
      <w:pPr>
        <w:spacing w:after="120"/>
        <w:jc w:val="center"/>
        <w:rPr>
          <w:rFonts w:ascii="Arial" w:hAnsi="Arial"/>
          <w:b/>
          <w:bCs/>
          <w:color w:val="000000"/>
        </w:rPr>
      </w:pPr>
      <w:bookmarkStart w:id="2" w:name="_Toc382895472"/>
      <w:r>
        <w:rPr>
          <w:rFonts w:ascii="Arial" w:hAnsi="Arial"/>
          <w:b/>
          <w:bCs/>
          <w:color w:val="000000"/>
        </w:rPr>
        <w:t xml:space="preserve">Table 6.  </w:t>
      </w:r>
      <w:r w:rsidRPr="00AC709F">
        <w:rPr>
          <w:rFonts w:ascii="Arial" w:hAnsi="Arial"/>
          <w:b/>
          <w:bCs/>
          <w:color w:val="000000"/>
        </w:rPr>
        <w:t>Current Residential Customer Equivalents Forecast</w:t>
      </w:r>
      <w:bookmarkEnd w:id="2"/>
    </w:p>
    <w:tbl>
      <w:tblPr>
        <w:tblStyle w:val="TableGrid"/>
        <w:tblW w:w="0" w:type="auto"/>
        <w:tblLook w:val="04A0" w:firstRow="1" w:lastRow="0" w:firstColumn="1" w:lastColumn="0" w:noHBand="0" w:noVBand="1"/>
      </w:tblPr>
      <w:tblGrid>
        <w:gridCol w:w="3943"/>
        <w:gridCol w:w="1012"/>
        <w:gridCol w:w="1012"/>
        <w:gridCol w:w="1012"/>
        <w:gridCol w:w="1012"/>
        <w:gridCol w:w="1012"/>
      </w:tblGrid>
      <w:tr w:rsidR="00140E63" w:rsidTr="007A2A16">
        <w:tc>
          <w:tcPr>
            <w:tcW w:w="3943" w:type="dxa"/>
            <w:shd w:val="clear" w:color="auto" w:fill="D9D9D9" w:themeFill="background1" w:themeFillShade="D9"/>
          </w:tcPr>
          <w:p w:rsidR="00140E63" w:rsidRPr="00AA1E0C" w:rsidRDefault="00140E63" w:rsidP="007A2A16">
            <w:pPr>
              <w:rPr>
                <w:rFonts w:ascii="Arial" w:hAnsi="Arial" w:cs="Arial"/>
                <w:sz w:val="22"/>
                <w:szCs w:val="24"/>
              </w:rPr>
            </w:pPr>
            <w:r w:rsidRPr="00AA1E0C">
              <w:rPr>
                <w:rFonts w:ascii="Arial" w:hAnsi="Arial" w:cs="Arial"/>
                <w:sz w:val="22"/>
                <w:szCs w:val="24"/>
              </w:rPr>
              <w:t> </w:t>
            </w:r>
          </w:p>
        </w:tc>
        <w:tc>
          <w:tcPr>
            <w:tcW w:w="989" w:type="dxa"/>
            <w:shd w:val="clear" w:color="auto" w:fill="D9D9D9" w:themeFill="background1" w:themeFillShade="D9"/>
          </w:tcPr>
          <w:p w:rsidR="00140E63" w:rsidRPr="00AA1E0C" w:rsidRDefault="00140E63" w:rsidP="007A2A16">
            <w:pPr>
              <w:jc w:val="center"/>
              <w:rPr>
                <w:rFonts w:ascii="Arial" w:hAnsi="Arial" w:cs="Arial"/>
                <w:b/>
                <w:bCs/>
                <w:sz w:val="22"/>
                <w:szCs w:val="24"/>
              </w:rPr>
            </w:pPr>
            <w:r w:rsidRPr="00AA1E0C">
              <w:rPr>
                <w:rFonts w:ascii="Arial" w:hAnsi="Arial" w:cs="Arial"/>
                <w:b/>
                <w:bCs/>
                <w:sz w:val="22"/>
                <w:szCs w:val="24"/>
              </w:rPr>
              <w:t>2016</w:t>
            </w:r>
          </w:p>
        </w:tc>
        <w:tc>
          <w:tcPr>
            <w:tcW w:w="939" w:type="dxa"/>
            <w:shd w:val="clear" w:color="auto" w:fill="D9D9D9" w:themeFill="background1" w:themeFillShade="D9"/>
          </w:tcPr>
          <w:p w:rsidR="00140E63" w:rsidRPr="00AA1E0C" w:rsidRDefault="00140E63" w:rsidP="007A2A16">
            <w:pPr>
              <w:jc w:val="center"/>
              <w:rPr>
                <w:rFonts w:ascii="Arial" w:hAnsi="Arial" w:cs="Arial"/>
                <w:b/>
                <w:bCs/>
                <w:sz w:val="22"/>
                <w:szCs w:val="24"/>
              </w:rPr>
            </w:pPr>
            <w:r w:rsidRPr="00AA1E0C">
              <w:rPr>
                <w:rFonts w:ascii="Arial" w:hAnsi="Arial" w:cs="Arial"/>
                <w:b/>
                <w:bCs/>
                <w:sz w:val="22"/>
                <w:szCs w:val="24"/>
              </w:rPr>
              <w:t>2017</w:t>
            </w:r>
          </w:p>
        </w:tc>
        <w:tc>
          <w:tcPr>
            <w:tcW w:w="989" w:type="dxa"/>
            <w:shd w:val="clear" w:color="auto" w:fill="D9D9D9" w:themeFill="background1" w:themeFillShade="D9"/>
          </w:tcPr>
          <w:p w:rsidR="00140E63" w:rsidRPr="00AA1E0C" w:rsidRDefault="00140E63" w:rsidP="007A2A16">
            <w:pPr>
              <w:jc w:val="center"/>
              <w:rPr>
                <w:rFonts w:ascii="Arial" w:hAnsi="Arial" w:cs="Arial"/>
                <w:b/>
                <w:bCs/>
                <w:sz w:val="22"/>
                <w:szCs w:val="24"/>
              </w:rPr>
            </w:pPr>
            <w:r w:rsidRPr="00AA1E0C">
              <w:rPr>
                <w:rFonts w:ascii="Arial" w:hAnsi="Arial" w:cs="Arial"/>
                <w:b/>
                <w:bCs/>
                <w:sz w:val="22"/>
                <w:szCs w:val="24"/>
              </w:rPr>
              <w:t>2018</w:t>
            </w:r>
          </w:p>
        </w:tc>
        <w:tc>
          <w:tcPr>
            <w:tcW w:w="989" w:type="dxa"/>
            <w:shd w:val="clear" w:color="auto" w:fill="D9D9D9" w:themeFill="background1" w:themeFillShade="D9"/>
          </w:tcPr>
          <w:p w:rsidR="00140E63" w:rsidRPr="00AA1E0C" w:rsidRDefault="00140E63" w:rsidP="007A2A16">
            <w:pPr>
              <w:jc w:val="center"/>
              <w:rPr>
                <w:rFonts w:ascii="Arial" w:hAnsi="Arial" w:cs="Arial"/>
                <w:b/>
                <w:bCs/>
                <w:sz w:val="22"/>
                <w:szCs w:val="24"/>
              </w:rPr>
            </w:pPr>
            <w:r w:rsidRPr="00AA1E0C">
              <w:rPr>
                <w:rFonts w:ascii="Arial" w:hAnsi="Arial" w:cs="Arial"/>
                <w:b/>
                <w:bCs/>
                <w:sz w:val="22"/>
                <w:szCs w:val="24"/>
              </w:rPr>
              <w:t>2019</w:t>
            </w:r>
          </w:p>
        </w:tc>
        <w:tc>
          <w:tcPr>
            <w:tcW w:w="1007" w:type="dxa"/>
            <w:shd w:val="clear" w:color="auto" w:fill="D9D9D9" w:themeFill="background1" w:themeFillShade="D9"/>
          </w:tcPr>
          <w:p w:rsidR="00140E63" w:rsidRPr="00AA1E0C" w:rsidRDefault="00140E63" w:rsidP="007A2A16">
            <w:pPr>
              <w:jc w:val="center"/>
              <w:rPr>
                <w:rFonts w:ascii="Arial" w:hAnsi="Arial" w:cs="Arial"/>
                <w:b/>
                <w:bCs/>
                <w:sz w:val="22"/>
                <w:szCs w:val="24"/>
              </w:rPr>
            </w:pPr>
            <w:r w:rsidRPr="00AA1E0C">
              <w:rPr>
                <w:rFonts w:ascii="Arial" w:hAnsi="Arial" w:cs="Arial"/>
                <w:b/>
                <w:bCs/>
                <w:sz w:val="22"/>
                <w:szCs w:val="24"/>
              </w:rPr>
              <w:t>2020</w:t>
            </w:r>
          </w:p>
        </w:tc>
      </w:tr>
      <w:tr w:rsidR="00140E63" w:rsidTr="007A2A16">
        <w:tc>
          <w:tcPr>
            <w:tcW w:w="3943" w:type="dxa"/>
          </w:tcPr>
          <w:p w:rsidR="00140E63" w:rsidRPr="00D1170A" w:rsidRDefault="00140E63" w:rsidP="007A2A16">
            <w:pPr>
              <w:rPr>
                <w:rFonts w:ascii="Arial" w:hAnsi="Arial" w:cs="Arial"/>
                <w:b/>
                <w:sz w:val="22"/>
                <w:szCs w:val="24"/>
              </w:rPr>
            </w:pPr>
            <w:r w:rsidRPr="00D1170A">
              <w:rPr>
                <w:rFonts w:ascii="Arial" w:hAnsi="Arial" w:cs="Arial"/>
                <w:b/>
                <w:sz w:val="22"/>
                <w:szCs w:val="24"/>
              </w:rPr>
              <w:t>2018 Rate Proposal</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752,674</w:t>
            </w:r>
          </w:p>
        </w:tc>
        <w:tc>
          <w:tcPr>
            <w:tcW w:w="93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757,610</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762,156</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766,348</w:t>
            </w:r>
          </w:p>
        </w:tc>
        <w:tc>
          <w:tcPr>
            <w:tcW w:w="100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771,099</w:t>
            </w:r>
          </w:p>
        </w:tc>
      </w:tr>
      <w:tr w:rsidR="00140E63" w:rsidTr="007A2A16">
        <w:tc>
          <w:tcPr>
            <w:tcW w:w="3943" w:type="dxa"/>
          </w:tcPr>
          <w:p w:rsidR="00140E63" w:rsidRPr="00D1170A" w:rsidRDefault="00140E63" w:rsidP="007A2A16">
            <w:pPr>
              <w:rPr>
                <w:rFonts w:ascii="Arial" w:hAnsi="Arial" w:cs="Arial"/>
                <w:b/>
                <w:sz w:val="22"/>
                <w:szCs w:val="24"/>
              </w:rPr>
            </w:pPr>
            <w:r w:rsidRPr="00D1170A">
              <w:rPr>
                <w:rFonts w:ascii="Arial" w:hAnsi="Arial" w:cs="Arial"/>
                <w:b/>
                <w:sz w:val="22"/>
                <w:szCs w:val="24"/>
              </w:rPr>
              <w:t>Percent Change Between Years</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2.25%</w:t>
            </w:r>
          </w:p>
        </w:tc>
        <w:tc>
          <w:tcPr>
            <w:tcW w:w="93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0.66%</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0.60%</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0.55%</w:t>
            </w:r>
          </w:p>
        </w:tc>
        <w:tc>
          <w:tcPr>
            <w:tcW w:w="100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0.62%</w:t>
            </w:r>
          </w:p>
        </w:tc>
      </w:tr>
      <w:tr w:rsidR="00140E63" w:rsidTr="007A2A16">
        <w:tc>
          <w:tcPr>
            <w:tcW w:w="3943" w:type="dxa"/>
          </w:tcPr>
          <w:p w:rsidR="00140E63" w:rsidRPr="00D1170A" w:rsidRDefault="00140E63" w:rsidP="007A2A16">
            <w:pPr>
              <w:rPr>
                <w:rFonts w:ascii="Arial" w:hAnsi="Arial" w:cs="Arial"/>
                <w:b/>
                <w:sz w:val="22"/>
                <w:szCs w:val="24"/>
              </w:rPr>
            </w:pPr>
            <w:r w:rsidRPr="00D1170A">
              <w:rPr>
                <w:rFonts w:ascii="Arial" w:hAnsi="Arial" w:cs="Arial"/>
                <w:b/>
                <w:sz w:val="22"/>
                <w:szCs w:val="24"/>
              </w:rPr>
              <w:t>2017 Adopted Sewer Rate</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740,502</w:t>
            </w:r>
          </w:p>
        </w:tc>
        <w:tc>
          <w:tcPr>
            <w:tcW w:w="93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744,945</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748,670</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752,787</w:t>
            </w:r>
          </w:p>
        </w:tc>
        <w:tc>
          <w:tcPr>
            <w:tcW w:w="100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757,455</w:t>
            </w:r>
          </w:p>
        </w:tc>
      </w:tr>
      <w:tr w:rsidR="00140E63" w:rsidTr="007A2A16">
        <w:tc>
          <w:tcPr>
            <w:tcW w:w="3943" w:type="dxa"/>
          </w:tcPr>
          <w:p w:rsidR="00140E63" w:rsidRPr="00D1170A" w:rsidRDefault="00140E63" w:rsidP="007A2A16">
            <w:pPr>
              <w:rPr>
                <w:rFonts w:ascii="Arial" w:hAnsi="Arial" w:cs="Arial"/>
                <w:b/>
                <w:sz w:val="22"/>
                <w:szCs w:val="24"/>
              </w:rPr>
            </w:pPr>
            <w:r w:rsidRPr="00D1170A">
              <w:rPr>
                <w:rFonts w:ascii="Arial" w:hAnsi="Arial" w:cs="Arial"/>
                <w:b/>
                <w:sz w:val="22"/>
                <w:szCs w:val="24"/>
              </w:rPr>
              <w:t>Percent Change Between Years</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0.60%</w:t>
            </w:r>
          </w:p>
        </w:tc>
        <w:tc>
          <w:tcPr>
            <w:tcW w:w="93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0.60%</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0.50%</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0.55%</w:t>
            </w:r>
          </w:p>
        </w:tc>
        <w:tc>
          <w:tcPr>
            <w:tcW w:w="100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0.62%</w:t>
            </w:r>
          </w:p>
        </w:tc>
      </w:tr>
      <w:tr w:rsidR="00140E63" w:rsidTr="007A2A16">
        <w:tc>
          <w:tcPr>
            <w:tcW w:w="3943" w:type="dxa"/>
          </w:tcPr>
          <w:p w:rsidR="00140E63" w:rsidRPr="00D1170A" w:rsidRDefault="00140E63" w:rsidP="007A2A16">
            <w:pPr>
              <w:rPr>
                <w:rFonts w:ascii="Arial" w:hAnsi="Arial" w:cs="Arial"/>
                <w:b/>
                <w:sz w:val="22"/>
                <w:szCs w:val="24"/>
              </w:rPr>
            </w:pPr>
            <w:r w:rsidRPr="00D1170A">
              <w:rPr>
                <w:rFonts w:ascii="Arial" w:hAnsi="Arial" w:cs="Arial"/>
                <w:b/>
                <w:sz w:val="22"/>
                <w:szCs w:val="24"/>
              </w:rPr>
              <w:t>Change between 2018 Rate Proposal and 2017 Adopted Rate</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12,172</w:t>
            </w:r>
          </w:p>
        </w:tc>
        <w:tc>
          <w:tcPr>
            <w:tcW w:w="93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12,665</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13,486</w:t>
            </w:r>
          </w:p>
        </w:tc>
        <w:tc>
          <w:tcPr>
            <w:tcW w:w="989"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13,560</w:t>
            </w:r>
          </w:p>
        </w:tc>
        <w:tc>
          <w:tcPr>
            <w:tcW w:w="1007" w:type="dxa"/>
          </w:tcPr>
          <w:p w:rsidR="00140E63" w:rsidRPr="00D1170A" w:rsidRDefault="00140E63" w:rsidP="007A2A16">
            <w:pPr>
              <w:jc w:val="right"/>
              <w:rPr>
                <w:rFonts w:ascii="Arial" w:hAnsi="Arial" w:cs="Arial"/>
                <w:sz w:val="22"/>
                <w:szCs w:val="22"/>
              </w:rPr>
            </w:pPr>
            <w:r w:rsidRPr="00D1170A">
              <w:rPr>
                <w:rFonts w:ascii="Arial" w:hAnsi="Arial" w:cs="Arial"/>
                <w:sz w:val="22"/>
                <w:szCs w:val="22"/>
              </w:rPr>
              <w:t>13,644</w:t>
            </w:r>
          </w:p>
        </w:tc>
      </w:tr>
    </w:tbl>
    <w:p w:rsidR="00140E63" w:rsidRDefault="00140E63" w:rsidP="00140E63">
      <w:pPr>
        <w:jc w:val="both"/>
        <w:rPr>
          <w:rFonts w:ascii="Arial" w:hAnsi="Arial"/>
          <w:bCs/>
          <w:color w:val="000000"/>
        </w:rPr>
      </w:pPr>
    </w:p>
    <w:p w:rsidR="00140E63" w:rsidRDefault="00140E63" w:rsidP="00140E63">
      <w:pPr>
        <w:jc w:val="both"/>
        <w:rPr>
          <w:rFonts w:ascii="Arial" w:hAnsi="Arial"/>
          <w:bCs/>
          <w:color w:val="000000"/>
        </w:rPr>
      </w:pPr>
      <w:r>
        <w:rPr>
          <w:rFonts w:ascii="Arial" w:hAnsi="Arial"/>
          <w:bCs/>
          <w:color w:val="000000"/>
        </w:rPr>
        <w:t>Table 7 below depicts the growth in new connections to the system through 2023, comparing the expected growth in new connections as of the 2017 sewer rate versus the 2018 rate proposal.  New connections are the basis on which the capacity charge is billed.  The 2018 rate proposal continues to assume 10,500 new connections for 2018, declining to 10,000 in 2019. This forecast takes into consideration historical growth rates an</w:t>
      </w:r>
      <w:r w:rsidR="007A2A16">
        <w:rPr>
          <w:rFonts w:ascii="Arial" w:hAnsi="Arial"/>
          <w:bCs/>
          <w:color w:val="000000"/>
        </w:rPr>
        <w:t xml:space="preserve">d regional economic forecasts.  </w:t>
      </w:r>
      <w:r>
        <w:rPr>
          <w:rFonts w:ascii="Arial" w:hAnsi="Arial"/>
          <w:bCs/>
          <w:color w:val="000000"/>
        </w:rPr>
        <w:t>The Executive notes that the March 2017 Conway-Pedersen economic outlook forecasts a deceleration in employment growth, declining to 1.4 percent growth in 2018, down from 3.0 percent in 2015 and 2016.</w:t>
      </w:r>
    </w:p>
    <w:p w:rsidR="00140E63" w:rsidRPr="000E5B5C" w:rsidRDefault="00140E63" w:rsidP="00140E63">
      <w:pPr>
        <w:jc w:val="both"/>
        <w:rPr>
          <w:rFonts w:ascii="Arial" w:hAnsi="Arial"/>
          <w:bCs/>
          <w:color w:val="000000"/>
        </w:rPr>
      </w:pPr>
    </w:p>
    <w:p w:rsidR="00140E63" w:rsidRPr="00AC709F" w:rsidRDefault="00140E63" w:rsidP="00140E63">
      <w:pPr>
        <w:spacing w:after="120"/>
        <w:jc w:val="center"/>
        <w:rPr>
          <w:rFonts w:ascii="Arial" w:hAnsi="Arial"/>
          <w:b/>
          <w:bCs/>
          <w:color w:val="000000"/>
        </w:rPr>
      </w:pPr>
      <w:r w:rsidRPr="00AC709F">
        <w:rPr>
          <w:rFonts w:ascii="Arial" w:hAnsi="Arial"/>
          <w:b/>
          <w:bCs/>
          <w:color w:val="000000"/>
        </w:rPr>
        <w:t xml:space="preserve">Table </w:t>
      </w:r>
      <w:r>
        <w:rPr>
          <w:rFonts w:ascii="Arial" w:hAnsi="Arial"/>
          <w:b/>
          <w:bCs/>
          <w:color w:val="000000"/>
        </w:rPr>
        <w:t>7.</w:t>
      </w:r>
      <w:r w:rsidRPr="00AC709F">
        <w:rPr>
          <w:rFonts w:ascii="Arial" w:hAnsi="Arial"/>
          <w:b/>
          <w:bCs/>
          <w:color w:val="000000"/>
        </w:rPr>
        <w:t xml:space="preserve">   Projected New Sewer Connections by Year of Connection</w:t>
      </w:r>
    </w:p>
    <w:tbl>
      <w:tblPr>
        <w:tblStyle w:val="TableGrid"/>
        <w:tblW w:w="0" w:type="auto"/>
        <w:tblLook w:val="04A0" w:firstRow="1" w:lastRow="0" w:firstColumn="1" w:lastColumn="0" w:noHBand="0" w:noVBand="1"/>
      </w:tblPr>
      <w:tblGrid>
        <w:gridCol w:w="1942"/>
        <w:gridCol w:w="939"/>
        <w:gridCol w:w="889"/>
        <w:gridCol w:w="889"/>
        <w:gridCol w:w="889"/>
        <w:gridCol w:w="889"/>
        <w:gridCol w:w="971"/>
        <w:gridCol w:w="971"/>
        <w:gridCol w:w="971"/>
      </w:tblGrid>
      <w:tr w:rsidR="00140E63" w:rsidRPr="00111016" w:rsidTr="007A2A16">
        <w:trPr>
          <w:trHeight w:val="324"/>
        </w:trPr>
        <w:tc>
          <w:tcPr>
            <w:tcW w:w="1942" w:type="dxa"/>
            <w:shd w:val="clear" w:color="auto" w:fill="D9D9D9" w:themeFill="background1" w:themeFillShade="D9"/>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w:t>
            </w:r>
          </w:p>
        </w:tc>
        <w:tc>
          <w:tcPr>
            <w:tcW w:w="939"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2016</w:t>
            </w:r>
          </w:p>
        </w:tc>
        <w:tc>
          <w:tcPr>
            <w:tcW w:w="889"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2017</w:t>
            </w:r>
          </w:p>
        </w:tc>
        <w:tc>
          <w:tcPr>
            <w:tcW w:w="889"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2018</w:t>
            </w:r>
          </w:p>
        </w:tc>
        <w:tc>
          <w:tcPr>
            <w:tcW w:w="889"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2019</w:t>
            </w:r>
          </w:p>
        </w:tc>
        <w:tc>
          <w:tcPr>
            <w:tcW w:w="889"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2020</w:t>
            </w:r>
          </w:p>
        </w:tc>
        <w:tc>
          <w:tcPr>
            <w:tcW w:w="971"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2021</w:t>
            </w:r>
          </w:p>
        </w:tc>
        <w:tc>
          <w:tcPr>
            <w:tcW w:w="971"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2022</w:t>
            </w:r>
          </w:p>
        </w:tc>
        <w:tc>
          <w:tcPr>
            <w:tcW w:w="971" w:type="dxa"/>
            <w:shd w:val="clear" w:color="auto" w:fill="D9D9D9" w:themeFill="background1" w:themeFillShade="D9"/>
            <w:hideMark/>
          </w:tcPr>
          <w:p w:rsidR="00140E63" w:rsidRPr="00D1170A" w:rsidRDefault="00140E63" w:rsidP="007A2A16">
            <w:pPr>
              <w:jc w:val="center"/>
              <w:rPr>
                <w:rFonts w:ascii="Arial" w:hAnsi="Arial" w:cs="Arial"/>
                <w:b/>
                <w:sz w:val="22"/>
                <w:lang w:eastAsia="x-none"/>
              </w:rPr>
            </w:pPr>
            <w:r w:rsidRPr="00D1170A">
              <w:rPr>
                <w:rFonts w:ascii="Arial" w:hAnsi="Arial" w:cs="Arial"/>
                <w:b/>
                <w:sz w:val="22"/>
                <w:lang w:eastAsia="x-none"/>
              </w:rPr>
              <w:t>2023</w:t>
            </w:r>
          </w:p>
        </w:tc>
      </w:tr>
      <w:tr w:rsidR="00140E63" w:rsidRPr="00111016" w:rsidTr="007A2A16">
        <w:trPr>
          <w:trHeight w:val="324"/>
        </w:trPr>
        <w:tc>
          <w:tcPr>
            <w:tcW w:w="1942" w:type="dxa"/>
            <w:shd w:val="clear" w:color="auto" w:fill="auto"/>
            <w:hideMark/>
          </w:tcPr>
          <w:p w:rsidR="00140E63" w:rsidRPr="00D1170A" w:rsidRDefault="00140E63" w:rsidP="007A2A16">
            <w:pPr>
              <w:rPr>
                <w:rFonts w:ascii="Arial" w:hAnsi="Arial" w:cs="Arial"/>
                <w:b/>
                <w:sz w:val="22"/>
                <w:lang w:eastAsia="x-none"/>
              </w:rPr>
            </w:pPr>
            <w:r w:rsidRPr="00D1170A">
              <w:rPr>
                <w:rFonts w:ascii="Arial" w:hAnsi="Arial" w:cs="Arial"/>
                <w:b/>
                <w:sz w:val="22"/>
                <w:lang w:eastAsia="x-none"/>
              </w:rPr>
              <w:t xml:space="preserve">2018 Rate Proposal </w:t>
            </w:r>
          </w:p>
        </w:tc>
        <w:tc>
          <w:tcPr>
            <w:tcW w:w="93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10,742</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11,000</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10,500</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971"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971"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971" w:type="dxa"/>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r>
      <w:tr w:rsidR="00140E63" w:rsidRPr="00111016" w:rsidTr="007A2A16">
        <w:trPr>
          <w:trHeight w:val="324"/>
        </w:trPr>
        <w:tc>
          <w:tcPr>
            <w:tcW w:w="1942" w:type="dxa"/>
            <w:shd w:val="clear" w:color="auto" w:fill="auto"/>
            <w:hideMark/>
          </w:tcPr>
          <w:p w:rsidR="00140E63" w:rsidRPr="00D1170A" w:rsidRDefault="00140E63" w:rsidP="007A2A16">
            <w:pPr>
              <w:rPr>
                <w:rFonts w:ascii="Arial" w:hAnsi="Arial" w:cs="Arial"/>
                <w:b/>
                <w:sz w:val="22"/>
                <w:lang w:eastAsia="x-none"/>
              </w:rPr>
            </w:pPr>
            <w:r w:rsidRPr="00D1170A">
              <w:rPr>
                <w:rFonts w:ascii="Arial" w:hAnsi="Arial" w:cs="Arial"/>
                <w:b/>
                <w:sz w:val="22"/>
                <w:lang w:eastAsia="x-none"/>
              </w:rPr>
              <w:t>2017 Sewer Rate</w:t>
            </w:r>
          </w:p>
        </w:tc>
        <w:tc>
          <w:tcPr>
            <w:tcW w:w="93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12,000</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11,000</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10,500</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889"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971"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971" w:type="dxa"/>
            <w:shd w:val="clear" w:color="auto" w:fill="auto"/>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c>
          <w:tcPr>
            <w:tcW w:w="971" w:type="dxa"/>
            <w:hideMark/>
          </w:tcPr>
          <w:p w:rsidR="00140E63" w:rsidRPr="00D1170A" w:rsidRDefault="00140E63" w:rsidP="007A2A16">
            <w:pPr>
              <w:jc w:val="right"/>
              <w:rPr>
                <w:rFonts w:ascii="Arial" w:hAnsi="Arial" w:cs="Arial"/>
                <w:sz w:val="22"/>
                <w:lang w:eastAsia="x-none"/>
              </w:rPr>
            </w:pPr>
            <w:r w:rsidRPr="00D1170A">
              <w:rPr>
                <w:rFonts w:ascii="Arial" w:hAnsi="Arial" w:cs="Arial"/>
                <w:sz w:val="22"/>
                <w:lang w:eastAsia="x-none"/>
              </w:rPr>
              <w:t>10,000</w:t>
            </w:r>
          </w:p>
        </w:tc>
      </w:tr>
      <w:tr w:rsidR="00140E63" w:rsidRPr="00111016" w:rsidTr="007A2A16">
        <w:trPr>
          <w:trHeight w:val="324"/>
        </w:trPr>
        <w:tc>
          <w:tcPr>
            <w:tcW w:w="1942" w:type="dxa"/>
            <w:shd w:val="clear" w:color="auto" w:fill="auto"/>
            <w:hideMark/>
          </w:tcPr>
          <w:p w:rsidR="00140E63" w:rsidRPr="00D1170A" w:rsidRDefault="00140E63" w:rsidP="007A2A16">
            <w:pPr>
              <w:rPr>
                <w:rFonts w:ascii="Arial" w:hAnsi="Arial" w:cs="Arial"/>
                <w:b/>
                <w:sz w:val="22"/>
                <w:lang w:eastAsia="x-none"/>
              </w:rPr>
            </w:pPr>
            <w:r w:rsidRPr="00D1170A">
              <w:rPr>
                <w:rFonts w:ascii="Arial" w:hAnsi="Arial" w:cs="Arial"/>
                <w:b/>
                <w:sz w:val="22"/>
                <w:lang w:eastAsia="x-none"/>
              </w:rPr>
              <w:t>Change</w:t>
            </w:r>
          </w:p>
        </w:tc>
        <w:tc>
          <w:tcPr>
            <w:tcW w:w="939" w:type="dxa"/>
            <w:shd w:val="clear" w:color="auto" w:fill="auto"/>
            <w:hideMark/>
          </w:tcPr>
          <w:p w:rsidR="00140E63" w:rsidRDefault="00140E63" w:rsidP="007A2A16">
            <w:pPr>
              <w:rPr>
                <w:rFonts w:ascii="Arial" w:hAnsi="Arial" w:cs="Arial"/>
                <w:sz w:val="22"/>
                <w:lang w:eastAsia="x-none"/>
              </w:rPr>
            </w:pPr>
            <w:r w:rsidRPr="00D1170A">
              <w:rPr>
                <w:rFonts w:ascii="Arial" w:hAnsi="Arial" w:cs="Arial"/>
                <w:sz w:val="22"/>
                <w:lang w:eastAsia="x-none"/>
              </w:rPr>
              <w:t>(1,258)</w:t>
            </w:r>
          </w:p>
          <w:p w:rsidR="007A2A16" w:rsidRPr="00D1170A" w:rsidRDefault="007A2A16" w:rsidP="007A2A16">
            <w:pPr>
              <w:rPr>
                <w:rFonts w:ascii="Arial" w:hAnsi="Arial" w:cs="Arial"/>
                <w:sz w:val="22"/>
                <w:lang w:eastAsia="x-none"/>
              </w:rPr>
            </w:pPr>
          </w:p>
        </w:tc>
        <w:tc>
          <w:tcPr>
            <w:tcW w:w="889" w:type="dxa"/>
            <w:shd w:val="clear" w:color="auto" w:fill="auto"/>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xml:space="preserve">      -   </w:t>
            </w:r>
          </w:p>
        </w:tc>
        <w:tc>
          <w:tcPr>
            <w:tcW w:w="889" w:type="dxa"/>
            <w:shd w:val="clear" w:color="auto" w:fill="auto"/>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xml:space="preserve">     -   </w:t>
            </w:r>
          </w:p>
        </w:tc>
        <w:tc>
          <w:tcPr>
            <w:tcW w:w="889" w:type="dxa"/>
            <w:shd w:val="clear" w:color="auto" w:fill="auto"/>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xml:space="preserve">     -   </w:t>
            </w:r>
          </w:p>
        </w:tc>
        <w:tc>
          <w:tcPr>
            <w:tcW w:w="889" w:type="dxa"/>
            <w:shd w:val="clear" w:color="auto" w:fill="auto"/>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xml:space="preserve">       -   </w:t>
            </w:r>
          </w:p>
        </w:tc>
        <w:tc>
          <w:tcPr>
            <w:tcW w:w="971" w:type="dxa"/>
            <w:shd w:val="clear" w:color="auto" w:fill="auto"/>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xml:space="preserve">          -   </w:t>
            </w:r>
          </w:p>
        </w:tc>
        <w:tc>
          <w:tcPr>
            <w:tcW w:w="971" w:type="dxa"/>
            <w:shd w:val="clear" w:color="auto" w:fill="auto"/>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xml:space="preserve">          -   </w:t>
            </w:r>
          </w:p>
        </w:tc>
        <w:tc>
          <w:tcPr>
            <w:tcW w:w="971" w:type="dxa"/>
            <w:hideMark/>
          </w:tcPr>
          <w:p w:rsidR="00140E63" w:rsidRPr="00D1170A" w:rsidRDefault="00140E63" w:rsidP="007A2A16">
            <w:pPr>
              <w:rPr>
                <w:rFonts w:ascii="Arial" w:hAnsi="Arial" w:cs="Arial"/>
                <w:sz w:val="22"/>
                <w:lang w:eastAsia="x-none"/>
              </w:rPr>
            </w:pPr>
            <w:r w:rsidRPr="00D1170A">
              <w:rPr>
                <w:rFonts w:ascii="Arial" w:hAnsi="Arial" w:cs="Arial"/>
                <w:sz w:val="22"/>
                <w:lang w:eastAsia="x-none"/>
              </w:rPr>
              <w:t xml:space="preserve">          -   </w:t>
            </w:r>
          </w:p>
        </w:tc>
      </w:tr>
      <w:bookmarkEnd w:id="0"/>
      <w:bookmarkEnd w:id="1"/>
    </w:tbl>
    <w:p w:rsidR="00140E63" w:rsidRDefault="00140E63" w:rsidP="00140E63">
      <w:pPr>
        <w:jc w:val="both"/>
        <w:rPr>
          <w:rFonts w:ascii="Arial" w:hAnsi="Arial" w:cs="Arial"/>
          <w:b/>
        </w:rPr>
      </w:pPr>
    </w:p>
    <w:p w:rsidR="00140E63" w:rsidRPr="00AC709F" w:rsidRDefault="00140E63" w:rsidP="00140E63">
      <w:pPr>
        <w:rPr>
          <w:rFonts w:ascii="Arial" w:hAnsi="Arial" w:cs="Arial"/>
          <w:b/>
          <w:u w:val="single"/>
        </w:rPr>
      </w:pPr>
      <w:r w:rsidRPr="00AC709F">
        <w:rPr>
          <w:rFonts w:ascii="Arial" w:hAnsi="Arial" w:cs="Arial"/>
          <w:b/>
          <w:u w:val="single"/>
        </w:rPr>
        <w:t>WTD Capital Projects</w:t>
      </w:r>
    </w:p>
    <w:p w:rsidR="00140E63" w:rsidRPr="00AC709F" w:rsidRDefault="00140E63" w:rsidP="00140E63">
      <w:pPr>
        <w:jc w:val="both"/>
        <w:rPr>
          <w:rFonts w:ascii="Arial" w:hAnsi="Arial" w:cs="Arial"/>
        </w:rPr>
      </w:pPr>
      <w:r>
        <w:rPr>
          <w:rFonts w:ascii="Arial" w:hAnsi="Arial" w:cs="Arial"/>
        </w:rPr>
        <w:t>T</w:t>
      </w:r>
      <w:r w:rsidRPr="00AC709F">
        <w:rPr>
          <w:rFonts w:ascii="Arial" w:hAnsi="Arial" w:cs="Arial"/>
        </w:rPr>
        <w:t xml:space="preserve">able </w:t>
      </w:r>
      <w:r>
        <w:rPr>
          <w:rFonts w:ascii="Arial" w:hAnsi="Arial" w:cs="Arial"/>
        </w:rPr>
        <w:t xml:space="preserve">8 </w:t>
      </w:r>
      <w:r w:rsidRPr="00AC709F">
        <w:rPr>
          <w:rFonts w:ascii="Arial" w:hAnsi="Arial" w:cs="Arial"/>
        </w:rPr>
        <w:t xml:space="preserve">below shows the differences in WTD's proposed Capital Spending Plan compared to the capital spending projections made </w:t>
      </w:r>
      <w:r>
        <w:rPr>
          <w:rFonts w:ascii="Arial" w:hAnsi="Arial" w:cs="Arial"/>
        </w:rPr>
        <w:t>in the 2017-2018 Budget forecast</w:t>
      </w:r>
      <w:r w:rsidRPr="00AC709F">
        <w:rPr>
          <w:rFonts w:ascii="Arial" w:hAnsi="Arial" w:cs="Arial"/>
        </w:rPr>
        <w:t xml:space="preserve">. </w:t>
      </w:r>
    </w:p>
    <w:p w:rsidR="00140E63" w:rsidRDefault="00140E63" w:rsidP="00140E63">
      <w:pPr>
        <w:rPr>
          <w:rFonts w:ascii="Arial" w:hAnsi="Arial" w:cs="Arial"/>
          <w:u w:val="single"/>
        </w:rPr>
      </w:pPr>
    </w:p>
    <w:p w:rsidR="007A2A16" w:rsidRPr="00AC709F" w:rsidRDefault="007A2A16" w:rsidP="00140E63">
      <w:pPr>
        <w:rPr>
          <w:rFonts w:ascii="Arial" w:hAnsi="Arial" w:cs="Arial"/>
          <w:u w:val="single"/>
        </w:rPr>
      </w:pPr>
    </w:p>
    <w:p w:rsidR="00140E63" w:rsidRDefault="00140E63" w:rsidP="00140E63">
      <w:pPr>
        <w:spacing w:after="120"/>
        <w:jc w:val="center"/>
        <w:rPr>
          <w:rFonts w:ascii="Arial" w:hAnsi="Arial" w:cs="Arial"/>
          <w:b/>
        </w:rPr>
      </w:pPr>
      <w:r w:rsidRPr="00AC709F">
        <w:rPr>
          <w:rFonts w:ascii="Arial" w:hAnsi="Arial" w:cs="Arial"/>
          <w:b/>
        </w:rPr>
        <w:lastRenderedPageBreak/>
        <w:t xml:space="preserve">Table </w:t>
      </w:r>
      <w:r>
        <w:rPr>
          <w:rFonts w:ascii="Arial" w:hAnsi="Arial" w:cs="Arial"/>
          <w:b/>
        </w:rPr>
        <w:t>8</w:t>
      </w:r>
      <w:r w:rsidRPr="00AC709F">
        <w:rPr>
          <w:rFonts w:ascii="Arial" w:hAnsi="Arial" w:cs="Arial"/>
          <w:b/>
        </w:rPr>
        <w:t>. WTD Capital Spending Plan</w:t>
      </w:r>
      <w:r>
        <w:rPr>
          <w:rFonts w:ascii="Arial" w:hAnsi="Arial" w:cs="Arial"/>
          <w:b/>
        </w:rPr>
        <w:t xml:space="preserve">, </w:t>
      </w:r>
      <w:r w:rsidRPr="00AC709F">
        <w:rPr>
          <w:rFonts w:ascii="Arial" w:hAnsi="Arial" w:cs="Arial"/>
          <w:b/>
        </w:rPr>
        <w:t>201</w:t>
      </w:r>
      <w:r>
        <w:rPr>
          <w:rFonts w:ascii="Arial" w:hAnsi="Arial" w:cs="Arial"/>
          <w:b/>
        </w:rPr>
        <w:t>7-2022</w:t>
      </w:r>
      <w:r w:rsidRPr="00AC709F">
        <w:rPr>
          <w:rFonts w:ascii="Arial" w:hAnsi="Arial" w:cs="Arial"/>
          <w:b/>
        </w:rPr>
        <w:t xml:space="preserve"> </w:t>
      </w:r>
      <w:r>
        <w:rPr>
          <w:rFonts w:ascii="Arial" w:hAnsi="Arial" w:cs="Arial"/>
          <w:b/>
        </w:rPr>
        <w:t>(in $ m</w:t>
      </w:r>
      <w:r w:rsidRPr="00AC709F">
        <w:rPr>
          <w:rFonts w:ascii="Arial" w:hAnsi="Arial" w:cs="Arial"/>
          <w:b/>
        </w:rPr>
        <w:t>illions</w:t>
      </w:r>
      <w:r>
        <w:rPr>
          <w:rFonts w:ascii="Arial" w:hAnsi="Arial" w:cs="Arial"/>
          <w:b/>
        </w:rPr>
        <w:t>)</w:t>
      </w:r>
    </w:p>
    <w:p w:rsidR="007A2A16" w:rsidRDefault="007A2A16" w:rsidP="00140E63">
      <w:pPr>
        <w:spacing w:after="120"/>
        <w:jc w:val="center"/>
        <w:rPr>
          <w:rFonts w:ascii="Arial" w:hAnsi="Arial" w:cs="Arial"/>
          <w:b/>
        </w:rPr>
      </w:pPr>
    </w:p>
    <w:tbl>
      <w:tblPr>
        <w:tblStyle w:val="TableGrid"/>
        <w:tblW w:w="7632" w:type="dxa"/>
        <w:tblInd w:w="607" w:type="dxa"/>
        <w:tblLayout w:type="fixed"/>
        <w:tblLook w:val="04A0" w:firstRow="1" w:lastRow="0" w:firstColumn="1" w:lastColumn="0" w:noHBand="0" w:noVBand="1"/>
      </w:tblPr>
      <w:tblGrid>
        <w:gridCol w:w="1584"/>
        <w:gridCol w:w="1008"/>
        <w:gridCol w:w="1008"/>
        <w:gridCol w:w="1008"/>
        <w:gridCol w:w="1008"/>
        <w:gridCol w:w="1008"/>
        <w:gridCol w:w="1008"/>
      </w:tblGrid>
      <w:tr w:rsidR="00140E63" w:rsidRPr="008A59DA" w:rsidTr="007A2A16">
        <w:tc>
          <w:tcPr>
            <w:tcW w:w="1584" w:type="dxa"/>
            <w:shd w:val="clear" w:color="auto" w:fill="D9D9D9" w:themeFill="background1" w:themeFillShade="D9"/>
          </w:tcPr>
          <w:p w:rsidR="00140E63" w:rsidRPr="00E206B0" w:rsidRDefault="00140E63" w:rsidP="007A2A16">
            <w:pPr>
              <w:spacing w:after="120"/>
              <w:jc w:val="center"/>
              <w:rPr>
                <w:rFonts w:ascii="Arial" w:hAnsi="Arial" w:cs="Arial"/>
                <w:b/>
                <w:sz w:val="20"/>
              </w:rPr>
            </w:pPr>
          </w:p>
        </w:tc>
        <w:tc>
          <w:tcPr>
            <w:tcW w:w="1008" w:type="dxa"/>
            <w:shd w:val="clear" w:color="auto" w:fill="D9D9D9" w:themeFill="background1" w:themeFillShade="D9"/>
            <w:vAlign w:val="center"/>
          </w:tcPr>
          <w:p w:rsidR="00140E63" w:rsidRPr="00E206B0" w:rsidRDefault="00140E63" w:rsidP="007A2A16">
            <w:pPr>
              <w:spacing w:after="120"/>
              <w:jc w:val="center"/>
              <w:rPr>
                <w:rFonts w:ascii="Arial" w:hAnsi="Arial" w:cs="Arial"/>
                <w:b/>
                <w:sz w:val="20"/>
              </w:rPr>
            </w:pPr>
            <w:r w:rsidRPr="00E206B0">
              <w:rPr>
                <w:rFonts w:ascii="Arial" w:hAnsi="Arial" w:cs="Arial"/>
                <w:b/>
                <w:sz w:val="20"/>
              </w:rPr>
              <w:t>2017</w:t>
            </w:r>
          </w:p>
        </w:tc>
        <w:tc>
          <w:tcPr>
            <w:tcW w:w="1008" w:type="dxa"/>
            <w:shd w:val="clear" w:color="auto" w:fill="D9D9D9" w:themeFill="background1" w:themeFillShade="D9"/>
            <w:vAlign w:val="center"/>
          </w:tcPr>
          <w:p w:rsidR="00140E63" w:rsidRPr="00E206B0" w:rsidRDefault="00140E63" w:rsidP="007A2A16">
            <w:pPr>
              <w:spacing w:after="120"/>
              <w:jc w:val="center"/>
              <w:rPr>
                <w:rFonts w:ascii="Arial" w:hAnsi="Arial" w:cs="Arial"/>
                <w:b/>
                <w:sz w:val="20"/>
              </w:rPr>
            </w:pPr>
            <w:r w:rsidRPr="00E206B0">
              <w:rPr>
                <w:rFonts w:ascii="Arial" w:hAnsi="Arial" w:cs="Arial"/>
                <w:b/>
                <w:sz w:val="20"/>
              </w:rPr>
              <w:t>2018</w:t>
            </w:r>
          </w:p>
        </w:tc>
        <w:tc>
          <w:tcPr>
            <w:tcW w:w="1008" w:type="dxa"/>
            <w:shd w:val="clear" w:color="auto" w:fill="D9D9D9" w:themeFill="background1" w:themeFillShade="D9"/>
            <w:vAlign w:val="center"/>
          </w:tcPr>
          <w:p w:rsidR="00140E63" w:rsidRPr="00E206B0" w:rsidRDefault="00140E63" w:rsidP="007A2A16">
            <w:pPr>
              <w:spacing w:after="120"/>
              <w:jc w:val="center"/>
              <w:rPr>
                <w:rFonts w:ascii="Arial" w:hAnsi="Arial" w:cs="Arial"/>
                <w:b/>
                <w:sz w:val="20"/>
              </w:rPr>
            </w:pPr>
            <w:r w:rsidRPr="00E206B0">
              <w:rPr>
                <w:rFonts w:ascii="Arial" w:hAnsi="Arial" w:cs="Arial"/>
                <w:b/>
                <w:sz w:val="20"/>
              </w:rPr>
              <w:t>2019</w:t>
            </w:r>
          </w:p>
        </w:tc>
        <w:tc>
          <w:tcPr>
            <w:tcW w:w="1008" w:type="dxa"/>
            <w:shd w:val="clear" w:color="auto" w:fill="D9D9D9" w:themeFill="background1" w:themeFillShade="D9"/>
            <w:vAlign w:val="center"/>
          </w:tcPr>
          <w:p w:rsidR="00140E63" w:rsidRPr="00E206B0" w:rsidRDefault="00140E63" w:rsidP="007A2A16">
            <w:pPr>
              <w:spacing w:after="120"/>
              <w:jc w:val="center"/>
              <w:rPr>
                <w:rFonts w:ascii="Arial" w:hAnsi="Arial" w:cs="Arial"/>
                <w:b/>
                <w:sz w:val="20"/>
              </w:rPr>
            </w:pPr>
            <w:r w:rsidRPr="00E206B0">
              <w:rPr>
                <w:rFonts w:ascii="Arial" w:hAnsi="Arial" w:cs="Arial"/>
                <w:b/>
                <w:sz w:val="20"/>
              </w:rPr>
              <w:t>2020</w:t>
            </w:r>
          </w:p>
        </w:tc>
        <w:tc>
          <w:tcPr>
            <w:tcW w:w="1008" w:type="dxa"/>
            <w:shd w:val="clear" w:color="auto" w:fill="D9D9D9" w:themeFill="background1" w:themeFillShade="D9"/>
            <w:vAlign w:val="center"/>
          </w:tcPr>
          <w:p w:rsidR="00140E63" w:rsidRPr="00E206B0" w:rsidRDefault="00140E63" w:rsidP="007A2A16">
            <w:pPr>
              <w:spacing w:after="120"/>
              <w:jc w:val="center"/>
              <w:rPr>
                <w:rFonts w:ascii="Arial" w:hAnsi="Arial" w:cs="Arial"/>
                <w:b/>
                <w:sz w:val="20"/>
              </w:rPr>
            </w:pPr>
            <w:r w:rsidRPr="00E206B0">
              <w:rPr>
                <w:rFonts w:ascii="Arial" w:hAnsi="Arial" w:cs="Arial"/>
                <w:b/>
                <w:sz w:val="20"/>
              </w:rPr>
              <w:t>2021</w:t>
            </w:r>
          </w:p>
        </w:tc>
        <w:tc>
          <w:tcPr>
            <w:tcW w:w="1008" w:type="dxa"/>
            <w:shd w:val="clear" w:color="auto" w:fill="D9D9D9" w:themeFill="background1" w:themeFillShade="D9"/>
            <w:vAlign w:val="center"/>
          </w:tcPr>
          <w:p w:rsidR="00140E63" w:rsidRPr="00E206B0" w:rsidRDefault="00140E63" w:rsidP="007A2A16">
            <w:pPr>
              <w:spacing w:after="120"/>
              <w:jc w:val="center"/>
              <w:rPr>
                <w:rFonts w:ascii="Arial" w:hAnsi="Arial" w:cs="Arial"/>
                <w:b/>
                <w:sz w:val="20"/>
              </w:rPr>
            </w:pPr>
            <w:r w:rsidRPr="00E206B0">
              <w:rPr>
                <w:rFonts w:ascii="Arial" w:hAnsi="Arial" w:cs="Arial"/>
                <w:b/>
                <w:sz w:val="20"/>
              </w:rPr>
              <w:t>2022</w:t>
            </w:r>
          </w:p>
        </w:tc>
      </w:tr>
      <w:tr w:rsidR="00140E63" w:rsidRPr="008A59DA" w:rsidTr="007A2A16">
        <w:tc>
          <w:tcPr>
            <w:tcW w:w="1584" w:type="dxa"/>
          </w:tcPr>
          <w:p w:rsidR="00140E63" w:rsidRPr="00E206B0" w:rsidRDefault="00140E63" w:rsidP="007A2A16">
            <w:pPr>
              <w:spacing w:after="120"/>
              <w:jc w:val="center"/>
              <w:rPr>
                <w:rFonts w:ascii="Arial" w:hAnsi="Arial" w:cs="Arial"/>
                <w:b/>
                <w:sz w:val="20"/>
              </w:rPr>
            </w:pPr>
            <w:r w:rsidRPr="00E206B0">
              <w:rPr>
                <w:rFonts w:ascii="Arial" w:hAnsi="Arial" w:cs="Arial"/>
                <w:b/>
                <w:sz w:val="20"/>
              </w:rPr>
              <w:t>201</w:t>
            </w:r>
            <w:r>
              <w:rPr>
                <w:rFonts w:ascii="Arial" w:hAnsi="Arial" w:cs="Arial"/>
                <w:b/>
                <w:sz w:val="20"/>
              </w:rPr>
              <w:t>8</w:t>
            </w:r>
            <w:r w:rsidRPr="00E206B0">
              <w:rPr>
                <w:rFonts w:ascii="Arial" w:hAnsi="Arial" w:cs="Arial"/>
                <w:b/>
                <w:sz w:val="20"/>
              </w:rPr>
              <w:t xml:space="preserve"> Rate Forecast</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$1</w:t>
            </w:r>
            <w:r>
              <w:rPr>
                <w:rFonts w:ascii="Arial" w:hAnsi="Arial" w:cs="Arial"/>
                <w:sz w:val="20"/>
              </w:rPr>
              <w:t>83.8</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$1</w:t>
            </w:r>
            <w:r>
              <w:rPr>
                <w:rFonts w:ascii="Arial" w:hAnsi="Arial" w:cs="Arial"/>
                <w:sz w:val="20"/>
              </w:rPr>
              <w:t>92.4</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$2</w:t>
            </w:r>
            <w:r>
              <w:rPr>
                <w:rFonts w:ascii="Arial" w:hAnsi="Arial" w:cs="Arial"/>
                <w:sz w:val="20"/>
              </w:rPr>
              <w:t>21.3</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$2</w:t>
            </w:r>
            <w:r>
              <w:rPr>
                <w:rFonts w:ascii="Arial" w:hAnsi="Arial" w:cs="Arial"/>
                <w:sz w:val="20"/>
              </w:rPr>
              <w:t>32.7</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$2</w:t>
            </w:r>
            <w:r>
              <w:rPr>
                <w:rFonts w:ascii="Arial" w:hAnsi="Arial" w:cs="Arial"/>
                <w:sz w:val="20"/>
              </w:rPr>
              <w:t>26.3</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$2</w:t>
            </w:r>
            <w:r>
              <w:rPr>
                <w:rFonts w:ascii="Arial" w:hAnsi="Arial" w:cs="Arial"/>
                <w:sz w:val="20"/>
              </w:rPr>
              <w:t>40.3</w:t>
            </w:r>
          </w:p>
        </w:tc>
      </w:tr>
      <w:tr w:rsidR="00140E63" w:rsidRPr="008A59DA" w:rsidTr="007A2A16">
        <w:tc>
          <w:tcPr>
            <w:tcW w:w="1584" w:type="dxa"/>
          </w:tcPr>
          <w:p w:rsidR="00140E63" w:rsidRPr="00E206B0" w:rsidRDefault="00140E63" w:rsidP="007A2A16">
            <w:pPr>
              <w:spacing w:after="120"/>
              <w:jc w:val="center"/>
              <w:rPr>
                <w:rFonts w:ascii="Arial" w:hAnsi="Arial" w:cs="Arial"/>
                <w:b/>
                <w:sz w:val="20"/>
              </w:rPr>
            </w:pPr>
            <w:r>
              <w:rPr>
                <w:rFonts w:ascii="Arial" w:hAnsi="Arial" w:cs="Arial"/>
                <w:b/>
                <w:sz w:val="20"/>
              </w:rPr>
              <w:t>2017-2018</w:t>
            </w:r>
            <w:r w:rsidRPr="00E206B0">
              <w:rPr>
                <w:rFonts w:ascii="Arial" w:hAnsi="Arial" w:cs="Arial"/>
                <w:b/>
                <w:sz w:val="20"/>
              </w:rPr>
              <w:t xml:space="preserve"> Budget Forecast</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$1</w:t>
            </w:r>
            <w:r>
              <w:rPr>
                <w:rFonts w:ascii="Arial" w:hAnsi="Arial" w:cs="Arial"/>
                <w:sz w:val="20"/>
              </w:rPr>
              <w:t>68.3</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$2</w:t>
            </w:r>
            <w:r>
              <w:rPr>
                <w:rFonts w:ascii="Arial" w:hAnsi="Arial" w:cs="Arial"/>
                <w:sz w:val="20"/>
              </w:rPr>
              <w:t>06.4</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$2</w:t>
            </w:r>
            <w:r>
              <w:rPr>
                <w:rFonts w:ascii="Arial" w:hAnsi="Arial" w:cs="Arial"/>
                <w:sz w:val="20"/>
              </w:rPr>
              <w:t>26.8</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$2</w:t>
            </w:r>
            <w:r>
              <w:rPr>
                <w:rFonts w:ascii="Arial" w:hAnsi="Arial" w:cs="Arial"/>
                <w:sz w:val="20"/>
              </w:rPr>
              <w:t>28.9</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w:t>
            </w:r>
            <w:r>
              <w:rPr>
                <w:rFonts w:ascii="Arial" w:hAnsi="Arial" w:cs="Arial"/>
                <w:sz w:val="20"/>
              </w:rPr>
              <w:t>222.2</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w:t>
            </w:r>
            <w:r>
              <w:rPr>
                <w:rFonts w:ascii="Arial" w:hAnsi="Arial" w:cs="Arial"/>
                <w:sz w:val="20"/>
              </w:rPr>
              <w:t>239.1</w:t>
            </w:r>
          </w:p>
        </w:tc>
      </w:tr>
      <w:tr w:rsidR="00140E63" w:rsidRPr="008A59DA" w:rsidTr="007A2A16">
        <w:tc>
          <w:tcPr>
            <w:tcW w:w="1584" w:type="dxa"/>
          </w:tcPr>
          <w:p w:rsidR="00140E63" w:rsidRPr="00E206B0" w:rsidRDefault="00140E63" w:rsidP="007A2A16">
            <w:pPr>
              <w:spacing w:after="120"/>
              <w:jc w:val="center"/>
              <w:rPr>
                <w:rFonts w:ascii="Arial" w:hAnsi="Arial" w:cs="Arial"/>
                <w:b/>
                <w:sz w:val="20"/>
              </w:rPr>
            </w:pPr>
            <w:r w:rsidRPr="00E206B0">
              <w:rPr>
                <w:rFonts w:ascii="Arial" w:hAnsi="Arial" w:cs="Arial"/>
                <w:b/>
                <w:sz w:val="20"/>
              </w:rPr>
              <w:t>Difference</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w:t>
            </w:r>
            <w:r>
              <w:rPr>
                <w:rFonts w:ascii="Arial" w:hAnsi="Arial" w:cs="Arial"/>
                <w:sz w:val="20"/>
              </w:rPr>
              <w:t>15.5</w:t>
            </w:r>
            <w:r w:rsidRPr="00E206B0">
              <w:rPr>
                <w:rFonts w:ascii="Arial" w:hAnsi="Arial" w:cs="Arial"/>
                <w:sz w:val="20"/>
              </w:rPr>
              <w:t>)</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w:t>
            </w:r>
            <w:r>
              <w:rPr>
                <w:rFonts w:ascii="Arial" w:hAnsi="Arial" w:cs="Arial"/>
                <w:sz w:val="20"/>
              </w:rPr>
              <w:t>14.0</w:t>
            </w:r>
          </w:p>
        </w:tc>
        <w:tc>
          <w:tcPr>
            <w:tcW w:w="1008" w:type="dxa"/>
            <w:vAlign w:val="center"/>
          </w:tcPr>
          <w:p w:rsidR="00140E63" w:rsidRPr="00E206B0" w:rsidRDefault="00140E63" w:rsidP="007A2A16">
            <w:pPr>
              <w:spacing w:after="120"/>
              <w:jc w:val="center"/>
              <w:rPr>
                <w:rFonts w:ascii="Arial" w:hAnsi="Arial" w:cs="Arial"/>
                <w:sz w:val="20"/>
              </w:rPr>
            </w:pPr>
            <w:r w:rsidRPr="00E206B0">
              <w:rPr>
                <w:rFonts w:ascii="Arial" w:hAnsi="Arial" w:cs="Arial"/>
                <w:sz w:val="20"/>
              </w:rPr>
              <w:t>$</w:t>
            </w:r>
            <w:r>
              <w:rPr>
                <w:rFonts w:ascii="Arial" w:hAnsi="Arial" w:cs="Arial"/>
                <w:sz w:val="20"/>
              </w:rPr>
              <w:t>5.5</w:t>
            </w:r>
          </w:p>
        </w:tc>
        <w:tc>
          <w:tcPr>
            <w:tcW w:w="1008" w:type="dxa"/>
            <w:vAlign w:val="center"/>
          </w:tcPr>
          <w:p w:rsidR="00140E63" w:rsidRPr="00E206B0" w:rsidRDefault="00140E63" w:rsidP="007A2A16">
            <w:pPr>
              <w:spacing w:after="120"/>
              <w:jc w:val="center"/>
              <w:rPr>
                <w:rFonts w:ascii="Arial" w:hAnsi="Arial" w:cs="Arial"/>
                <w:sz w:val="20"/>
              </w:rPr>
            </w:pPr>
            <w:r>
              <w:rPr>
                <w:rFonts w:ascii="Arial" w:hAnsi="Arial" w:cs="Arial"/>
                <w:sz w:val="20"/>
              </w:rPr>
              <w:t>(</w:t>
            </w:r>
            <w:r w:rsidRPr="00E206B0">
              <w:rPr>
                <w:rFonts w:ascii="Arial" w:hAnsi="Arial" w:cs="Arial"/>
                <w:sz w:val="20"/>
              </w:rPr>
              <w:t>$</w:t>
            </w:r>
            <w:r>
              <w:rPr>
                <w:rFonts w:ascii="Arial" w:hAnsi="Arial" w:cs="Arial"/>
                <w:sz w:val="20"/>
              </w:rPr>
              <w:t>3.8)</w:t>
            </w:r>
          </w:p>
        </w:tc>
        <w:tc>
          <w:tcPr>
            <w:tcW w:w="1008" w:type="dxa"/>
            <w:vAlign w:val="center"/>
          </w:tcPr>
          <w:p w:rsidR="00140E63" w:rsidRPr="00E206B0" w:rsidRDefault="00140E63" w:rsidP="007A2A16">
            <w:pPr>
              <w:spacing w:after="120"/>
              <w:jc w:val="center"/>
              <w:rPr>
                <w:rFonts w:ascii="Arial" w:hAnsi="Arial" w:cs="Arial"/>
                <w:sz w:val="20"/>
              </w:rPr>
            </w:pPr>
            <w:r>
              <w:rPr>
                <w:rFonts w:ascii="Arial" w:hAnsi="Arial" w:cs="Arial"/>
                <w:sz w:val="20"/>
              </w:rPr>
              <w:t>(</w:t>
            </w:r>
            <w:r w:rsidRPr="00E206B0">
              <w:rPr>
                <w:rFonts w:ascii="Arial" w:hAnsi="Arial" w:cs="Arial"/>
                <w:sz w:val="20"/>
              </w:rPr>
              <w:t>$</w:t>
            </w:r>
            <w:r>
              <w:rPr>
                <w:rFonts w:ascii="Arial" w:hAnsi="Arial" w:cs="Arial"/>
                <w:sz w:val="20"/>
              </w:rPr>
              <w:t>4.1)</w:t>
            </w:r>
          </w:p>
        </w:tc>
        <w:tc>
          <w:tcPr>
            <w:tcW w:w="1008" w:type="dxa"/>
            <w:vAlign w:val="center"/>
          </w:tcPr>
          <w:p w:rsidR="00140E63" w:rsidRPr="00E206B0" w:rsidRDefault="00140E63" w:rsidP="007A2A16">
            <w:pPr>
              <w:spacing w:after="120"/>
              <w:jc w:val="center"/>
              <w:rPr>
                <w:rFonts w:ascii="Arial" w:hAnsi="Arial" w:cs="Arial"/>
                <w:sz w:val="20"/>
              </w:rPr>
            </w:pPr>
            <w:r>
              <w:rPr>
                <w:rFonts w:ascii="Arial" w:hAnsi="Arial" w:cs="Arial"/>
                <w:sz w:val="20"/>
              </w:rPr>
              <w:t>(</w:t>
            </w:r>
            <w:r w:rsidRPr="00E206B0">
              <w:rPr>
                <w:rFonts w:ascii="Arial" w:hAnsi="Arial" w:cs="Arial"/>
                <w:sz w:val="20"/>
              </w:rPr>
              <w:t>$</w:t>
            </w:r>
            <w:r>
              <w:rPr>
                <w:rFonts w:ascii="Arial" w:hAnsi="Arial" w:cs="Arial"/>
                <w:sz w:val="20"/>
              </w:rPr>
              <w:t>1.2)</w:t>
            </w:r>
          </w:p>
        </w:tc>
      </w:tr>
    </w:tbl>
    <w:p w:rsidR="00140E63" w:rsidRDefault="00140E63" w:rsidP="00140E63">
      <w:pPr>
        <w:contextualSpacing/>
        <w:rPr>
          <w:rFonts w:ascii="Arial" w:hAnsi="Arial" w:cs="Arial"/>
          <w:u w:val="single"/>
        </w:rPr>
      </w:pPr>
    </w:p>
    <w:p w:rsidR="00140E63" w:rsidRPr="0057565D" w:rsidRDefault="00140E63" w:rsidP="00140E63">
      <w:pPr>
        <w:contextualSpacing/>
        <w:rPr>
          <w:rFonts w:ascii="Arial" w:hAnsi="Arial" w:cs="Arial"/>
          <w:b/>
        </w:rPr>
      </w:pPr>
      <w:r w:rsidRPr="0057565D">
        <w:rPr>
          <w:rFonts w:ascii="Arial" w:hAnsi="Arial" w:cs="Arial"/>
          <w:b/>
        </w:rPr>
        <w:t>Major Capital Projects Incorporated into the 201</w:t>
      </w:r>
      <w:r>
        <w:rPr>
          <w:rFonts w:ascii="Arial" w:hAnsi="Arial" w:cs="Arial"/>
          <w:b/>
        </w:rPr>
        <w:t>8</w:t>
      </w:r>
      <w:r w:rsidRPr="0057565D">
        <w:rPr>
          <w:rFonts w:ascii="Arial" w:hAnsi="Arial" w:cs="Arial"/>
          <w:b/>
        </w:rPr>
        <w:t xml:space="preserve"> Rate</w:t>
      </w:r>
    </w:p>
    <w:p w:rsidR="00140E63" w:rsidRPr="00AC709F" w:rsidRDefault="00140E63" w:rsidP="00140E63">
      <w:pPr>
        <w:jc w:val="both"/>
        <w:rPr>
          <w:rFonts w:ascii="Arial" w:hAnsi="Arial" w:cs="Arial"/>
        </w:rPr>
      </w:pPr>
      <w:r w:rsidRPr="00AC709F">
        <w:rPr>
          <w:rFonts w:ascii="Arial" w:hAnsi="Arial" w:cs="Arial"/>
        </w:rPr>
        <w:t xml:space="preserve">As reported by the Executive, key projects that are underway or </w:t>
      </w:r>
      <w:r>
        <w:rPr>
          <w:rFonts w:ascii="Arial" w:hAnsi="Arial" w:cs="Arial"/>
        </w:rPr>
        <w:t xml:space="preserve">were </w:t>
      </w:r>
      <w:r w:rsidRPr="00AC709F">
        <w:rPr>
          <w:rFonts w:ascii="Arial" w:hAnsi="Arial" w:cs="Arial"/>
        </w:rPr>
        <w:t>added through the budget process that represen</w:t>
      </w:r>
      <w:r>
        <w:rPr>
          <w:rFonts w:ascii="Arial" w:hAnsi="Arial" w:cs="Arial"/>
        </w:rPr>
        <w:t>t a significant portion of the six-</w:t>
      </w:r>
      <w:r w:rsidRPr="00AC709F">
        <w:rPr>
          <w:rFonts w:ascii="Arial" w:hAnsi="Arial" w:cs="Arial"/>
        </w:rPr>
        <w:t>year capital plannin</w:t>
      </w:r>
      <w:r>
        <w:rPr>
          <w:rFonts w:ascii="Arial" w:hAnsi="Arial" w:cs="Arial"/>
        </w:rPr>
        <w:t>g horizon include the following:</w:t>
      </w:r>
    </w:p>
    <w:p w:rsidR="00140E63" w:rsidRPr="00AC709F" w:rsidRDefault="00140E63" w:rsidP="00140E63">
      <w:pPr>
        <w:ind w:left="720"/>
        <w:rPr>
          <w:rFonts w:ascii="Arial" w:eastAsia="Calibri" w:hAnsi="Arial" w:cs="Arial"/>
          <w:sz w:val="20"/>
        </w:rPr>
      </w:pPr>
    </w:p>
    <w:p w:rsidR="00140E63" w:rsidRPr="0088728E" w:rsidRDefault="00140E63" w:rsidP="00140E63">
      <w:pPr>
        <w:pStyle w:val="NoSpacing"/>
        <w:numPr>
          <w:ilvl w:val="0"/>
          <w:numId w:val="7"/>
        </w:numPr>
        <w:jc w:val="both"/>
        <w:rPr>
          <w:rFonts w:ascii="Arial" w:hAnsi="Arial" w:cs="Arial"/>
          <w:b/>
          <w:sz w:val="24"/>
          <w:szCs w:val="24"/>
        </w:rPr>
      </w:pPr>
      <w:r w:rsidRPr="0088728E">
        <w:rPr>
          <w:rFonts w:ascii="Arial" w:hAnsi="Arial" w:cs="Arial"/>
          <w:b/>
          <w:sz w:val="24"/>
          <w:szCs w:val="24"/>
        </w:rPr>
        <w:t>Chelan Ave CSO ($118.7M)</w:t>
      </w:r>
    </w:p>
    <w:p w:rsidR="00140E63" w:rsidRPr="0088728E" w:rsidRDefault="00140E63" w:rsidP="00140E63">
      <w:pPr>
        <w:pStyle w:val="NoSpacing"/>
        <w:ind w:left="720"/>
        <w:jc w:val="both"/>
        <w:rPr>
          <w:rFonts w:ascii="Arial" w:hAnsi="Arial" w:cs="Arial"/>
          <w:sz w:val="24"/>
          <w:szCs w:val="24"/>
        </w:rPr>
      </w:pPr>
      <w:r w:rsidRPr="0088728E">
        <w:rPr>
          <w:rFonts w:ascii="Arial" w:hAnsi="Arial" w:cs="Arial"/>
          <w:sz w:val="24"/>
          <w:szCs w:val="24"/>
        </w:rPr>
        <w:t>This consent-decree-driven project will design and construct a combined sewer overf</w:t>
      </w:r>
      <w:r>
        <w:rPr>
          <w:rFonts w:ascii="Arial" w:hAnsi="Arial" w:cs="Arial"/>
          <w:sz w:val="24"/>
          <w:szCs w:val="24"/>
        </w:rPr>
        <w:t>low control facility to handle four million</w:t>
      </w:r>
      <w:r w:rsidRPr="0088728E">
        <w:rPr>
          <w:rFonts w:ascii="Arial" w:hAnsi="Arial" w:cs="Arial"/>
          <w:sz w:val="24"/>
          <w:szCs w:val="24"/>
        </w:rPr>
        <w:t xml:space="preserve"> to </w:t>
      </w:r>
      <w:r>
        <w:rPr>
          <w:rFonts w:ascii="Arial" w:hAnsi="Arial" w:cs="Arial"/>
          <w:sz w:val="24"/>
          <w:szCs w:val="24"/>
        </w:rPr>
        <w:t>five</w:t>
      </w:r>
      <w:r w:rsidRPr="0088728E">
        <w:rPr>
          <w:rFonts w:ascii="Arial" w:hAnsi="Arial" w:cs="Arial"/>
          <w:sz w:val="24"/>
          <w:szCs w:val="24"/>
        </w:rPr>
        <w:t xml:space="preserve"> million gallons of mixed storm and wastewater. The project estimate reflects work for design, construction, and property acquisition as the project team evaluate a tank alternative and a tunnel alternative. The current project schedule for substantial construction completion is June 2022.</w:t>
      </w:r>
    </w:p>
    <w:p w:rsidR="00140E63" w:rsidRPr="0088728E" w:rsidRDefault="00140E63" w:rsidP="00140E63">
      <w:pPr>
        <w:pStyle w:val="NoSpacing"/>
        <w:ind w:left="720"/>
        <w:jc w:val="both"/>
        <w:rPr>
          <w:rFonts w:ascii="Arial" w:hAnsi="Arial" w:cs="Arial"/>
          <w:sz w:val="24"/>
          <w:szCs w:val="24"/>
        </w:rPr>
      </w:pPr>
    </w:p>
    <w:p w:rsidR="00140E63" w:rsidRPr="0088728E" w:rsidRDefault="00140E63" w:rsidP="00140E63">
      <w:pPr>
        <w:pStyle w:val="NoSpacing"/>
        <w:numPr>
          <w:ilvl w:val="0"/>
          <w:numId w:val="7"/>
        </w:numPr>
        <w:jc w:val="both"/>
        <w:rPr>
          <w:rFonts w:ascii="Arial" w:hAnsi="Arial" w:cs="Arial"/>
          <w:b/>
          <w:sz w:val="24"/>
          <w:szCs w:val="24"/>
        </w:rPr>
      </w:pPr>
      <w:r w:rsidRPr="0088728E">
        <w:rPr>
          <w:rFonts w:ascii="Arial" w:hAnsi="Arial" w:cs="Arial"/>
          <w:b/>
          <w:sz w:val="24"/>
          <w:szCs w:val="24"/>
        </w:rPr>
        <w:t>CSO Control &amp; Improvements – Magnolia ($53.8M)</w:t>
      </w:r>
    </w:p>
    <w:p w:rsidR="00140E63" w:rsidRPr="0088728E" w:rsidRDefault="00140E63" w:rsidP="00140E63">
      <w:pPr>
        <w:pStyle w:val="NoSpacing"/>
        <w:ind w:left="720"/>
        <w:jc w:val="both"/>
        <w:rPr>
          <w:rFonts w:ascii="Arial" w:hAnsi="Arial" w:cs="Arial"/>
          <w:sz w:val="24"/>
          <w:szCs w:val="24"/>
        </w:rPr>
      </w:pPr>
      <w:r w:rsidRPr="0088728E">
        <w:rPr>
          <w:rFonts w:ascii="Arial" w:hAnsi="Arial" w:cs="Arial"/>
          <w:sz w:val="24"/>
          <w:szCs w:val="24"/>
        </w:rPr>
        <w:t>This estimate reflects an increase of $4.7 million to</w:t>
      </w:r>
      <w:r>
        <w:rPr>
          <w:rFonts w:ascii="Arial" w:hAnsi="Arial" w:cs="Arial"/>
          <w:sz w:val="24"/>
          <w:szCs w:val="24"/>
        </w:rPr>
        <w:t xml:space="preserve"> fund the repair of a 30-</w:t>
      </w:r>
      <w:r w:rsidRPr="0088728E">
        <w:rPr>
          <w:rFonts w:ascii="Arial" w:hAnsi="Arial" w:cs="Arial"/>
          <w:sz w:val="24"/>
          <w:szCs w:val="24"/>
        </w:rPr>
        <w:t>inch diameter pipe that has failed and prevents CSO flows from entering the facility storage tank. Repair is scheduled for completion at the end of July 2017 (July 2016 previous construction completion date). The contractor and its insurer have been put on notice that they are responsible for the repair of the damaged pipeline.</w:t>
      </w:r>
    </w:p>
    <w:p w:rsidR="00140E63" w:rsidRPr="0088728E" w:rsidRDefault="00140E63" w:rsidP="00140E63">
      <w:pPr>
        <w:pStyle w:val="NoSpacing"/>
        <w:ind w:left="720"/>
        <w:jc w:val="both"/>
        <w:rPr>
          <w:rFonts w:ascii="Arial" w:hAnsi="Arial" w:cs="Arial"/>
          <w:b/>
          <w:sz w:val="24"/>
          <w:szCs w:val="24"/>
        </w:rPr>
      </w:pPr>
    </w:p>
    <w:p w:rsidR="00140E63" w:rsidRPr="0088728E" w:rsidRDefault="00140E63" w:rsidP="00140E63">
      <w:pPr>
        <w:pStyle w:val="NoSpacing"/>
        <w:numPr>
          <w:ilvl w:val="0"/>
          <w:numId w:val="7"/>
        </w:numPr>
        <w:jc w:val="both"/>
        <w:rPr>
          <w:rFonts w:ascii="Arial" w:hAnsi="Arial" w:cs="Arial"/>
          <w:b/>
          <w:sz w:val="24"/>
          <w:szCs w:val="24"/>
        </w:rPr>
      </w:pPr>
      <w:r w:rsidRPr="0088728E">
        <w:rPr>
          <w:rFonts w:ascii="Arial" w:hAnsi="Arial" w:cs="Arial"/>
          <w:b/>
          <w:sz w:val="24"/>
          <w:szCs w:val="24"/>
        </w:rPr>
        <w:t>North Creek Interceptor ($</w:t>
      </w:r>
      <w:r>
        <w:rPr>
          <w:rFonts w:ascii="Arial" w:hAnsi="Arial" w:cs="Arial"/>
          <w:b/>
          <w:sz w:val="24"/>
          <w:szCs w:val="24"/>
        </w:rPr>
        <w:t>84.5</w:t>
      </w:r>
      <w:r w:rsidRPr="0088728E">
        <w:rPr>
          <w:rFonts w:ascii="Arial" w:hAnsi="Arial" w:cs="Arial"/>
          <w:b/>
          <w:sz w:val="24"/>
          <w:szCs w:val="24"/>
        </w:rPr>
        <w:t>M)</w:t>
      </w:r>
    </w:p>
    <w:p w:rsidR="00140E63" w:rsidRPr="0088728E" w:rsidRDefault="00140E63" w:rsidP="00140E63">
      <w:pPr>
        <w:pStyle w:val="NoSpacing"/>
        <w:ind w:left="720"/>
        <w:jc w:val="both"/>
        <w:rPr>
          <w:rFonts w:ascii="Arial" w:hAnsi="Arial" w:cs="Arial"/>
          <w:sz w:val="24"/>
          <w:szCs w:val="24"/>
        </w:rPr>
      </w:pPr>
      <w:r w:rsidRPr="0088728E">
        <w:rPr>
          <w:rFonts w:ascii="Arial" w:hAnsi="Arial" w:cs="Arial"/>
          <w:sz w:val="24"/>
          <w:szCs w:val="24"/>
        </w:rPr>
        <w:t>This project provides a vital public benefit because it increases the capacity of the regional sewer system to address sanitary sewer overflows that impact public health and water quality and accommodates planned growth. On January 19, 2017, the County Executive signed a determination of emergency and waiver from competitive procurement. The determination of emergency was necessary because the construction work was not being completed in accordance with the specifications and time period of the contract. The emergency declaration allows the Wastewater Treatment Division to hire a qualified follow-on contractor regarding the cost and schedule for completion of the remaining work. WTD signed a contract with J.W. Fowler Co. to complete the project.</w:t>
      </w:r>
    </w:p>
    <w:p w:rsidR="00140E63" w:rsidRPr="0088728E" w:rsidRDefault="00140E63" w:rsidP="00140E63">
      <w:pPr>
        <w:pStyle w:val="NoSpacing"/>
        <w:ind w:left="720"/>
        <w:jc w:val="both"/>
        <w:rPr>
          <w:rFonts w:ascii="Arial" w:hAnsi="Arial" w:cs="Arial"/>
          <w:sz w:val="24"/>
          <w:szCs w:val="24"/>
        </w:rPr>
      </w:pPr>
    </w:p>
    <w:p w:rsidR="00140E63" w:rsidRPr="0088728E" w:rsidRDefault="00140E63" w:rsidP="00140E63">
      <w:pPr>
        <w:pStyle w:val="NoSpacing"/>
        <w:numPr>
          <w:ilvl w:val="0"/>
          <w:numId w:val="7"/>
        </w:numPr>
        <w:jc w:val="both"/>
        <w:rPr>
          <w:rFonts w:ascii="Arial" w:hAnsi="Arial" w:cs="Arial"/>
          <w:b/>
          <w:sz w:val="24"/>
          <w:szCs w:val="24"/>
        </w:rPr>
      </w:pPr>
      <w:r w:rsidRPr="0088728E">
        <w:rPr>
          <w:rFonts w:ascii="Arial" w:hAnsi="Arial" w:cs="Arial"/>
          <w:b/>
          <w:sz w:val="24"/>
          <w:szCs w:val="24"/>
        </w:rPr>
        <w:t>West Duwamish CSO Control ($57.3M)</w:t>
      </w:r>
    </w:p>
    <w:p w:rsidR="00140E63" w:rsidRPr="0088728E" w:rsidRDefault="00140E63" w:rsidP="00140E63">
      <w:pPr>
        <w:pStyle w:val="NoSpacing"/>
        <w:ind w:left="720"/>
        <w:jc w:val="both"/>
        <w:rPr>
          <w:rFonts w:ascii="Arial" w:hAnsi="Arial" w:cs="Arial"/>
          <w:sz w:val="24"/>
          <w:szCs w:val="24"/>
        </w:rPr>
      </w:pPr>
      <w:r w:rsidRPr="0088728E">
        <w:rPr>
          <w:rFonts w:ascii="Arial" w:hAnsi="Arial" w:cs="Arial"/>
          <w:sz w:val="24"/>
          <w:szCs w:val="24"/>
        </w:rPr>
        <w:t xml:space="preserve">This project provides for the design, construction and property acquisition to control combined sewer overflows as mandated by the consent decree issued by the </w:t>
      </w:r>
      <w:r>
        <w:rPr>
          <w:rFonts w:ascii="Arial" w:hAnsi="Arial" w:cs="Arial"/>
          <w:sz w:val="24"/>
          <w:szCs w:val="24"/>
        </w:rPr>
        <w:t xml:space="preserve">U.S. </w:t>
      </w:r>
      <w:r w:rsidRPr="0088728E">
        <w:rPr>
          <w:rFonts w:ascii="Arial" w:hAnsi="Arial" w:cs="Arial"/>
          <w:sz w:val="24"/>
          <w:szCs w:val="24"/>
        </w:rPr>
        <w:t xml:space="preserve">Department of Justice and the </w:t>
      </w:r>
      <w:r>
        <w:rPr>
          <w:rFonts w:ascii="Arial" w:hAnsi="Arial" w:cs="Arial"/>
          <w:sz w:val="24"/>
          <w:szCs w:val="24"/>
        </w:rPr>
        <w:t>Environmental Protection Agency (</w:t>
      </w:r>
      <w:r w:rsidRPr="0088728E">
        <w:rPr>
          <w:rFonts w:ascii="Arial" w:hAnsi="Arial" w:cs="Arial"/>
          <w:sz w:val="24"/>
          <w:szCs w:val="24"/>
        </w:rPr>
        <w:t>EPA</w:t>
      </w:r>
      <w:r>
        <w:rPr>
          <w:rFonts w:ascii="Arial" w:hAnsi="Arial" w:cs="Arial"/>
          <w:sz w:val="24"/>
          <w:szCs w:val="24"/>
        </w:rPr>
        <w:t>)</w:t>
      </w:r>
      <w:r w:rsidRPr="0088728E">
        <w:rPr>
          <w:rFonts w:ascii="Arial" w:hAnsi="Arial" w:cs="Arial"/>
          <w:sz w:val="24"/>
          <w:szCs w:val="24"/>
        </w:rPr>
        <w:t>. Construction completion is currently scheduled for January 2025.</w:t>
      </w:r>
    </w:p>
    <w:p w:rsidR="00140E63" w:rsidRPr="0088728E" w:rsidRDefault="00140E63" w:rsidP="00140E63">
      <w:pPr>
        <w:pStyle w:val="NoSpacing"/>
        <w:ind w:left="720"/>
        <w:jc w:val="both"/>
        <w:rPr>
          <w:rFonts w:ascii="Arial" w:hAnsi="Arial" w:cs="Arial"/>
          <w:sz w:val="24"/>
          <w:szCs w:val="24"/>
        </w:rPr>
      </w:pPr>
    </w:p>
    <w:p w:rsidR="00140E63" w:rsidRPr="0088728E" w:rsidRDefault="00140E63" w:rsidP="00140E63">
      <w:pPr>
        <w:pStyle w:val="NoSpacing"/>
        <w:numPr>
          <w:ilvl w:val="0"/>
          <w:numId w:val="7"/>
        </w:numPr>
        <w:jc w:val="both"/>
        <w:rPr>
          <w:rFonts w:ascii="Arial" w:hAnsi="Arial" w:cs="Arial"/>
          <w:b/>
          <w:sz w:val="24"/>
          <w:szCs w:val="24"/>
        </w:rPr>
      </w:pPr>
      <w:r w:rsidRPr="0088728E">
        <w:rPr>
          <w:rFonts w:ascii="Arial" w:hAnsi="Arial" w:cs="Arial"/>
          <w:b/>
          <w:sz w:val="24"/>
          <w:szCs w:val="24"/>
        </w:rPr>
        <w:lastRenderedPageBreak/>
        <w:t>SP Biogas and Heat Systems Improvements ($67M)</w:t>
      </w:r>
    </w:p>
    <w:p w:rsidR="00140E63" w:rsidRDefault="00140E63" w:rsidP="007A2A16">
      <w:pPr>
        <w:pStyle w:val="NoSpacing"/>
        <w:ind w:left="720"/>
        <w:jc w:val="both"/>
        <w:rPr>
          <w:rFonts w:ascii="Arial" w:hAnsi="Arial" w:cs="Arial"/>
          <w:sz w:val="24"/>
          <w:szCs w:val="24"/>
        </w:rPr>
      </w:pPr>
      <w:r w:rsidRPr="0088728E">
        <w:rPr>
          <w:rFonts w:ascii="Arial" w:hAnsi="Arial" w:cs="Arial"/>
          <w:sz w:val="24"/>
          <w:szCs w:val="24"/>
        </w:rPr>
        <w:t xml:space="preserve">This project provides for the design and construction to replace the South Plant heating and gas scrubbing system that has reached the end of its useful life and become increasingly costly to maintain and operate. The system replacement is an opportunity to install an energy efficient system and comply with the higher quality standard for scrubbed biogas set by Puget Sound Energy. Complying with the higher quality standard allows the scrubbed gas to be sold to an expanded market. The project is scheduled to reach substantial completion in February 2021. </w:t>
      </w:r>
    </w:p>
    <w:p w:rsidR="00140E63" w:rsidRPr="0088728E" w:rsidRDefault="00140E63" w:rsidP="00140E63">
      <w:pPr>
        <w:pStyle w:val="NoSpacing"/>
        <w:ind w:left="720"/>
        <w:jc w:val="both"/>
        <w:rPr>
          <w:rFonts w:ascii="Arial" w:hAnsi="Arial" w:cs="Arial"/>
          <w:sz w:val="24"/>
          <w:szCs w:val="24"/>
        </w:rPr>
      </w:pPr>
    </w:p>
    <w:p w:rsidR="00140E63" w:rsidRPr="0088728E" w:rsidRDefault="00140E63" w:rsidP="00140E63">
      <w:pPr>
        <w:pStyle w:val="NoSpacing"/>
        <w:numPr>
          <w:ilvl w:val="0"/>
          <w:numId w:val="7"/>
        </w:numPr>
        <w:jc w:val="both"/>
        <w:rPr>
          <w:rFonts w:ascii="Arial" w:hAnsi="Arial" w:cs="Arial"/>
          <w:b/>
          <w:sz w:val="24"/>
          <w:szCs w:val="24"/>
        </w:rPr>
      </w:pPr>
      <w:r w:rsidRPr="0088728E">
        <w:rPr>
          <w:rFonts w:ascii="Arial" w:hAnsi="Arial" w:cs="Arial"/>
          <w:b/>
          <w:sz w:val="24"/>
          <w:szCs w:val="24"/>
        </w:rPr>
        <w:t>Jameson/Arcweld Buildings Replacement ($23.4M)</w:t>
      </w:r>
    </w:p>
    <w:p w:rsidR="00140E63" w:rsidRPr="0088728E" w:rsidRDefault="009717E7" w:rsidP="00140E63">
      <w:pPr>
        <w:pStyle w:val="NoSpacing"/>
        <w:ind w:left="720"/>
        <w:jc w:val="both"/>
        <w:rPr>
          <w:rFonts w:ascii="Arial" w:hAnsi="Arial" w:cs="Arial"/>
          <w:b/>
          <w:sz w:val="24"/>
          <w:szCs w:val="24"/>
        </w:rPr>
      </w:pPr>
      <w:r>
        <w:rPr>
          <w:rFonts w:ascii="Arial" w:hAnsi="Arial" w:cs="Arial"/>
          <w:sz w:val="24"/>
          <w:szCs w:val="24"/>
        </w:rPr>
        <w:t>The Jameson and Arcw</w:t>
      </w:r>
      <w:bookmarkStart w:id="3" w:name="_GoBack"/>
      <w:bookmarkEnd w:id="3"/>
      <w:r w:rsidR="00140E63" w:rsidRPr="0088728E">
        <w:rPr>
          <w:rFonts w:ascii="Arial" w:hAnsi="Arial" w:cs="Arial"/>
          <w:sz w:val="24"/>
          <w:szCs w:val="24"/>
        </w:rPr>
        <w:t>eld buildings are beyond their useful life, cramped, and inefficient. The project involves design, construction, and property acquisition activities to address the organizational business needs and requirements for housing the West Division maintenance and Construction Management staff. The project is scheduled to reach substantial completion in March 2022.</w:t>
      </w:r>
    </w:p>
    <w:p w:rsidR="00140E63" w:rsidRPr="00AC709F" w:rsidRDefault="00140E63" w:rsidP="00140E63">
      <w:pPr>
        <w:jc w:val="both"/>
        <w:rPr>
          <w:rFonts w:ascii="Arial" w:hAnsi="Arial" w:cs="Arial"/>
        </w:rPr>
      </w:pPr>
    </w:p>
    <w:p w:rsidR="00140E63" w:rsidRPr="00AC709F" w:rsidRDefault="00140E63" w:rsidP="00140E63">
      <w:pPr>
        <w:jc w:val="both"/>
        <w:rPr>
          <w:rFonts w:ascii="Arial" w:hAnsi="Arial" w:cs="Arial"/>
          <w:b/>
          <w:u w:val="single"/>
        </w:rPr>
      </w:pPr>
      <w:r w:rsidRPr="00AC709F">
        <w:rPr>
          <w:rFonts w:ascii="Arial" w:hAnsi="Arial" w:cs="Arial"/>
          <w:b/>
          <w:u w:val="single"/>
        </w:rPr>
        <w:t>Metropolitan Water Pollution Abatement Advisory Committee Comments</w:t>
      </w:r>
    </w:p>
    <w:p w:rsidR="00140E63" w:rsidRPr="00AC709F" w:rsidRDefault="00140E63" w:rsidP="00140E63">
      <w:pPr>
        <w:jc w:val="both"/>
        <w:rPr>
          <w:rFonts w:ascii="Arial" w:hAnsi="Arial" w:cs="Arial"/>
        </w:rPr>
      </w:pPr>
      <w:r w:rsidRPr="00AC709F">
        <w:rPr>
          <w:rFonts w:ascii="Arial" w:hAnsi="Arial" w:cs="Arial"/>
        </w:rPr>
        <w:t>The Metropolitan Water Pollution Abatement Advisory Committee, or MWPAAC, advises the King County Council and Executive on matters related to water pollution abatement. It was created by state law (R</w:t>
      </w:r>
      <w:r>
        <w:rPr>
          <w:rFonts w:ascii="Arial" w:hAnsi="Arial" w:cs="Arial"/>
        </w:rPr>
        <w:t xml:space="preserve">evised </w:t>
      </w:r>
      <w:r w:rsidRPr="00AC709F">
        <w:rPr>
          <w:rFonts w:ascii="Arial" w:hAnsi="Arial" w:cs="Arial"/>
        </w:rPr>
        <w:t>C</w:t>
      </w:r>
      <w:r>
        <w:rPr>
          <w:rFonts w:ascii="Arial" w:hAnsi="Arial" w:cs="Arial"/>
        </w:rPr>
        <w:t xml:space="preserve">ode of </w:t>
      </w:r>
      <w:r w:rsidRPr="00AC709F">
        <w:rPr>
          <w:rFonts w:ascii="Arial" w:hAnsi="Arial" w:cs="Arial"/>
        </w:rPr>
        <w:t>W</w:t>
      </w:r>
      <w:r>
        <w:rPr>
          <w:rFonts w:ascii="Arial" w:hAnsi="Arial" w:cs="Arial"/>
        </w:rPr>
        <w:t>ashington</w:t>
      </w:r>
      <w:r w:rsidRPr="00AC709F">
        <w:rPr>
          <w:rFonts w:ascii="Arial" w:hAnsi="Arial" w:cs="Arial"/>
        </w:rPr>
        <w:t xml:space="preserve"> 35.58.210) and consists of representatives from cities and local sewer utilities that operate sewer systems within King County</w:t>
      </w:r>
      <w:r>
        <w:rPr>
          <w:rFonts w:ascii="Arial" w:hAnsi="Arial" w:cs="Arial"/>
        </w:rPr>
        <w:t>’s sewer service area</w:t>
      </w:r>
      <w:r w:rsidRPr="00AC709F">
        <w:rPr>
          <w:rFonts w:ascii="Arial" w:hAnsi="Arial" w:cs="Arial"/>
        </w:rPr>
        <w:t>. Most of these cities and sewer utilities deliver their sewage to King County for treatment and disposal.</w:t>
      </w:r>
    </w:p>
    <w:p w:rsidR="00140E63" w:rsidRPr="00AC709F" w:rsidRDefault="00140E63" w:rsidP="00140E63">
      <w:pPr>
        <w:jc w:val="both"/>
        <w:rPr>
          <w:rFonts w:ascii="Arial" w:hAnsi="Arial" w:cs="Arial"/>
        </w:rPr>
      </w:pPr>
    </w:p>
    <w:p w:rsidR="00140E63" w:rsidRDefault="00140E63" w:rsidP="00140E63">
      <w:pPr>
        <w:jc w:val="both"/>
        <w:rPr>
          <w:rFonts w:ascii="Arial" w:hAnsi="Arial" w:cs="Arial"/>
        </w:rPr>
      </w:pPr>
      <w:r>
        <w:rPr>
          <w:rFonts w:ascii="Arial" w:hAnsi="Arial" w:cs="Arial"/>
        </w:rPr>
        <w:t>MWPAAC has indicated its support for the Executive’s 2018 rate recommendation in a letter forwarded to the Council.  The letter, dated April 26, 2017, indicates as follows:</w:t>
      </w:r>
    </w:p>
    <w:p w:rsidR="00140E63" w:rsidRDefault="00140E63" w:rsidP="00140E63">
      <w:pPr>
        <w:ind w:left="720"/>
        <w:jc w:val="both"/>
        <w:rPr>
          <w:rFonts w:ascii="Arial" w:hAnsi="Arial" w:cs="Arial"/>
        </w:rPr>
      </w:pPr>
    </w:p>
    <w:p w:rsidR="00140E63" w:rsidRDefault="00140E63" w:rsidP="00140E63">
      <w:pPr>
        <w:ind w:left="720"/>
        <w:jc w:val="both"/>
        <w:rPr>
          <w:rFonts w:ascii="Arial" w:hAnsi="Arial" w:cs="Arial"/>
        </w:rPr>
      </w:pPr>
      <w:r>
        <w:rPr>
          <w:rFonts w:ascii="Arial" w:hAnsi="Arial" w:cs="Arial"/>
        </w:rPr>
        <w:t>“…the proposed rate serves to continue reducing outstanding debt through 2030 by instituting increased cash funding and moderate rate increases, which is in line with the MWPAAC debt review committee recommendation.  Based on that review, we support the proposed 2018 rate of $44.22, which represents no change from 2017’s rate.  We encourage you to support this proposed rate, which responds to many of MWPAAC’s previously voiced concerns and proposals.”</w:t>
      </w:r>
    </w:p>
    <w:p w:rsidR="00140E63" w:rsidRDefault="00140E63" w:rsidP="00140E63">
      <w:pPr>
        <w:jc w:val="both"/>
        <w:rPr>
          <w:rFonts w:ascii="Arial" w:hAnsi="Arial" w:cs="Arial"/>
          <w:b/>
          <w:u w:val="single"/>
        </w:rPr>
      </w:pPr>
    </w:p>
    <w:p w:rsidR="00140E63" w:rsidRDefault="00C31647" w:rsidP="00140E63">
      <w:pPr>
        <w:jc w:val="both"/>
        <w:rPr>
          <w:rFonts w:ascii="Arial" w:hAnsi="Arial" w:cs="Arial"/>
        </w:rPr>
      </w:pPr>
      <w:r>
        <w:rPr>
          <w:rFonts w:ascii="Arial" w:hAnsi="Arial" w:cs="Arial"/>
          <w:b/>
          <w:u w:val="single"/>
        </w:rPr>
        <w:t>TIMING</w:t>
      </w:r>
    </w:p>
    <w:p w:rsidR="00140E63" w:rsidRPr="004D5597" w:rsidRDefault="00140E63" w:rsidP="00140E63">
      <w:pPr>
        <w:jc w:val="both"/>
        <w:rPr>
          <w:rFonts w:ascii="Arial" w:hAnsi="Arial" w:cs="Arial"/>
        </w:rPr>
      </w:pPr>
    </w:p>
    <w:p w:rsidR="00140E63" w:rsidRDefault="00140E63" w:rsidP="00C31647">
      <w:pPr>
        <w:ind w:right="-540"/>
        <w:jc w:val="both"/>
        <w:rPr>
          <w:rFonts w:ascii="Arial" w:hAnsi="Arial" w:cs="Arial"/>
        </w:rPr>
      </w:pPr>
      <w:r w:rsidRPr="00AC709F">
        <w:rPr>
          <w:rFonts w:ascii="Arial" w:hAnsi="Arial" w:cs="Arial"/>
        </w:rPr>
        <w:t>The wastewater contracts</w:t>
      </w:r>
      <w:r>
        <w:rPr>
          <w:rFonts w:ascii="Arial" w:hAnsi="Arial" w:cs="Arial"/>
        </w:rPr>
        <w:t xml:space="preserve"> with participating cities and sewer districts</w:t>
      </w:r>
      <w:r w:rsidRPr="00AC709F">
        <w:rPr>
          <w:rFonts w:ascii="Arial" w:hAnsi="Arial" w:cs="Arial"/>
        </w:rPr>
        <w:t xml:space="preserve"> specify that the sewer rate be </w:t>
      </w:r>
      <w:r>
        <w:rPr>
          <w:rFonts w:ascii="Arial" w:hAnsi="Arial" w:cs="Arial"/>
        </w:rPr>
        <w:t xml:space="preserve">effective </w:t>
      </w:r>
      <w:r w:rsidRPr="00AC709F">
        <w:rPr>
          <w:rFonts w:ascii="Arial" w:hAnsi="Arial" w:cs="Arial"/>
        </w:rPr>
        <w:t xml:space="preserve">by </w:t>
      </w:r>
      <w:r>
        <w:rPr>
          <w:rFonts w:ascii="Arial" w:hAnsi="Arial" w:cs="Arial"/>
        </w:rPr>
        <w:t>July 1 of each year.  As such, t</w:t>
      </w:r>
      <w:r w:rsidR="00C31647">
        <w:rPr>
          <w:rFonts w:ascii="Arial" w:hAnsi="Arial" w:cs="Arial"/>
        </w:rPr>
        <w:t>he last regular meeting of the F</w:t>
      </w:r>
      <w:r>
        <w:rPr>
          <w:rFonts w:ascii="Arial" w:hAnsi="Arial" w:cs="Arial"/>
        </w:rPr>
        <w:t xml:space="preserve">ull Council, with </w:t>
      </w:r>
      <w:r w:rsidR="00AF12B3">
        <w:rPr>
          <w:rFonts w:ascii="Arial" w:hAnsi="Arial" w:cs="Arial"/>
        </w:rPr>
        <w:t>minimum</w:t>
      </w:r>
      <w:r>
        <w:rPr>
          <w:rFonts w:ascii="Arial" w:hAnsi="Arial" w:cs="Arial"/>
        </w:rPr>
        <w:t xml:space="preserve"> processing, that would allow the county to take action and meet the contract requirement would be the meeting on June 19, 2017.</w:t>
      </w:r>
      <w:r w:rsidR="00AF12B3">
        <w:rPr>
          <w:rFonts w:ascii="Arial" w:hAnsi="Arial" w:cs="Arial"/>
        </w:rPr>
        <w:t xml:space="preserve"> With maximum processing time, the Council will have to take action on June 5, 2017.</w:t>
      </w:r>
    </w:p>
    <w:p w:rsidR="00C31647" w:rsidRPr="00AC709F" w:rsidRDefault="00C31647" w:rsidP="00C31647">
      <w:pPr>
        <w:ind w:right="-540"/>
        <w:jc w:val="both"/>
        <w:rPr>
          <w:rFonts w:ascii="Arial" w:hAnsi="Arial" w:cs="Arial"/>
        </w:rPr>
      </w:pPr>
    </w:p>
    <w:p w:rsidR="00140E63" w:rsidRDefault="00C31647" w:rsidP="00140E63">
      <w:pPr>
        <w:spacing w:before="160"/>
        <w:jc w:val="both"/>
        <w:rPr>
          <w:rFonts w:ascii="Arial" w:hAnsi="Arial" w:cs="Arial"/>
        </w:rPr>
      </w:pPr>
      <w:r>
        <w:rPr>
          <w:rFonts w:ascii="Arial" w:hAnsi="Arial" w:cs="Arial"/>
          <w:b/>
          <w:u w:val="single"/>
        </w:rPr>
        <w:t>ATTACHMENTS</w:t>
      </w:r>
    </w:p>
    <w:p w:rsidR="00140E63" w:rsidRPr="0092537F" w:rsidRDefault="00140E63" w:rsidP="00140E63">
      <w:pPr>
        <w:jc w:val="both"/>
        <w:rPr>
          <w:rFonts w:ascii="Arial" w:hAnsi="Arial" w:cs="Arial"/>
          <w:b/>
          <w:u w:val="single"/>
        </w:rPr>
      </w:pPr>
    </w:p>
    <w:p w:rsidR="00140E63" w:rsidRPr="00E41AA0" w:rsidRDefault="00140E63" w:rsidP="00140E63">
      <w:pPr>
        <w:numPr>
          <w:ilvl w:val="0"/>
          <w:numId w:val="1"/>
        </w:numPr>
        <w:jc w:val="both"/>
        <w:rPr>
          <w:rFonts w:ascii="Arial" w:hAnsi="Arial" w:cs="Arial"/>
          <w:b/>
          <w:u w:val="single"/>
        </w:rPr>
      </w:pPr>
      <w:r>
        <w:rPr>
          <w:rFonts w:ascii="Arial" w:hAnsi="Arial" w:cs="Arial"/>
        </w:rPr>
        <w:t>Proposed Ordinance 2017-0188, and its attachment</w:t>
      </w:r>
    </w:p>
    <w:p w:rsidR="00140E63" w:rsidRPr="00AC709F" w:rsidRDefault="00140E63" w:rsidP="00140E63">
      <w:pPr>
        <w:numPr>
          <w:ilvl w:val="0"/>
          <w:numId w:val="1"/>
        </w:numPr>
        <w:jc w:val="both"/>
        <w:rPr>
          <w:rFonts w:ascii="Arial" w:hAnsi="Arial" w:cs="Arial"/>
          <w:b/>
          <w:u w:val="single"/>
        </w:rPr>
      </w:pPr>
      <w:r w:rsidRPr="00AC709F">
        <w:rPr>
          <w:rFonts w:ascii="Arial" w:hAnsi="Arial" w:cs="Arial"/>
        </w:rPr>
        <w:t>Executive’s Transmittal Letter</w:t>
      </w:r>
    </w:p>
    <w:p w:rsidR="00140E63" w:rsidRPr="0092537F" w:rsidRDefault="00140E63" w:rsidP="00140E63">
      <w:pPr>
        <w:numPr>
          <w:ilvl w:val="0"/>
          <w:numId w:val="1"/>
        </w:numPr>
        <w:jc w:val="both"/>
        <w:rPr>
          <w:rFonts w:ascii="Arial" w:hAnsi="Arial" w:cs="Arial"/>
          <w:b/>
          <w:u w:val="single"/>
        </w:rPr>
      </w:pPr>
      <w:r w:rsidRPr="00AC709F">
        <w:rPr>
          <w:rFonts w:ascii="Arial" w:hAnsi="Arial" w:cs="Arial"/>
        </w:rPr>
        <w:t>King County Executive 201</w:t>
      </w:r>
      <w:r>
        <w:rPr>
          <w:rFonts w:ascii="Arial" w:hAnsi="Arial" w:cs="Arial"/>
        </w:rPr>
        <w:t>8</w:t>
      </w:r>
      <w:r w:rsidRPr="00AC709F">
        <w:rPr>
          <w:rFonts w:ascii="Arial" w:hAnsi="Arial" w:cs="Arial"/>
        </w:rPr>
        <w:t xml:space="preserve"> Monthly Sewer Rate and Capacity Charge Proposal, dated </w:t>
      </w:r>
      <w:r>
        <w:rPr>
          <w:rFonts w:ascii="Arial" w:hAnsi="Arial" w:cs="Arial"/>
        </w:rPr>
        <w:t>April 27</w:t>
      </w:r>
      <w:r w:rsidRPr="00AC709F">
        <w:rPr>
          <w:rFonts w:ascii="Arial" w:hAnsi="Arial" w:cs="Arial"/>
        </w:rPr>
        <w:t>, 201</w:t>
      </w:r>
      <w:r>
        <w:rPr>
          <w:rFonts w:ascii="Arial" w:hAnsi="Arial" w:cs="Arial"/>
        </w:rPr>
        <w:t>7</w:t>
      </w:r>
    </w:p>
    <w:p w:rsidR="00140E63" w:rsidRPr="0057565D" w:rsidRDefault="00140E63" w:rsidP="00140E63">
      <w:pPr>
        <w:numPr>
          <w:ilvl w:val="0"/>
          <w:numId w:val="1"/>
        </w:numPr>
        <w:jc w:val="both"/>
        <w:rPr>
          <w:rFonts w:ascii="Arial" w:hAnsi="Arial" w:cs="Arial"/>
          <w:b/>
          <w:u w:val="single"/>
        </w:rPr>
      </w:pPr>
      <w:r>
        <w:rPr>
          <w:rFonts w:ascii="Arial" w:hAnsi="Arial" w:cs="Arial"/>
        </w:rPr>
        <w:t>MWPAAC Letter to Council Chair, dated April 26, 2017</w:t>
      </w:r>
    </w:p>
    <w:p w:rsidR="00140E63" w:rsidRDefault="00140E63" w:rsidP="00140E63">
      <w:pPr>
        <w:jc w:val="both"/>
      </w:pPr>
    </w:p>
    <w:p w:rsidR="00140E63" w:rsidRDefault="00140E63" w:rsidP="00140E63">
      <w:pPr>
        <w:spacing w:before="160"/>
        <w:jc w:val="both"/>
        <w:rPr>
          <w:rFonts w:ascii="Arial" w:hAnsi="Arial" w:cs="Arial"/>
          <w:b/>
          <w:u w:val="single"/>
        </w:rPr>
      </w:pPr>
      <w:r>
        <w:rPr>
          <w:rFonts w:ascii="Arial" w:hAnsi="Arial" w:cs="Arial"/>
          <w:b/>
          <w:u w:val="single"/>
        </w:rPr>
        <w:t>INVITED</w:t>
      </w:r>
    </w:p>
    <w:p w:rsidR="00140E63" w:rsidRDefault="00140E63" w:rsidP="00140E63">
      <w:pPr>
        <w:jc w:val="both"/>
        <w:rPr>
          <w:rFonts w:ascii="Arial" w:hAnsi="Arial" w:cs="Arial"/>
          <w:b/>
          <w:u w:val="single"/>
        </w:rPr>
      </w:pPr>
    </w:p>
    <w:p w:rsidR="00140E63" w:rsidRPr="0057565D" w:rsidRDefault="00140E63" w:rsidP="00140E63">
      <w:pPr>
        <w:pStyle w:val="ListParagraph"/>
        <w:numPr>
          <w:ilvl w:val="0"/>
          <w:numId w:val="3"/>
        </w:numPr>
        <w:spacing w:line="240" w:lineRule="auto"/>
        <w:contextualSpacing/>
        <w:jc w:val="both"/>
        <w:rPr>
          <w:rFonts w:ascii="Arial" w:hAnsi="Arial" w:cs="Arial"/>
        </w:rPr>
      </w:pPr>
      <w:r w:rsidRPr="00D65E1A">
        <w:rPr>
          <w:rFonts w:ascii="Arial" w:hAnsi="Arial" w:cs="Arial"/>
        </w:rPr>
        <w:t xml:space="preserve">Tim Aratani, Manager, Finance and Administrative Services, Wastewater Treatment Division, </w:t>
      </w:r>
      <w:r w:rsidR="00C31647">
        <w:rPr>
          <w:rFonts w:ascii="Arial" w:hAnsi="Arial" w:cs="Arial"/>
        </w:rPr>
        <w:t>Department of Natural Resources and Parks</w:t>
      </w:r>
    </w:p>
    <w:p w:rsidR="00473FDE" w:rsidRPr="00C31647" w:rsidRDefault="00140E63" w:rsidP="00C31647">
      <w:pPr>
        <w:pStyle w:val="ListParagraph"/>
        <w:numPr>
          <w:ilvl w:val="0"/>
          <w:numId w:val="3"/>
        </w:numPr>
        <w:spacing w:line="240" w:lineRule="auto"/>
        <w:contextualSpacing/>
        <w:jc w:val="both"/>
        <w:rPr>
          <w:rFonts w:ascii="Arial" w:hAnsi="Arial" w:cs="Arial"/>
        </w:rPr>
      </w:pPr>
      <w:r w:rsidRPr="00D65E1A">
        <w:rPr>
          <w:rFonts w:ascii="Arial" w:hAnsi="Arial" w:cs="Arial"/>
        </w:rPr>
        <w:t>Tom Lienesch, Economist, Was</w:t>
      </w:r>
      <w:r w:rsidR="00C31647">
        <w:rPr>
          <w:rFonts w:ascii="Arial" w:hAnsi="Arial" w:cs="Arial"/>
        </w:rPr>
        <w:t>tewater Treatment Division, Department of Natural Resources and Parks</w:t>
      </w:r>
    </w:p>
    <w:sectPr w:rsidR="00473FDE" w:rsidRPr="00C31647" w:rsidSect="007A2A16">
      <w:footerReference w:type="default" r:id="rId10"/>
      <w:headerReference w:type="first" r:id="rId11"/>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16" w:rsidRDefault="007A2A16" w:rsidP="00140E63">
      <w:r>
        <w:separator/>
      </w:r>
    </w:p>
  </w:endnote>
  <w:endnote w:type="continuationSeparator" w:id="0">
    <w:p w:rsidR="007A2A16" w:rsidRDefault="007A2A16" w:rsidP="0014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00095"/>
      <w:docPartObj>
        <w:docPartGallery w:val="Page Numbers (Bottom of Page)"/>
        <w:docPartUnique/>
      </w:docPartObj>
    </w:sdtPr>
    <w:sdtEndPr>
      <w:rPr>
        <w:noProof/>
      </w:rPr>
    </w:sdtEndPr>
    <w:sdtContent>
      <w:p w:rsidR="007A2A16" w:rsidRDefault="007A2A16">
        <w:pPr>
          <w:pStyle w:val="Footer"/>
          <w:jc w:val="center"/>
        </w:pPr>
        <w:r>
          <w:fldChar w:fldCharType="begin"/>
        </w:r>
        <w:r>
          <w:instrText xml:space="preserve"> PAGE   \* MERGEFORMAT </w:instrText>
        </w:r>
        <w:r>
          <w:fldChar w:fldCharType="separate"/>
        </w:r>
        <w:r w:rsidR="009717E7">
          <w:rPr>
            <w:noProof/>
          </w:rPr>
          <w:t>12</w:t>
        </w:r>
        <w:r>
          <w:rPr>
            <w:noProof/>
          </w:rPr>
          <w:fldChar w:fldCharType="end"/>
        </w:r>
      </w:p>
    </w:sdtContent>
  </w:sdt>
  <w:p w:rsidR="007A2A16" w:rsidRDefault="007A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16" w:rsidRDefault="007A2A16" w:rsidP="00140E63">
      <w:r>
        <w:separator/>
      </w:r>
    </w:p>
  </w:footnote>
  <w:footnote w:type="continuationSeparator" w:id="0">
    <w:p w:rsidR="007A2A16" w:rsidRDefault="007A2A16" w:rsidP="00140E63">
      <w:r>
        <w:continuationSeparator/>
      </w:r>
    </w:p>
  </w:footnote>
  <w:footnote w:id="1">
    <w:p w:rsidR="007A2A16" w:rsidRPr="0044399B" w:rsidRDefault="007A2A16" w:rsidP="00140E63">
      <w:pPr>
        <w:tabs>
          <w:tab w:val="left" w:pos="720"/>
          <w:tab w:val="decimal" w:pos="7200"/>
        </w:tabs>
        <w:jc w:val="both"/>
        <w:rPr>
          <w:rFonts w:ascii="Arial" w:hAnsi="Arial" w:cs="Arial"/>
        </w:rPr>
      </w:pPr>
      <w:r>
        <w:rPr>
          <w:rStyle w:val="FootnoteReference"/>
        </w:rPr>
        <w:footnoteRef/>
      </w:r>
      <w:r>
        <w:rPr>
          <w:rFonts w:ascii="Arial" w:hAnsi="Arial" w:cs="Arial"/>
          <w:sz w:val="20"/>
        </w:rPr>
        <w:t xml:space="preserve"> </w:t>
      </w:r>
      <w:r w:rsidRPr="0044399B">
        <w:rPr>
          <w:rFonts w:ascii="Arial" w:hAnsi="Arial" w:cs="Arial"/>
          <w:sz w:val="20"/>
        </w:rPr>
        <w:t>The County has a contractual relationship with cities and utility districts to collect wastewater from them and convey it to County treatment plants</w:t>
      </w:r>
      <w:r>
        <w:rPr>
          <w:rFonts w:ascii="Arial" w:hAnsi="Arial" w:cs="Arial"/>
          <w:sz w:val="20"/>
        </w:rPr>
        <w:t xml:space="preserve"> for treatment and discharge.  </w:t>
      </w:r>
      <w:r w:rsidRPr="0044399B">
        <w:rPr>
          <w:rFonts w:ascii="Arial" w:hAnsi="Arial" w:cs="Arial"/>
          <w:sz w:val="20"/>
        </w:rPr>
        <w:t xml:space="preserve">The component agencies that provide direct services to the ratepayers and use the County conveyance and treatment facilities are charged for the customers within their districts.  The utility providers, as direct service providers, set their own rates to recoup the payments required by use of County services plus their own “local” cost of service.  </w:t>
      </w:r>
    </w:p>
  </w:footnote>
  <w:footnote w:id="2">
    <w:p w:rsidR="007A2A16" w:rsidRPr="005B19E7" w:rsidRDefault="007A2A16" w:rsidP="00140E63">
      <w:pPr>
        <w:jc w:val="both"/>
        <w:rPr>
          <w:rFonts w:ascii="Arial" w:hAnsi="Arial" w:cs="Arial"/>
          <w:sz w:val="20"/>
        </w:rPr>
      </w:pPr>
      <w:r>
        <w:rPr>
          <w:rStyle w:val="FootnoteReference"/>
        </w:rPr>
        <w:footnoteRef/>
      </w:r>
      <w:r>
        <w:t xml:space="preserve"> </w:t>
      </w:r>
      <w:r w:rsidRPr="005B19E7">
        <w:rPr>
          <w:rFonts w:ascii="Arial" w:hAnsi="Arial" w:cs="Arial"/>
          <w:sz w:val="20"/>
        </w:rPr>
        <w:t xml:space="preserve">A single family residence is one RCE.  Commercial and industrial customers are charged based on the amount of wastewater they generate, calculated using the quantity of water consumed.  For commercial and multi-family residences, the calculation is then converted into RCEs.  One RCE (750 cubic feet of wastewater) represents the average amount of wastewater a single family residence would generate in a month.  </w:t>
      </w:r>
    </w:p>
    <w:p w:rsidR="007A2A16" w:rsidRDefault="007A2A16" w:rsidP="00140E63">
      <w:pPr>
        <w:pStyle w:val="FootnoteText"/>
      </w:pPr>
    </w:p>
  </w:footnote>
  <w:footnote w:id="3">
    <w:p w:rsidR="007A2A16" w:rsidRPr="005B19E7" w:rsidRDefault="007A2A16" w:rsidP="00140E63">
      <w:pPr>
        <w:pStyle w:val="BodyTextIndent2"/>
        <w:spacing w:line="240" w:lineRule="auto"/>
        <w:ind w:left="0"/>
        <w:rPr>
          <w:rFonts w:ascii="Arial" w:hAnsi="Arial" w:cs="Arial"/>
          <w:sz w:val="20"/>
        </w:rPr>
      </w:pPr>
      <w:r>
        <w:rPr>
          <w:rStyle w:val="FootnoteReference"/>
        </w:rPr>
        <w:footnoteRef/>
      </w:r>
      <w:r>
        <w:t xml:space="preserve"> </w:t>
      </w:r>
      <w:r w:rsidRPr="005B19E7">
        <w:rPr>
          <w:rFonts w:ascii="Arial" w:hAnsi="Arial" w:cs="Arial"/>
          <w:sz w:val="20"/>
        </w:rPr>
        <w:t>K.C.C. 28.86.160 (FP-15) sets the charge via the following calculation:</w:t>
      </w:r>
    </w:p>
    <w:p w:rsidR="007A2A16" w:rsidRPr="00AC709F" w:rsidRDefault="007A2A16" w:rsidP="00140E63">
      <w:pPr>
        <w:pStyle w:val="BodyText"/>
        <w:ind w:right="31"/>
        <w:jc w:val="center"/>
        <w:rPr>
          <w:rFonts w:ascii="Arial" w:hAnsi="Arial" w:cs="Arial"/>
          <w:sz w:val="16"/>
          <w:szCs w:val="16"/>
          <w:u w:val="single"/>
        </w:rPr>
      </w:pPr>
      <w:r>
        <w:rPr>
          <w:rFonts w:ascii="Arial" w:hAnsi="Arial" w:cs="Arial"/>
          <w:sz w:val="16"/>
          <w:szCs w:val="16"/>
        </w:rPr>
        <w:t>C</w:t>
      </w:r>
      <w:r w:rsidRPr="00AC709F">
        <w:rPr>
          <w:rFonts w:ascii="Arial" w:hAnsi="Arial" w:cs="Arial"/>
          <w:sz w:val="16"/>
          <w:szCs w:val="16"/>
        </w:rPr>
        <w:t>apacity charge = (</w:t>
      </w:r>
      <w:r w:rsidRPr="00AC709F">
        <w:rPr>
          <w:rFonts w:ascii="Arial" w:hAnsi="Arial" w:cs="Arial"/>
          <w:sz w:val="16"/>
          <w:szCs w:val="16"/>
          <w:u w:val="single"/>
        </w:rPr>
        <w:t>total system costs – rate revenue from existing customers) – rate revenue from new customers</w:t>
      </w:r>
    </w:p>
    <w:p w:rsidR="007A2A16" w:rsidRPr="00BD4758" w:rsidRDefault="007A2A16" w:rsidP="00140E63">
      <w:pPr>
        <w:jc w:val="center"/>
        <w:rPr>
          <w:rFonts w:ascii="Arial" w:hAnsi="Arial" w:cs="Arial"/>
          <w:i/>
          <w:sz w:val="16"/>
          <w:szCs w:val="16"/>
        </w:rPr>
      </w:pPr>
      <w:r w:rsidRPr="00BD4758">
        <w:rPr>
          <w:rFonts w:ascii="Arial" w:hAnsi="Arial" w:cs="Arial"/>
          <w:i/>
          <w:sz w:val="16"/>
          <w:szCs w:val="16"/>
        </w:rPr>
        <w:t>number of new customers</w:t>
      </w:r>
    </w:p>
    <w:p w:rsidR="007A2A16" w:rsidRDefault="007A2A16" w:rsidP="00140E63">
      <w:pPr>
        <w:pStyle w:val="FootnoteText"/>
      </w:pPr>
    </w:p>
  </w:footnote>
  <w:footnote w:id="4">
    <w:p w:rsidR="007A2A16" w:rsidRDefault="007A2A16" w:rsidP="00140E63">
      <w:pPr>
        <w:pStyle w:val="FootnoteText"/>
      </w:pPr>
      <w:r>
        <w:rPr>
          <w:rStyle w:val="FootnoteReference"/>
        </w:rPr>
        <w:footnoteRef/>
      </w:r>
      <w:r>
        <w:t xml:space="preserve"> </w:t>
      </w:r>
      <w:r>
        <w:rPr>
          <w:rFonts w:ascii="Arial" w:hAnsi="Arial" w:cs="Arial"/>
          <w:szCs w:val="24"/>
        </w:rPr>
        <w:t>T</w:t>
      </w:r>
      <w:r w:rsidRPr="00AC709F">
        <w:rPr>
          <w:rFonts w:ascii="Arial" w:hAnsi="Arial" w:cs="Arial"/>
          <w:szCs w:val="24"/>
        </w:rPr>
        <w:t xml:space="preserve">he </w:t>
      </w:r>
      <w:r>
        <w:rPr>
          <w:rFonts w:ascii="Arial" w:hAnsi="Arial" w:cs="Arial"/>
          <w:szCs w:val="24"/>
        </w:rPr>
        <w:t xml:space="preserve">RWSP financial policies, established in county code, require </w:t>
      </w:r>
      <w:r w:rsidRPr="00AC709F">
        <w:rPr>
          <w:rFonts w:ascii="Arial" w:hAnsi="Arial" w:cs="Arial"/>
          <w:szCs w:val="24"/>
        </w:rPr>
        <w:t>the capacity charge to be a uniform charge, approved annually, and the charge is not to exceed the cost of capital facilities necessary to serve customers establishing new connec</w:t>
      </w:r>
      <w:r>
        <w:rPr>
          <w:rFonts w:ascii="Arial" w:hAnsi="Arial" w:cs="Arial"/>
          <w:szCs w:val="24"/>
        </w:rPr>
        <w:t>tions to the sewer system</w:t>
      </w:r>
      <w:r w:rsidRPr="00AC709F">
        <w:rPr>
          <w:rFonts w:ascii="Arial" w:hAnsi="Arial" w:cs="Arial"/>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16" w:rsidRDefault="007A2A16" w:rsidP="007A2A16">
    <w:pPr>
      <w:jc w:val="center"/>
    </w:pPr>
    <w:r>
      <w:rPr>
        <w:noProof/>
        <w:lang w:eastAsia="ko-KR"/>
      </w:rPr>
      <w:drawing>
        <wp:inline distT="0" distB="0" distL="0" distR="0" wp14:anchorId="6C61E556" wp14:editId="02A7F95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7A2A16" w:rsidRPr="003B03EF" w:rsidRDefault="007A2A16" w:rsidP="007A2A16">
    <w:pPr>
      <w:jc w:val="center"/>
      <w:rPr>
        <w:rFonts w:ascii="Arial" w:hAnsi="Arial"/>
        <w:szCs w:val="22"/>
      </w:rPr>
    </w:pPr>
  </w:p>
  <w:p w:rsidR="007A2A16" w:rsidRDefault="007A2A16" w:rsidP="007A2A16">
    <w:pPr>
      <w:jc w:val="center"/>
      <w:rPr>
        <w:rFonts w:ascii="Verdana" w:hAnsi="Verdana"/>
        <w:b/>
        <w:sz w:val="28"/>
        <w:szCs w:val="28"/>
      </w:rPr>
    </w:pPr>
    <w:r>
      <w:rPr>
        <w:rFonts w:ascii="Verdana" w:hAnsi="Verdana"/>
        <w:b/>
        <w:sz w:val="28"/>
        <w:szCs w:val="28"/>
      </w:rPr>
      <w:t>Metropolitan King County Council</w:t>
    </w:r>
  </w:p>
  <w:p w:rsidR="007A2A16" w:rsidRPr="004A1D48" w:rsidRDefault="007A2A16" w:rsidP="007A2A16">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284F"/>
    <w:multiLevelType w:val="hybridMultilevel"/>
    <w:tmpl w:val="73C6D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775A9"/>
    <w:multiLevelType w:val="hybridMultilevel"/>
    <w:tmpl w:val="699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4F63"/>
    <w:multiLevelType w:val="hybridMultilevel"/>
    <w:tmpl w:val="7C1800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69418DA"/>
    <w:multiLevelType w:val="hybridMultilevel"/>
    <w:tmpl w:val="14A69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71EA3"/>
    <w:multiLevelType w:val="hybridMultilevel"/>
    <w:tmpl w:val="F588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B0D05"/>
    <w:multiLevelType w:val="hybridMultilevel"/>
    <w:tmpl w:val="4CBC1BB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727823C8"/>
    <w:multiLevelType w:val="hybridMultilevel"/>
    <w:tmpl w:val="36CA381C"/>
    <w:lvl w:ilvl="0" w:tplc="6C22DD8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63"/>
    <w:rsid w:val="00085595"/>
    <w:rsid w:val="00140E63"/>
    <w:rsid w:val="00473FDE"/>
    <w:rsid w:val="007A2A16"/>
    <w:rsid w:val="00815709"/>
    <w:rsid w:val="009717E7"/>
    <w:rsid w:val="009A298D"/>
    <w:rsid w:val="00A52DE5"/>
    <w:rsid w:val="00AF12B3"/>
    <w:rsid w:val="00B90074"/>
    <w:rsid w:val="00C31647"/>
    <w:rsid w:val="00C57D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5D450-2069-4CDB-AA97-3AA1B9C3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6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40E6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0E63"/>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140E63"/>
    <w:pPr>
      <w:tabs>
        <w:tab w:val="center" w:pos="4320"/>
        <w:tab w:val="right" w:pos="8640"/>
      </w:tabs>
    </w:pPr>
  </w:style>
  <w:style w:type="character" w:customStyle="1" w:styleId="FooterChar">
    <w:name w:val="Footer Char"/>
    <w:basedOn w:val="DefaultParagraphFont"/>
    <w:link w:val="Footer"/>
    <w:uiPriority w:val="99"/>
    <w:rsid w:val="00140E63"/>
    <w:rPr>
      <w:rFonts w:ascii="Times New Roman" w:eastAsia="Times New Roman" w:hAnsi="Times New Roman" w:cs="Times New Roman"/>
      <w:sz w:val="24"/>
      <w:szCs w:val="20"/>
    </w:rPr>
  </w:style>
  <w:style w:type="paragraph" w:styleId="BodyText">
    <w:name w:val="Body Text"/>
    <w:basedOn w:val="Normal"/>
    <w:link w:val="BodyTextChar"/>
    <w:rsid w:val="00140E63"/>
    <w:rPr>
      <w:i/>
    </w:rPr>
  </w:style>
  <w:style w:type="character" w:customStyle="1" w:styleId="BodyTextChar">
    <w:name w:val="Body Text Char"/>
    <w:basedOn w:val="DefaultParagraphFont"/>
    <w:link w:val="BodyText"/>
    <w:rsid w:val="00140E63"/>
    <w:rPr>
      <w:rFonts w:ascii="Times New Roman" w:eastAsia="Times New Roman" w:hAnsi="Times New Roman" w:cs="Times New Roman"/>
      <w:i/>
      <w:sz w:val="24"/>
      <w:szCs w:val="20"/>
    </w:rPr>
  </w:style>
  <w:style w:type="paragraph" w:styleId="FootnoteText">
    <w:name w:val="footnote text"/>
    <w:basedOn w:val="Normal"/>
    <w:link w:val="FootnoteTextChar"/>
    <w:uiPriority w:val="99"/>
    <w:semiHidden/>
    <w:rsid w:val="00140E63"/>
    <w:rPr>
      <w:sz w:val="20"/>
    </w:rPr>
  </w:style>
  <w:style w:type="character" w:customStyle="1" w:styleId="FootnoteTextChar">
    <w:name w:val="Footnote Text Char"/>
    <w:basedOn w:val="DefaultParagraphFont"/>
    <w:link w:val="FootnoteText"/>
    <w:uiPriority w:val="99"/>
    <w:semiHidden/>
    <w:rsid w:val="00140E63"/>
    <w:rPr>
      <w:rFonts w:ascii="Times New Roman" w:eastAsia="Times New Roman" w:hAnsi="Times New Roman" w:cs="Times New Roman"/>
      <w:sz w:val="20"/>
      <w:szCs w:val="20"/>
    </w:rPr>
  </w:style>
  <w:style w:type="character" w:styleId="FootnoteReference">
    <w:name w:val="footnote reference"/>
    <w:uiPriority w:val="99"/>
    <w:semiHidden/>
    <w:rsid w:val="00140E63"/>
    <w:rPr>
      <w:vertAlign w:val="superscript"/>
    </w:rPr>
  </w:style>
  <w:style w:type="table" w:styleId="TableGrid">
    <w:name w:val="Table Grid"/>
    <w:basedOn w:val="TableNormal"/>
    <w:uiPriority w:val="39"/>
    <w:rsid w:val="00140E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E63"/>
    <w:pPr>
      <w:spacing w:line="300" w:lineRule="exact"/>
      <w:ind w:left="720"/>
    </w:pPr>
    <w:rPr>
      <w:szCs w:val="24"/>
    </w:rPr>
  </w:style>
  <w:style w:type="paragraph" w:styleId="BodyTextIndent2">
    <w:name w:val="Body Text Indent 2"/>
    <w:basedOn w:val="Normal"/>
    <w:link w:val="BodyTextIndent2Char"/>
    <w:uiPriority w:val="99"/>
    <w:unhideWhenUsed/>
    <w:rsid w:val="00140E63"/>
    <w:pPr>
      <w:spacing w:after="120" w:line="480" w:lineRule="auto"/>
      <w:ind w:left="360"/>
    </w:pPr>
  </w:style>
  <w:style w:type="character" w:customStyle="1" w:styleId="BodyTextIndent2Char">
    <w:name w:val="Body Text Indent 2 Char"/>
    <w:basedOn w:val="DefaultParagraphFont"/>
    <w:link w:val="BodyTextIndent2"/>
    <w:uiPriority w:val="99"/>
    <w:rsid w:val="00140E63"/>
    <w:rPr>
      <w:rFonts w:ascii="Times New Roman" w:eastAsia="Times New Roman" w:hAnsi="Times New Roman" w:cs="Times New Roman"/>
      <w:sz w:val="24"/>
      <w:szCs w:val="20"/>
    </w:rPr>
  </w:style>
  <w:style w:type="paragraph" w:customStyle="1" w:styleId="Flush1CS1">
    <w:name w:val="Flush 1 &lt;CS 1&gt;"/>
    <w:basedOn w:val="Normal"/>
    <w:rsid w:val="00140E63"/>
  </w:style>
  <w:style w:type="paragraph" w:styleId="Caption">
    <w:name w:val="caption"/>
    <w:basedOn w:val="Normal"/>
    <w:next w:val="Normal"/>
    <w:autoRedefine/>
    <w:qFormat/>
    <w:rsid w:val="00140E63"/>
    <w:pPr>
      <w:keepNext/>
      <w:spacing w:before="120" w:after="120"/>
      <w:jc w:val="center"/>
    </w:pPr>
    <w:rPr>
      <w:b/>
      <w:bCs/>
      <w:color w:val="000000"/>
      <w:szCs w:val="24"/>
    </w:rPr>
  </w:style>
  <w:style w:type="paragraph" w:customStyle="1" w:styleId="Courier10">
    <w:name w:val="Courier 10"/>
    <w:basedOn w:val="Normal"/>
    <w:rsid w:val="00140E63"/>
    <w:rPr>
      <w:rFonts w:ascii="Courier New" w:hAnsi="Courier New"/>
    </w:rPr>
  </w:style>
  <w:style w:type="paragraph" w:styleId="NoSpacing">
    <w:name w:val="No Spacing"/>
    <w:uiPriority w:val="1"/>
    <w:qFormat/>
    <w:rsid w:val="00140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9</cp:revision>
  <dcterms:created xsi:type="dcterms:W3CDTF">2017-05-20T05:18:00Z</dcterms:created>
  <dcterms:modified xsi:type="dcterms:W3CDTF">2017-05-20T06:13:00Z</dcterms:modified>
</cp:coreProperties>
</file>