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1AC6C" w14:textId="77777777" w:rsidR="00EB5A13" w:rsidRPr="00A46A5D" w:rsidRDefault="00EB5A13" w:rsidP="00EB5A13">
      <w:pPr>
        <w:pStyle w:val="Heading2"/>
        <w:rPr>
          <w:b w:val="0"/>
          <w:sz w:val="24"/>
          <w:u w:val="none"/>
        </w:rPr>
      </w:pPr>
    </w:p>
    <w:p w14:paraId="5010994E"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7D618A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05120C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B7CBE4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B9C43B8" w14:textId="5A5AE1BE" w:rsidR="00EB5A13" w:rsidRPr="009349D6" w:rsidRDefault="00B22CE6"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14DEBDD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025AC55" w14:textId="067230CD" w:rsidR="00EB5A13" w:rsidRPr="009349D6" w:rsidRDefault="000825FD" w:rsidP="00074A56">
            <w:pPr>
              <w:spacing w:before="40" w:after="40"/>
              <w:rPr>
                <w:rFonts w:ascii="Arial" w:hAnsi="Arial" w:cs="Arial"/>
              </w:rPr>
            </w:pPr>
            <w:r>
              <w:rPr>
                <w:rFonts w:ascii="Arial" w:hAnsi="Arial" w:cs="Arial"/>
              </w:rPr>
              <w:t xml:space="preserve">Jenny Giambattista </w:t>
            </w:r>
          </w:p>
        </w:tc>
      </w:tr>
      <w:tr w:rsidR="00EB5A13" w:rsidRPr="009349D6" w14:paraId="0321F6C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364563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B4BDAC9" w14:textId="17F6B634" w:rsidR="00EB5A13" w:rsidRPr="009349D6" w:rsidRDefault="000825FD" w:rsidP="00074A56">
            <w:pPr>
              <w:spacing w:before="40" w:after="40"/>
              <w:rPr>
                <w:rFonts w:ascii="Arial" w:hAnsi="Arial" w:cs="Arial"/>
              </w:rPr>
            </w:pPr>
            <w:r>
              <w:rPr>
                <w:rFonts w:ascii="Arial" w:hAnsi="Arial" w:cs="Arial"/>
              </w:rPr>
              <w:t>2016-0464</w:t>
            </w:r>
          </w:p>
        </w:tc>
        <w:tc>
          <w:tcPr>
            <w:tcW w:w="1170" w:type="dxa"/>
            <w:tcBorders>
              <w:top w:val="single" w:sz="4" w:space="0" w:color="auto"/>
              <w:left w:val="single" w:sz="4" w:space="0" w:color="auto"/>
              <w:bottom w:val="single" w:sz="4" w:space="0" w:color="auto"/>
              <w:right w:val="single" w:sz="4" w:space="0" w:color="auto"/>
            </w:tcBorders>
            <w:vAlign w:val="center"/>
          </w:tcPr>
          <w:p w14:paraId="28154DB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452AF75" w14:textId="65C6D56D" w:rsidR="00EB5A13" w:rsidRPr="009349D6" w:rsidRDefault="000825FD" w:rsidP="00074A56">
            <w:pPr>
              <w:spacing w:before="40" w:after="40"/>
              <w:rPr>
                <w:rFonts w:ascii="Arial" w:hAnsi="Arial" w:cs="Arial"/>
              </w:rPr>
            </w:pPr>
            <w:r>
              <w:rPr>
                <w:rFonts w:ascii="Arial" w:hAnsi="Arial" w:cs="Arial"/>
              </w:rPr>
              <w:t>December 7, 2016</w:t>
            </w:r>
          </w:p>
        </w:tc>
      </w:tr>
    </w:tbl>
    <w:p w14:paraId="518202E4" w14:textId="77777777" w:rsidR="00C95318" w:rsidRDefault="00C95318" w:rsidP="005B478C">
      <w:pPr>
        <w:jc w:val="both"/>
        <w:rPr>
          <w:rFonts w:ascii="Arial" w:hAnsi="Arial" w:cs="Arial"/>
          <w:b/>
          <w:u w:val="single"/>
        </w:rPr>
      </w:pPr>
    </w:p>
    <w:p w14:paraId="03B5D12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712677D9" w14:textId="77777777" w:rsidR="00074A56" w:rsidRDefault="00074A56" w:rsidP="005B478C">
      <w:pPr>
        <w:jc w:val="both"/>
        <w:rPr>
          <w:rFonts w:ascii="Arial" w:hAnsi="Arial" w:cs="Arial"/>
        </w:rPr>
      </w:pPr>
    </w:p>
    <w:p w14:paraId="6BD0AB21" w14:textId="6B931FD2" w:rsidR="00AC731C" w:rsidRPr="00C75025" w:rsidRDefault="00AC731C" w:rsidP="00AC731C">
      <w:pPr>
        <w:jc w:val="both"/>
        <w:rPr>
          <w:rFonts w:ascii="Arial" w:hAnsi="Arial" w:cs="Arial"/>
          <w:b/>
          <w:u w:val="single"/>
        </w:rPr>
      </w:pPr>
      <w:r>
        <w:rPr>
          <w:rFonts w:ascii="Arial" w:hAnsi="Arial" w:cs="Arial"/>
        </w:rPr>
        <w:t xml:space="preserve">Proposed Ordinance 2016-0464 amends sections of the King County Code related to </w:t>
      </w:r>
      <w:r w:rsidR="00B22CE6">
        <w:rPr>
          <w:rFonts w:ascii="Arial" w:hAnsi="Arial" w:cs="Arial"/>
        </w:rPr>
        <w:t xml:space="preserve">the </w:t>
      </w:r>
      <w:r>
        <w:rPr>
          <w:rFonts w:ascii="Arial" w:hAnsi="Arial" w:cs="Arial"/>
        </w:rPr>
        <w:t>Department of Information Technology (KCIT)</w:t>
      </w:r>
      <w:r w:rsidRPr="00C75025">
        <w:rPr>
          <w:rFonts w:ascii="Arial" w:hAnsi="Arial" w:cs="Arial"/>
        </w:rPr>
        <w:t>.</w:t>
      </w:r>
    </w:p>
    <w:p w14:paraId="5F7B9185" w14:textId="77777777" w:rsidR="00C75025" w:rsidRDefault="00C75025" w:rsidP="005B478C">
      <w:pPr>
        <w:jc w:val="both"/>
        <w:rPr>
          <w:rFonts w:ascii="Arial" w:hAnsi="Arial" w:cs="Arial"/>
          <w:b/>
          <w:smallCaps/>
          <w:szCs w:val="24"/>
          <w:u w:val="single"/>
        </w:rPr>
      </w:pPr>
    </w:p>
    <w:p w14:paraId="228A7B14"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5A066FD" w14:textId="77777777" w:rsidR="00074A56" w:rsidRDefault="00074A56" w:rsidP="005B478C">
      <w:pPr>
        <w:jc w:val="both"/>
        <w:rPr>
          <w:rFonts w:ascii="Arial" w:hAnsi="Arial" w:cs="Arial"/>
        </w:rPr>
      </w:pPr>
    </w:p>
    <w:p w14:paraId="659BBEA4" w14:textId="43D8830C" w:rsidR="00AC731C" w:rsidRDefault="00AC731C" w:rsidP="00AC731C">
      <w:pPr>
        <w:jc w:val="both"/>
        <w:rPr>
          <w:rFonts w:ascii="Arial" w:hAnsi="Arial" w:cs="Arial"/>
        </w:rPr>
      </w:pPr>
      <w:r>
        <w:rPr>
          <w:rFonts w:ascii="Arial" w:hAnsi="Arial" w:cs="Arial"/>
        </w:rPr>
        <w:t>Proposed Ordinance 2016-0464 amends sections of the King County Code related to information</w:t>
      </w:r>
      <w:r w:rsidR="00B22CE6">
        <w:rPr>
          <w:rFonts w:ascii="Arial" w:hAnsi="Arial" w:cs="Arial"/>
        </w:rPr>
        <w:t xml:space="preserve"> technology</w:t>
      </w:r>
      <w:r>
        <w:rPr>
          <w:rFonts w:ascii="Arial" w:hAnsi="Arial" w:cs="Arial"/>
        </w:rPr>
        <w:t xml:space="preserve"> and recodifies them into a new chapter Title 2A. Many of the changes reflect the new organizational structure of King County’s Department of Information Technology</w:t>
      </w:r>
      <w:r w:rsidR="00B22CE6">
        <w:rPr>
          <w:rFonts w:ascii="Arial" w:hAnsi="Arial" w:cs="Arial"/>
        </w:rPr>
        <w:t xml:space="preserve"> (KCIT)</w:t>
      </w:r>
      <w:r>
        <w:rPr>
          <w:rFonts w:ascii="Arial" w:hAnsi="Arial" w:cs="Arial"/>
        </w:rPr>
        <w:t>. In addition, there are minor changes proposed related to g</w:t>
      </w:r>
      <w:r w:rsidR="002202CA">
        <w:rPr>
          <w:rFonts w:ascii="Arial" w:hAnsi="Arial" w:cs="Arial"/>
        </w:rPr>
        <w:t>overnance bodies for technology.</w:t>
      </w:r>
    </w:p>
    <w:p w14:paraId="41E1860F" w14:textId="77777777" w:rsidR="002202CA" w:rsidRDefault="002202CA" w:rsidP="00AC731C">
      <w:pPr>
        <w:jc w:val="both"/>
        <w:rPr>
          <w:rFonts w:ascii="Arial" w:hAnsi="Arial" w:cs="Arial"/>
        </w:rPr>
      </w:pPr>
    </w:p>
    <w:p w14:paraId="624CE7EA" w14:textId="30CDC1D7" w:rsidR="002202CA" w:rsidRDefault="002202CA" w:rsidP="00AC731C">
      <w:pPr>
        <w:jc w:val="both"/>
        <w:rPr>
          <w:rFonts w:ascii="Arial" w:hAnsi="Arial" w:cs="Arial"/>
        </w:rPr>
      </w:pPr>
      <w:r>
        <w:rPr>
          <w:rFonts w:ascii="Arial" w:hAnsi="Arial" w:cs="Arial"/>
        </w:rPr>
        <w:t>Executive and Council staff collaboratively developed a striking amendment to address drafting issues as well as to provide better clarity on the County’s project oversight process.</w:t>
      </w:r>
      <w:r w:rsidR="007730A2">
        <w:rPr>
          <w:rFonts w:ascii="Arial" w:hAnsi="Arial" w:cs="Arial"/>
        </w:rPr>
        <w:t xml:space="preserve"> </w:t>
      </w:r>
    </w:p>
    <w:p w14:paraId="22ED8567" w14:textId="77777777" w:rsidR="00C75025" w:rsidRDefault="00C75025" w:rsidP="005B478C">
      <w:pPr>
        <w:jc w:val="both"/>
        <w:rPr>
          <w:rFonts w:ascii="Arial" w:hAnsi="Arial" w:cs="Arial"/>
          <w:szCs w:val="24"/>
        </w:rPr>
      </w:pPr>
    </w:p>
    <w:p w14:paraId="0D238282"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65270A6" w14:textId="77777777" w:rsidR="00555CC3" w:rsidRDefault="00555CC3" w:rsidP="005B478C">
      <w:pPr>
        <w:jc w:val="both"/>
        <w:rPr>
          <w:rFonts w:ascii="Arial" w:hAnsi="Arial" w:cs="Arial"/>
        </w:rPr>
      </w:pPr>
    </w:p>
    <w:p w14:paraId="3D3F1DB5" w14:textId="5616CB1E" w:rsidR="000825FD" w:rsidRDefault="00B22CE6" w:rsidP="005B478C">
      <w:pPr>
        <w:jc w:val="both"/>
        <w:rPr>
          <w:rFonts w:ascii="Arial" w:hAnsi="Arial" w:cs="Arial"/>
        </w:rPr>
      </w:pPr>
      <w:r>
        <w:rPr>
          <w:rFonts w:ascii="Arial" w:hAnsi="Arial" w:cs="Arial"/>
        </w:rPr>
        <w:t xml:space="preserve">Council adopted </w:t>
      </w:r>
      <w:r w:rsidR="00555CC3">
        <w:rPr>
          <w:rFonts w:ascii="Arial" w:hAnsi="Arial" w:cs="Arial"/>
        </w:rPr>
        <w:t>Ordinance</w:t>
      </w:r>
      <w:r w:rsidR="002202CA">
        <w:rPr>
          <w:rFonts w:ascii="Arial" w:hAnsi="Arial" w:cs="Arial"/>
        </w:rPr>
        <w:t xml:space="preserve"> </w:t>
      </w:r>
      <w:r w:rsidR="00555CC3">
        <w:rPr>
          <w:rFonts w:ascii="Arial" w:hAnsi="Arial" w:cs="Arial"/>
        </w:rPr>
        <w:t>17142</w:t>
      </w:r>
      <w:r>
        <w:rPr>
          <w:rFonts w:ascii="Arial" w:hAnsi="Arial" w:cs="Arial"/>
        </w:rPr>
        <w:t xml:space="preserve"> in July 2011, which</w:t>
      </w:r>
      <w:r w:rsidR="00555CC3">
        <w:rPr>
          <w:rFonts w:ascii="Arial" w:hAnsi="Arial" w:cs="Arial"/>
        </w:rPr>
        <w:t xml:space="preserve"> consolidated the county’s information technology functions and responsibilities for information technology services in the executive branch into one department, the </w:t>
      </w:r>
      <w:r w:rsidR="00981B17">
        <w:rPr>
          <w:rFonts w:ascii="Arial" w:hAnsi="Arial" w:cs="Arial"/>
        </w:rPr>
        <w:t>D</w:t>
      </w:r>
      <w:r w:rsidR="00555CC3">
        <w:rPr>
          <w:rFonts w:ascii="Arial" w:hAnsi="Arial" w:cs="Arial"/>
        </w:rPr>
        <w:t xml:space="preserve">epartment of </w:t>
      </w:r>
      <w:r w:rsidR="00981B17">
        <w:rPr>
          <w:rFonts w:ascii="Arial" w:hAnsi="Arial" w:cs="Arial"/>
        </w:rPr>
        <w:t>I</w:t>
      </w:r>
      <w:r w:rsidR="00555CC3">
        <w:rPr>
          <w:rFonts w:ascii="Arial" w:hAnsi="Arial" w:cs="Arial"/>
        </w:rPr>
        <w:t>nformation technology</w:t>
      </w:r>
      <w:r w:rsidR="00F96203">
        <w:rPr>
          <w:rFonts w:ascii="Arial" w:hAnsi="Arial" w:cs="Arial"/>
        </w:rPr>
        <w:t xml:space="preserve"> </w:t>
      </w:r>
      <w:r w:rsidR="00981B17">
        <w:rPr>
          <w:rFonts w:ascii="Arial" w:hAnsi="Arial" w:cs="Arial"/>
        </w:rPr>
        <w:t>(</w:t>
      </w:r>
      <w:r w:rsidR="00F96203">
        <w:rPr>
          <w:rFonts w:ascii="Arial" w:hAnsi="Arial" w:cs="Arial"/>
        </w:rPr>
        <w:t>KCIT</w:t>
      </w:r>
      <w:r w:rsidR="00981B17">
        <w:rPr>
          <w:rFonts w:ascii="Arial" w:hAnsi="Arial" w:cs="Arial"/>
        </w:rPr>
        <w:t>)</w:t>
      </w:r>
      <w:r w:rsidR="00082009" w:rsidRPr="00C75025">
        <w:rPr>
          <w:rFonts w:ascii="Arial" w:hAnsi="Arial" w:cs="Arial"/>
        </w:rPr>
        <w:t>.</w:t>
      </w:r>
      <w:r w:rsidR="00555CC3">
        <w:rPr>
          <w:rFonts w:ascii="Arial" w:hAnsi="Arial" w:cs="Arial"/>
        </w:rPr>
        <w:t xml:space="preserve"> Since then, the department has more clearly defined roles and responsibilities for each division. </w:t>
      </w:r>
      <w:r w:rsidR="000825FD">
        <w:rPr>
          <w:rFonts w:ascii="Arial" w:hAnsi="Arial" w:cs="Arial"/>
        </w:rPr>
        <w:t>P</w:t>
      </w:r>
      <w:r>
        <w:rPr>
          <w:rFonts w:ascii="Arial" w:hAnsi="Arial" w:cs="Arial"/>
        </w:rPr>
        <w:t xml:space="preserve">roposed </w:t>
      </w:r>
      <w:r w:rsidR="000825FD">
        <w:rPr>
          <w:rFonts w:ascii="Arial" w:hAnsi="Arial" w:cs="Arial"/>
        </w:rPr>
        <w:t>O</w:t>
      </w:r>
      <w:r>
        <w:rPr>
          <w:rFonts w:ascii="Arial" w:hAnsi="Arial" w:cs="Arial"/>
        </w:rPr>
        <w:t>rdinance</w:t>
      </w:r>
      <w:r w:rsidR="000825FD">
        <w:rPr>
          <w:rFonts w:ascii="Arial" w:hAnsi="Arial" w:cs="Arial"/>
        </w:rPr>
        <w:t xml:space="preserve"> 2016-0464 is intended to update the code to reflect these changes.</w:t>
      </w:r>
    </w:p>
    <w:p w14:paraId="0F497E9E" w14:textId="77777777" w:rsidR="00555CC3" w:rsidRDefault="00555CC3" w:rsidP="005B478C">
      <w:pPr>
        <w:jc w:val="both"/>
        <w:rPr>
          <w:rFonts w:ascii="Arial" w:hAnsi="Arial" w:cs="Arial"/>
        </w:rPr>
      </w:pPr>
    </w:p>
    <w:p w14:paraId="118B1C9D"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0D562C4" w14:textId="77777777" w:rsidR="00074A56" w:rsidRDefault="00074A56" w:rsidP="005B478C">
      <w:pPr>
        <w:jc w:val="both"/>
        <w:rPr>
          <w:rFonts w:ascii="Arial" w:hAnsi="Arial" w:cs="Arial"/>
        </w:rPr>
      </w:pPr>
    </w:p>
    <w:p w14:paraId="353AC7BB" w14:textId="745F3D5F" w:rsidR="00881630" w:rsidRDefault="00222063" w:rsidP="005B478C">
      <w:pPr>
        <w:jc w:val="both"/>
        <w:rPr>
          <w:rFonts w:ascii="Arial" w:hAnsi="Arial" w:cs="Arial"/>
        </w:rPr>
      </w:pPr>
      <w:r>
        <w:rPr>
          <w:rFonts w:ascii="Arial" w:hAnsi="Arial" w:cs="Arial"/>
        </w:rPr>
        <w:t>Proposed Ordinance 2016-0464 makes the following significant changes</w:t>
      </w:r>
      <w:r w:rsidR="007D012E">
        <w:rPr>
          <w:rFonts w:ascii="Arial" w:hAnsi="Arial" w:cs="Arial"/>
        </w:rPr>
        <w:t xml:space="preserve"> to King County Code 2.16.0755 related to KCIT</w:t>
      </w:r>
      <w:r>
        <w:rPr>
          <w:rFonts w:ascii="Arial" w:hAnsi="Arial" w:cs="Arial"/>
        </w:rPr>
        <w:t>:</w:t>
      </w:r>
    </w:p>
    <w:p w14:paraId="2B0D1233" w14:textId="77777777" w:rsidR="00222063" w:rsidRDefault="00222063" w:rsidP="005B478C">
      <w:pPr>
        <w:jc w:val="both"/>
        <w:rPr>
          <w:rFonts w:ascii="Arial" w:hAnsi="Arial" w:cs="Arial"/>
        </w:rPr>
      </w:pPr>
    </w:p>
    <w:p w14:paraId="2F7FEA06" w14:textId="77777777" w:rsidR="00222063" w:rsidRDefault="00222063" w:rsidP="005B478C">
      <w:pPr>
        <w:jc w:val="both"/>
        <w:rPr>
          <w:rFonts w:ascii="Arial" w:hAnsi="Arial" w:cs="Arial"/>
          <w:u w:val="single"/>
        </w:rPr>
      </w:pPr>
      <w:r w:rsidRPr="00222063">
        <w:rPr>
          <w:rFonts w:ascii="Arial" w:hAnsi="Arial" w:cs="Arial"/>
          <w:u w:val="single"/>
        </w:rPr>
        <w:t>Creates a new organizational structure for KCIT</w:t>
      </w:r>
    </w:p>
    <w:p w14:paraId="5941A432" w14:textId="77777777" w:rsidR="00222063" w:rsidRDefault="00222063" w:rsidP="005B478C">
      <w:pPr>
        <w:jc w:val="both"/>
        <w:rPr>
          <w:rFonts w:ascii="Arial" w:hAnsi="Arial" w:cs="Arial"/>
          <w:u w:val="single"/>
        </w:rPr>
      </w:pPr>
    </w:p>
    <w:p w14:paraId="4644FEF6" w14:textId="77777777" w:rsidR="00222063" w:rsidRDefault="00222063" w:rsidP="005B478C">
      <w:pPr>
        <w:jc w:val="both"/>
        <w:rPr>
          <w:rFonts w:ascii="Arial" w:hAnsi="Arial" w:cs="Arial"/>
        </w:rPr>
      </w:pPr>
      <w:r>
        <w:rPr>
          <w:rFonts w:ascii="Arial" w:hAnsi="Arial" w:cs="Arial"/>
        </w:rPr>
        <w:t xml:space="preserve">Proposed Ordinance 2016-0464 amends K.C.C 2.16.0755 to create the Office of the Chief Information Officer, the Emergency Radio Systems division, and the Infrastructure </w:t>
      </w:r>
      <w:r>
        <w:rPr>
          <w:rFonts w:ascii="Arial" w:hAnsi="Arial" w:cs="Arial"/>
        </w:rPr>
        <w:lastRenderedPageBreak/>
        <w:t>and Operations division. The</w:t>
      </w:r>
      <w:r w:rsidR="009C213C">
        <w:rPr>
          <w:rFonts w:ascii="Arial" w:hAnsi="Arial" w:cs="Arial"/>
        </w:rPr>
        <w:t xml:space="preserve"> ordinance </w:t>
      </w:r>
      <w:r w:rsidR="0017414E">
        <w:rPr>
          <w:rFonts w:ascii="Arial" w:hAnsi="Arial" w:cs="Arial"/>
        </w:rPr>
        <w:t xml:space="preserve">describes the functions of each of the divisions and </w:t>
      </w:r>
      <w:r w:rsidR="009C213C">
        <w:rPr>
          <w:rFonts w:ascii="Arial" w:hAnsi="Arial" w:cs="Arial"/>
        </w:rPr>
        <w:t xml:space="preserve">deletes the existing organizational structure. </w:t>
      </w:r>
    </w:p>
    <w:p w14:paraId="5FF5F350" w14:textId="77777777" w:rsidR="009C213C" w:rsidRDefault="009C213C" w:rsidP="005B478C">
      <w:pPr>
        <w:jc w:val="both"/>
        <w:rPr>
          <w:rFonts w:ascii="Arial" w:hAnsi="Arial" w:cs="Arial"/>
        </w:rPr>
      </w:pPr>
    </w:p>
    <w:p w14:paraId="79843CFE" w14:textId="77777777" w:rsidR="00C55E62" w:rsidRDefault="00BA748C" w:rsidP="005B478C">
      <w:pPr>
        <w:jc w:val="both"/>
        <w:rPr>
          <w:rFonts w:ascii="Arial" w:hAnsi="Arial" w:cs="Arial"/>
        </w:rPr>
      </w:pPr>
      <w:r>
        <w:rPr>
          <w:rFonts w:ascii="Arial" w:hAnsi="Arial" w:cs="Arial"/>
        </w:rPr>
        <w:t>Proposed Ordinance 2016-0464 also changes the way in which the responsibilities of the Chief Information Officer are described. Current</w:t>
      </w:r>
      <w:r w:rsidR="00BB36B9">
        <w:rPr>
          <w:rFonts w:ascii="Arial" w:hAnsi="Arial" w:cs="Arial"/>
        </w:rPr>
        <w:t>ly,</w:t>
      </w:r>
      <w:r>
        <w:rPr>
          <w:rFonts w:ascii="Arial" w:hAnsi="Arial" w:cs="Arial"/>
        </w:rPr>
        <w:t xml:space="preserve"> code includes a long list of the “duties of the chief information officer.” Proposed Ordinance </w:t>
      </w:r>
      <w:r w:rsidR="00BB36B9">
        <w:rPr>
          <w:rFonts w:ascii="Arial" w:hAnsi="Arial" w:cs="Arial"/>
        </w:rPr>
        <w:t>2016-</w:t>
      </w:r>
      <w:r w:rsidR="00890D51">
        <w:rPr>
          <w:rFonts w:ascii="Arial" w:hAnsi="Arial" w:cs="Arial"/>
        </w:rPr>
        <w:t>0</w:t>
      </w:r>
      <w:r w:rsidR="00BB36B9">
        <w:rPr>
          <w:rFonts w:ascii="Arial" w:hAnsi="Arial" w:cs="Arial"/>
        </w:rPr>
        <w:t xml:space="preserve">464 creates </w:t>
      </w:r>
      <w:r>
        <w:rPr>
          <w:rFonts w:ascii="Arial" w:hAnsi="Arial" w:cs="Arial"/>
        </w:rPr>
        <w:t xml:space="preserve">a new Office of the Chief Information Officer </w:t>
      </w:r>
      <w:r w:rsidR="007D012E">
        <w:rPr>
          <w:rFonts w:ascii="Arial" w:hAnsi="Arial" w:cs="Arial"/>
        </w:rPr>
        <w:t xml:space="preserve">(lines 166-195) </w:t>
      </w:r>
      <w:r>
        <w:rPr>
          <w:rFonts w:ascii="Arial" w:hAnsi="Arial" w:cs="Arial"/>
        </w:rPr>
        <w:t>in code</w:t>
      </w:r>
      <w:r w:rsidR="00BB36B9">
        <w:rPr>
          <w:rFonts w:ascii="Arial" w:hAnsi="Arial" w:cs="Arial"/>
        </w:rPr>
        <w:t xml:space="preserve"> and lists many of the functions that had previously been listed as the duties of the chief information officer under Office of the Chief Information Officer. </w:t>
      </w:r>
      <w:r w:rsidR="00C55E62">
        <w:rPr>
          <w:rFonts w:ascii="Arial" w:hAnsi="Arial" w:cs="Arial"/>
        </w:rPr>
        <w:t>The desc</w:t>
      </w:r>
      <w:r w:rsidR="009C213C" w:rsidRPr="0017414E">
        <w:rPr>
          <w:rFonts w:ascii="Arial" w:hAnsi="Arial" w:cs="Arial"/>
        </w:rPr>
        <w:t>r</w:t>
      </w:r>
      <w:r w:rsidR="00C55E62">
        <w:rPr>
          <w:rFonts w:ascii="Arial" w:hAnsi="Arial" w:cs="Arial"/>
        </w:rPr>
        <w:t>iption of the duties</w:t>
      </w:r>
      <w:r w:rsidR="009C213C" w:rsidRPr="0017414E">
        <w:rPr>
          <w:rFonts w:ascii="Arial" w:hAnsi="Arial" w:cs="Arial"/>
        </w:rPr>
        <w:t xml:space="preserve"> have been shortened and moved to a new section.</w:t>
      </w:r>
      <w:r w:rsidR="007D012E">
        <w:rPr>
          <w:rFonts w:ascii="Arial" w:hAnsi="Arial" w:cs="Arial"/>
        </w:rPr>
        <w:t xml:space="preserve"> T</w:t>
      </w:r>
      <w:r w:rsidR="0017414E">
        <w:rPr>
          <w:rFonts w:ascii="Arial" w:hAnsi="Arial" w:cs="Arial"/>
        </w:rPr>
        <w:t xml:space="preserve">here are several lines </w:t>
      </w:r>
      <w:r w:rsidR="00C55E62">
        <w:rPr>
          <w:rFonts w:ascii="Arial" w:hAnsi="Arial" w:cs="Arial"/>
        </w:rPr>
        <w:t>(line 172-181</w:t>
      </w:r>
      <w:r w:rsidR="00C67A5B">
        <w:rPr>
          <w:rFonts w:ascii="Arial" w:hAnsi="Arial" w:cs="Arial"/>
        </w:rPr>
        <w:t xml:space="preserve">) </w:t>
      </w:r>
      <w:r w:rsidR="0017414E">
        <w:rPr>
          <w:rFonts w:ascii="Arial" w:hAnsi="Arial" w:cs="Arial"/>
        </w:rPr>
        <w:t xml:space="preserve">that </w:t>
      </w:r>
      <w:r w:rsidR="00C55E62">
        <w:rPr>
          <w:rFonts w:ascii="Arial" w:hAnsi="Arial" w:cs="Arial"/>
        </w:rPr>
        <w:t>need further clarification in order to understand the intent.</w:t>
      </w:r>
      <w:r w:rsidR="00C21103">
        <w:rPr>
          <w:rFonts w:ascii="Arial" w:hAnsi="Arial" w:cs="Arial"/>
        </w:rPr>
        <w:t xml:space="preserve"> </w:t>
      </w:r>
      <w:r w:rsidR="00890D51">
        <w:rPr>
          <w:rFonts w:ascii="Arial" w:hAnsi="Arial" w:cs="Arial"/>
        </w:rPr>
        <w:t>This clarification has been provided in the striking amendment.</w:t>
      </w:r>
    </w:p>
    <w:p w14:paraId="6124E2EB" w14:textId="77777777" w:rsidR="0017414E" w:rsidRPr="00222063" w:rsidRDefault="0017414E" w:rsidP="005B478C">
      <w:pPr>
        <w:jc w:val="both"/>
        <w:rPr>
          <w:rFonts w:ascii="Arial" w:hAnsi="Arial" w:cs="Arial"/>
        </w:rPr>
      </w:pPr>
    </w:p>
    <w:p w14:paraId="5F223AF2" w14:textId="77777777" w:rsidR="00222063" w:rsidRDefault="00222063" w:rsidP="005B478C">
      <w:pPr>
        <w:jc w:val="both"/>
        <w:rPr>
          <w:rFonts w:ascii="Arial" w:hAnsi="Arial" w:cs="Arial"/>
          <w:u w:val="single"/>
        </w:rPr>
      </w:pPr>
      <w:r w:rsidRPr="00222063">
        <w:rPr>
          <w:rFonts w:ascii="Arial" w:hAnsi="Arial" w:cs="Arial"/>
          <w:u w:val="single"/>
        </w:rPr>
        <w:t xml:space="preserve">Changes the reporting requirement for the Strategic Technology Plan </w:t>
      </w:r>
    </w:p>
    <w:p w14:paraId="3F3C2D22" w14:textId="77777777" w:rsidR="008E2888" w:rsidRDefault="008E2888" w:rsidP="005B478C">
      <w:pPr>
        <w:jc w:val="both"/>
        <w:rPr>
          <w:rFonts w:ascii="Arial" w:hAnsi="Arial" w:cs="Arial"/>
          <w:u w:val="single"/>
        </w:rPr>
      </w:pPr>
    </w:p>
    <w:p w14:paraId="029C3551" w14:textId="4DB978FB" w:rsidR="008E2888" w:rsidRPr="008E2888" w:rsidRDefault="008E2888" w:rsidP="005B478C">
      <w:pPr>
        <w:jc w:val="both"/>
        <w:rPr>
          <w:rFonts w:ascii="Arial" w:hAnsi="Arial" w:cs="Arial"/>
        </w:rPr>
      </w:pPr>
      <w:r>
        <w:rPr>
          <w:rFonts w:ascii="Arial" w:hAnsi="Arial" w:cs="Arial"/>
        </w:rPr>
        <w:t>Proposed Ordinance 2016-0464 would change the reporting requirement for the Strategic Technology Plan from every three years to every four years</w:t>
      </w:r>
      <w:r w:rsidR="007D012E">
        <w:rPr>
          <w:rFonts w:ascii="Arial" w:hAnsi="Arial" w:cs="Arial"/>
        </w:rPr>
        <w:t xml:space="preserve"> (lines 260-265)</w:t>
      </w:r>
      <w:r w:rsidR="0064465D">
        <w:rPr>
          <w:rFonts w:ascii="Arial" w:hAnsi="Arial" w:cs="Arial"/>
        </w:rPr>
        <w:t xml:space="preserve"> to align with the biennial budget process</w:t>
      </w:r>
      <w:r>
        <w:rPr>
          <w:rFonts w:ascii="Arial" w:hAnsi="Arial" w:cs="Arial"/>
        </w:rPr>
        <w:t>.</w:t>
      </w:r>
      <w:r w:rsidR="00890D51">
        <w:rPr>
          <w:rFonts w:ascii="Arial" w:hAnsi="Arial" w:cs="Arial"/>
        </w:rPr>
        <w:t xml:space="preserve"> </w:t>
      </w:r>
    </w:p>
    <w:p w14:paraId="3DB60E3C" w14:textId="77777777" w:rsidR="00264BE1" w:rsidRDefault="00264BE1" w:rsidP="005B478C">
      <w:pPr>
        <w:pStyle w:val="BodyText"/>
        <w:jc w:val="both"/>
        <w:rPr>
          <w:rFonts w:ascii="Arial" w:hAnsi="Arial" w:cs="Arial"/>
          <w:b/>
          <w:i w:val="0"/>
          <w:smallCaps/>
          <w:szCs w:val="24"/>
        </w:rPr>
      </w:pPr>
    </w:p>
    <w:p w14:paraId="0C4CFB47" w14:textId="77777777" w:rsidR="008E2888" w:rsidRDefault="00890D51" w:rsidP="0017414E">
      <w:pPr>
        <w:jc w:val="both"/>
        <w:rPr>
          <w:rFonts w:ascii="Arial" w:hAnsi="Arial" w:cs="Arial"/>
          <w:u w:val="single"/>
        </w:rPr>
      </w:pPr>
      <w:r>
        <w:rPr>
          <w:rFonts w:ascii="Arial" w:hAnsi="Arial" w:cs="Arial"/>
          <w:u w:val="single"/>
        </w:rPr>
        <w:t xml:space="preserve">Specifies a </w:t>
      </w:r>
      <w:r w:rsidR="0017414E">
        <w:rPr>
          <w:rFonts w:ascii="Arial" w:hAnsi="Arial" w:cs="Arial"/>
          <w:u w:val="single"/>
        </w:rPr>
        <w:t xml:space="preserve">voting </w:t>
      </w:r>
      <w:r w:rsidR="008E2888">
        <w:rPr>
          <w:rFonts w:ascii="Arial" w:hAnsi="Arial" w:cs="Arial"/>
          <w:u w:val="single"/>
        </w:rPr>
        <w:t>process at governance meetings</w:t>
      </w:r>
    </w:p>
    <w:p w14:paraId="0050975B" w14:textId="77777777" w:rsidR="008E2888" w:rsidRDefault="008E2888" w:rsidP="0017414E">
      <w:pPr>
        <w:jc w:val="both"/>
        <w:rPr>
          <w:rFonts w:ascii="Arial" w:hAnsi="Arial" w:cs="Arial"/>
          <w:u w:val="single"/>
        </w:rPr>
      </w:pPr>
    </w:p>
    <w:p w14:paraId="2ECB3941" w14:textId="749ABDFD" w:rsidR="00890D51" w:rsidRDefault="00890D51" w:rsidP="0017414E">
      <w:pPr>
        <w:jc w:val="both"/>
        <w:rPr>
          <w:rFonts w:ascii="Arial" w:hAnsi="Arial" w:cs="Arial"/>
        </w:rPr>
      </w:pPr>
      <w:r>
        <w:rPr>
          <w:rFonts w:ascii="Arial" w:hAnsi="Arial" w:cs="Arial"/>
        </w:rPr>
        <w:t xml:space="preserve">At the request of the County </w:t>
      </w:r>
      <w:r w:rsidR="00B22CE6">
        <w:rPr>
          <w:rFonts w:ascii="Arial" w:hAnsi="Arial" w:cs="Arial"/>
        </w:rPr>
        <w:t>C</w:t>
      </w:r>
      <w:r w:rsidR="00F96979">
        <w:rPr>
          <w:rFonts w:ascii="Arial" w:hAnsi="Arial" w:cs="Arial"/>
        </w:rPr>
        <w:t>l</w:t>
      </w:r>
      <w:r>
        <w:rPr>
          <w:rFonts w:ascii="Arial" w:hAnsi="Arial" w:cs="Arial"/>
        </w:rPr>
        <w:t>erk, the proposed ordinance specifies the voting process for meetings of the Technology Management Board (lines 362-398), the Business Manageme</w:t>
      </w:r>
      <w:r w:rsidR="0064465D">
        <w:rPr>
          <w:rFonts w:ascii="Arial" w:hAnsi="Arial" w:cs="Arial"/>
        </w:rPr>
        <w:t xml:space="preserve">nt Council (lines 318-354), </w:t>
      </w:r>
      <w:r>
        <w:rPr>
          <w:rFonts w:ascii="Arial" w:hAnsi="Arial" w:cs="Arial"/>
        </w:rPr>
        <w:t>the Project Review Board (lines 406-428), and the Strategic Advisory Council (lines 282-311).</w:t>
      </w:r>
    </w:p>
    <w:p w14:paraId="4560391F" w14:textId="77777777" w:rsidR="00890D51" w:rsidRPr="00890D51" w:rsidRDefault="00890D51" w:rsidP="0017414E">
      <w:pPr>
        <w:jc w:val="both"/>
        <w:rPr>
          <w:rFonts w:ascii="Arial" w:hAnsi="Arial" w:cs="Arial"/>
        </w:rPr>
      </w:pPr>
    </w:p>
    <w:p w14:paraId="177C3F91" w14:textId="77777777" w:rsidR="008E2888" w:rsidRPr="00222063" w:rsidRDefault="008E2888" w:rsidP="0017414E">
      <w:pPr>
        <w:jc w:val="both"/>
        <w:rPr>
          <w:rFonts w:ascii="Arial" w:hAnsi="Arial" w:cs="Arial"/>
          <w:u w:val="single"/>
        </w:rPr>
      </w:pPr>
      <w:r>
        <w:rPr>
          <w:rFonts w:ascii="Arial" w:hAnsi="Arial" w:cs="Arial"/>
          <w:u w:val="single"/>
        </w:rPr>
        <w:t>Specify voting members of the Strategic Advisory Council</w:t>
      </w:r>
      <w:r w:rsidR="00C67A5B">
        <w:rPr>
          <w:rFonts w:ascii="Arial" w:hAnsi="Arial" w:cs="Arial"/>
          <w:u w:val="single"/>
        </w:rPr>
        <w:t xml:space="preserve"> </w:t>
      </w:r>
    </w:p>
    <w:p w14:paraId="149F6755" w14:textId="77777777" w:rsidR="0017414E" w:rsidRDefault="0017414E" w:rsidP="005B478C">
      <w:pPr>
        <w:pStyle w:val="BodyText"/>
        <w:jc w:val="both"/>
        <w:rPr>
          <w:rFonts w:ascii="Arial" w:hAnsi="Arial" w:cs="Arial"/>
          <w:b/>
          <w:i w:val="0"/>
          <w:smallCaps/>
          <w:szCs w:val="24"/>
        </w:rPr>
      </w:pPr>
    </w:p>
    <w:p w14:paraId="424BF08F" w14:textId="77777777" w:rsidR="00876134" w:rsidRDefault="007D012E" w:rsidP="005B478C">
      <w:pPr>
        <w:pStyle w:val="BodyText"/>
        <w:jc w:val="both"/>
        <w:rPr>
          <w:rFonts w:ascii="Arial" w:hAnsi="Arial" w:cs="Arial"/>
          <w:i w:val="0"/>
          <w:szCs w:val="24"/>
        </w:rPr>
      </w:pPr>
      <w:r>
        <w:rPr>
          <w:rFonts w:ascii="Arial" w:hAnsi="Arial" w:cs="Arial"/>
          <w:i w:val="0"/>
          <w:szCs w:val="24"/>
        </w:rPr>
        <w:t>Lines 283-293 specify that C</w:t>
      </w:r>
      <w:r w:rsidR="00C67A5B">
        <w:rPr>
          <w:rFonts w:ascii="Arial" w:hAnsi="Arial" w:cs="Arial"/>
          <w:i w:val="0"/>
          <w:szCs w:val="24"/>
        </w:rPr>
        <w:t xml:space="preserve">ounty Strategic Advisory </w:t>
      </w:r>
      <w:r>
        <w:rPr>
          <w:rFonts w:ascii="Arial" w:hAnsi="Arial" w:cs="Arial"/>
          <w:i w:val="0"/>
          <w:szCs w:val="24"/>
        </w:rPr>
        <w:t>Council (SAC) representatives are</w:t>
      </w:r>
      <w:r w:rsidR="00C67A5B">
        <w:rPr>
          <w:rFonts w:ascii="Arial" w:hAnsi="Arial" w:cs="Arial"/>
          <w:i w:val="0"/>
          <w:szCs w:val="24"/>
        </w:rPr>
        <w:t xml:space="preserve"> voting members and </w:t>
      </w:r>
      <w:r>
        <w:rPr>
          <w:rFonts w:ascii="Arial" w:hAnsi="Arial" w:cs="Arial"/>
          <w:i w:val="0"/>
          <w:szCs w:val="24"/>
        </w:rPr>
        <w:t>external SAC representatives are</w:t>
      </w:r>
      <w:r w:rsidR="00C67A5B">
        <w:rPr>
          <w:rFonts w:ascii="Arial" w:hAnsi="Arial" w:cs="Arial"/>
          <w:i w:val="0"/>
          <w:szCs w:val="24"/>
        </w:rPr>
        <w:t xml:space="preserve"> non-voting advisory members. </w:t>
      </w:r>
      <w:r w:rsidR="00876134">
        <w:rPr>
          <w:rFonts w:ascii="Arial" w:hAnsi="Arial" w:cs="Arial"/>
          <w:i w:val="0"/>
          <w:szCs w:val="24"/>
        </w:rPr>
        <w:t xml:space="preserve">The distinction is made in order to avoid a potential conflict of interest if any of the external members have technology contracts with the County. </w:t>
      </w:r>
    </w:p>
    <w:p w14:paraId="76587F21" w14:textId="77777777" w:rsidR="00876134" w:rsidRDefault="00876134" w:rsidP="005B478C">
      <w:pPr>
        <w:pStyle w:val="BodyText"/>
        <w:jc w:val="both"/>
        <w:rPr>
          <w:rFonts w:ascii="Arial" w:hAnsi="Arial" w:cs="Arial"/>
          <w:i w:val="0"/>
          <w:szCs w:val="24"/>
        </w:rPr>
      </w:pPr>
    </w:p>
    <w:p w14:paraId="3C120562" w14:textId="77777777" w:rsidR="0017414E" w:rsidRPr="00C67A5B" w:rsidRDefault="00C67A5B" w:rsidP="005B478C">
      <w:pPr>
        <w:pStyle w:val="BodyText"/>
        <w:jc w:val="both"/>
        <w:rPr>
          <w:rFonts w:ascii="Arial" w:hAnsi="Arial" w:cs="Arial"/>
          <w:i w:val="0"/>
          <w:szCs w:val="24"/>
        </w:rPr>
      </w:pPr>
      <w:r>
        <w:rPr>
          <w:rFonts w:ascii="Arial" w:hAnsi="Arial" w:cs="Arial"/>
          <w:i w:val="0"/>
          <w:szCs w:val="24"/>
        </w:rPr>
        <w:t>The proposed ordinance also adds the Director of Elections as a member of the SAC</w:t>
      </w:r>
      <w:r w:rsidR="00876134">
        <w:rPr>
          <w:rFonts w:ascii="Arial" w:hAnsi="Arial" w:cs="Arial"/>
          <w:i w:val="0"/>
          <w:szCs w:val="24"/>
        </w:rPr>
        <w:t xml:space="preserve"> (lines 289-90)</w:t>
      </w:r>
      <w:r>
        <w:rPr>
          <w:rFonts w:ascii="Arial" w:hAnsi="Arial" w:cs="Arial"/>
          <w:i w:val="0"/>
          <w:szCs w:val="24"/>
        </w:rPr>
        <w:t>.</w:t>
      </w:r>
    </w:p>
    <w:p w14:paraId="3A32166B" w14:textId="77777777" w:rsidR="00B409D6" w:rsidRDefault="00B409D6" w:rsidP="005B478C">
      <w:pPr>
        <w:pStyle w:val="BodyText"/>
        <w:jc w:val="both"/>
        <w:rPr>
          <w:rFonts w:ascii="Arial" w:hAnsi="Arial" w:cs="Arial"/>
          <w:b/>
          <w:i w:val="0"/>
          <w:smallCaps/>
          <w:szCs w:val="24"/>
        </w:rPr>
      </w:pPr>
    </w:p>
    <w:p w14:paraId="2E92D2C6" w14:textId="77777777" w:rsidR="008E2888" w:rsidRDefault="005B1BC4" w:rsidP="005B478C">
      <w:pPr>
        <w:pStyle w:val="BodyText"/>
        <w:jc w:val="both"/>
        <w:rPr>
          <w:rFonts w:ascii="Arial" w:hAnsi="Arial" w:cs="Arial"/>
          <w:b/>
          <w:i w:val="0"/>
          <w:smallCaps/>
          <w:szCs w:val="24"/>
        </w:rPr>
      </w:pPr>
      <w:r>
        <w:rPr>
          <w:rFonts w:ascii="Arial" w:hAnsi="Arial" w:cs="Arial"/>
          <w:b/>
          <w:i w:val="0"/>
          <w:smallCaps/>
          <w:szCs w:val="24"/>
        </w:rPr>
        <w:t>Issues for Committee Consideration</w:t>
      </w:r>
    </w:p>
    <w:p w14:paraId="51ACCFD8" w14:textId="77777777" w:rsidR="005B1BC4" w:rsidRDefault="005B1BC4" w:rsidP="005B478C">
      <w:pPr>
        <w:pStyle w:val="BodyText"/>
        <w:jc w:val="both"/>
        <w:rPr>
          <w:rFonts w:ascii="Arial" w:hAnsi="Arial" w:cs="Arial"/>
          <w:b/>
          <w:i w:val="0"/>
          <w:smallCaps/>
          <w:szCs w:val="24"/>
        </w:rPr>
      </w:pPr>
    </w:p>
    <w:p w14:paraId="6DAE6A1B" w14:textId="77777777" w:rsidR="00D06170" w:rsidRPr="005B1BC4" w:rsidRDefault="00D06170" w:rsidP="00D06170">
      <w:pPr>
        <w:pStyle w:val="BodyText"/>
        <w:jc w:val="both"/>
        <w:rPr>
          <w:rFonts w:ascii="Arial" w:hAnsi="Arial" w:cs="Arial"/>
          <w:i w:val="0"/>
          <w:szCs w:val="24"/>
          <w:u w:val="single"/>
        </w:rPr>
      </w:pPr>
      <w:r w:rsidRPr="005B1BC4">
        <w:rPr>
          <w:rFonts w:ascii="Arial" w:hAnsi="Arial" w:cs="Arial"/>
          <w:i w:val="0"/>
          <w:szCs w:val="24"/>
          <w:u w:val="single"/>
        </w:rPr>
        <w:t>Project oversight process is not well defined</w:t>
      </w:r>
    </w:p>
    <w:p w14:paraId="57298970" w14:textId="77777777" w:rsidR="00D06170" w:rsidRDefault="00D06170" w:rsidP="00D06170">
      <w:pPr>
        <w:pStyle w:val="BodyText"/>
        <w:jc w:val="both"/>
        <w:rPr>
          <w:rFonts w:ascii="Arial" w:hAnsi="Arial" w:cs="Arial"/>
          <w:b/>
          <w:i w:val="0"/>
          <w:smallCaps/>
          <w:szCs w:val="24"/>
        </w:rPr>
      </w:pPr>
    </w:p>
    <w:p w14:paraId="6F8A82CC" w14:textId="2D441794" w:rsidR="00D06170" w:rsidRDefault="00D06170" w:rsidP="00D06170">
      <w:pPr>
        <w:jc w:val="both"/>
        <w:rPr>
          <w:rFonts w:ascii="Arial" w:hAnsi="Arial" w:cs="Arial"/>
          <w:szCs w:val="24"/>
        </w:rPr>
      </w:pPr>
      <w:r>
        <w:rPr>
          <w:rFonts w:ascii="Arial" w:hAnsi="Arial" w:cs="Arial"/>
          <w:szCs w:val="24"/>
        </w:rPr>
        <w:t xml:space="preserve">Since 2002, King County has used an oversight process for IT projects by which a </w:t>
      </w:r>
      <w:r w:rsidRPr="006B2E18">
        <w:rPr>
          <w:rFonts w:ascii="Arial" w:hAnsi="Arial" w:cs="Arial"/>
          <w:szCs w:val="24"/>
        </w:rPr>
        <w:t xml:space="preserve">project </w:t>
      </w:r>
      <w:r>
        <w:rPr>
          <w:rFonts w:ascii="Arial" w:hAnsi="Arial" w:cs="Arial"/>
          <w:szCs w:val="24"/>
        </w:rPr>
        <w:t xml:space="preserve">with a budget appropriation needs to </w:t>
      </w:r>
      <w:r w:rsidRPr="006B2E18">
        <w:rPr>
          <w:rFonts w:ascii="Arial" w:hAnsi="Arial" w:cs="Arial"/>
          <w:szCs w:val="24"/>
        </w:rPr>
        <w:t xml:space="preserve">seek approval from the Project Review Board </w:t>
      </w:r>
      <w:r>
        <w:rPr>
          <w:rFonts w:ascii="Arial" w:hAnsi="Arial" w:cs="Arial"/>
          <w:szCs w:val="24"/>
        </w:rPr>
        <w:t xml:space="preserve">(PRB) </w:t>
      </w:r>
      <w:r w:rsidRPr="006B2E18">
        <w:rPr>
          <w:rFonts w:ascii="Arial" w:hAnsi="Arial" w:cs="Arial"/>
          <w:szCs w:val="24"/>
        </w:rPr>
        <w:t xml:space="preserve">for a </w:t>
      </w:r>
      <w:r>
        <w:rPr>
          <w:rFonts w:ascii="Arial" w:hAnsi="Arial" w:cs="Arial"/>
          <w:szCs w:val="24"/>
        </w:rPr>
        <w:t>“</w:t>
      </w:r>
      <w:r w:rsidRPr="006B2E18">
        <w:rPr>
          <w:rFonts w:ascii="Arial" w:hAnsi="Arial" w:cs="Arial"/>
          <w:szCs w:val="24"/>
        </w:rPr>
        <w:t>funding releas</w:t>
      </w:r>
      <w:r>
        <w:rPr>
          <w:rFonts w:ascii="Arial" w:hAnsi="Arial" w:cs="Arial"/>
          <w:szCs w:val="24"/>
        </w:rPr>
        <w:t>e”</w:t>
      </w:r>
      <w:r w:rsidRPr="006B2E18">
        <w:rPr>
          <w:rFonts w:ascii="Arial" w:hAnsi="Arial" w:cs="Arial"/>
          <w:szCs w:val="24"/>
        </w:rPr>
        <w:t xml:space="preserve"> </w:t>
      </w:r>
      <w:r>
        <w:rPr>
          <w:rFonts w:ascii="Arial" w:hAnsi="Arial" w:cs="Arial"/>
          <w:szCs w:val="24"/>
        </w:rPr>
        <w:t>prior to spending funds on a particular phase of the project. The funding release process is not specified in code and has evolved over the years. Currently, funding is generally released in three phases</w:t>
      </w:r>
      <w:r w:rsidR="00B22CE6">
        <w:rPr>
          <w:rFonts w:ascii="Arial" w:hAnsi="Arial" w:cs="Arial"/>
          <w:szCs w:val="24"/>
        </w:rPr>
        <w:t>:</w:t>
      </w:r>
      <w:r>
        <w:rPr>
          <w:rFonts w:ascii="Arial" w:hAnsi="Arial" w:cs="Arial"/>
          <w:szCs w:val="24"/>
        </w:rPr>
        <w:t xml:space="preserve"> (1) planning, (2) preliminary design, and (3) design and implementation. KCIT has two staff members who review the requests and provide recommendations to the PRB. </w:t>
      </w:r>
    </w:p>
    <w:p w14:paraId="2FC8C8A4" w14:textId="77777777" w:rsidR="00D06170" w:rsidRDefault="00D06170" w:rsidP="00D06170">
      <w:pPr>
        <w:jc w:val="both"/>
        <w:rPr>
          <w:rFonts w:ascii="Arial" w:hAnsi="Arial" w:cs="Arial"/>
          <w:szCs w:val="24"/>
        </w:rPr>
      </w:pPr>
    </w:p>
    <w:p w14:paraId="44C61139" w14:textId="2849568B" w:rsidR="00D06170" w:rsidRPr="006B2E18" w:rsidRDefault="00D06170" w:rsidP="00D06170">
      <w:pPr>
        <w:jc w:val="both"/>
        <w:rPr>
          <w:rFonts w:ascii="Arial" w:hAnsi="Arial" w:cs="Arial"/>
          <w:szCs w:val="24"/>
        </w:rPr>
      </w:pPr>
      <w:r>
        <w:rPr>
          <w:rFonts w:ascii="Arial" w:hAnsi="Arial" w:cs="Arial"/>
          <w:szCs w:val="24"/>
        </w:rPr>
        <w:lastRenderedPageBreak/>
        <w:t xml:space="preserve">Under the current </w:t>
      </w:r>
      <w:r w:rsidR="00911313">
        <w:rPr>
          <w:rFonts w:ascii="Arial" w:hAnsi="Arial" w:cs="Arial"/>
          <w:szCs w:val="24"/>
        </w:rPr>
        <w:t>code</w:t>
      </w:r>
      <w:r>
        <w:rPr>
          <w:rFonts w:ascii="Arial" w:hAnsi="Arial" w:cs="Arial"/>
          <w:szCs w:val="24"/>
        </w:rPr>
        <w:t>, it is the CIO who approves most funding releases on behalf of the PRB and a formal meeting of the PRB does not occur. The CIO or a PRB member may request</w:t>
      </w:r>
      <w:r w:rsidR="00911313">
        <w:rPr>
          <w:rFonts w:ascii="Arial" w:hAnsi="Arial" w:cs="Arial"/>
          <w:szCs w:val="24"/>
        </w:rPr>
        <w:t xml:space="preserve"> that</w:t>
      </w:r>
      <w:r>
        <w:rPr>
          <w:rFonts w:ascii="Arial" w:hAnsi="Arial" w:cs="Arial"/>
          <w:szCs w:val="24"/>
        </w:rPr>
        <w:t xml:space="preserve"> PRB members review a funding release for any project and votes are recorded. Past records show the decision to release funds is based on a consensus of members. </w:t>
      </w:r>
    </w:p>
    <w:p w14:paraId="7D8F82C8" w14:textId="77777777" w:rsidR="00D06170" w:rsidRDefault="00D06170" w:rsidP="00D06170">
      <w:pPr>
        <w:pStyle w:val="BodyText"/>
        <w:jc w:val="both"/>
        <w:rPr>
          <w:rFonts w:ascii="Arial" w:hAnsi="Arial" w:cs="Arial"/>
          <w:b/>
          <w:i w:val="0"/>
          <w:smallCaps/>
          <w:szCs w:val="24"/>
        </w:rPr>
      </w:pPr>
    </w:p>
    <w:p w14:paraId="05993303" w14:textId="3A57E12B" w:rsidR="00D06170" w:rsidRDefault="00D06170" w:rsidP="00D06170">
      <w:pPr>
        <w:jc w:val="both"/>
        <w:rPr>
          <w:rFonts w:ascii="Arial" w:hAnsi="Arial" w:cs="Arial"/>
          <w:szCs w:val="24"/>
        </w:rPr>
      </w:pPr>
      <w:r>
        <w:rPr>
          <w:rFonts w:ascii="Arial" w:hAnsi="Arial" w:cs="Arial"/>
          <w:szCs w:val="24"/>
        </w:rPr>
        <w:t xml:space="preserve">The requirement that a project seek a funding release from the </w:t>
      </w:r>
      <w:r w:rsidR="0064465D">
        <w:rPr>
          <w:rFonts w:ascii="Arial" w:hAnsi="Arial" w:cs="Arial"/>
          <w:szCs w:val="24"/>
        </w:rPr>
        <w:t>PRB</w:t>
      </w:r>
      <w:r>
        <w:rPr>
          <w:rFonts w:ascii="Arial" w:hAnsi="Arial" w:cs="Arial"/>
          <w:szCs w:val="24"/>
        </w:rPr>
        <w:t xml:space="preserve"> is not in current code or in Proposed Ordinance 2016-0464. Additionally, the current code and the proposed ordinance do not specifically mention funding releases as part of the PRB function. Instead, this function is listed as part of the duties of the </w:t>
      </w:r>
      <w:r w:rsidR="0064465D">
        <w:rPr>
          <w:rFonts w:ascii="Arial" w:hAnsi="Arial" w:cs="Arial"/>
          <w:szCs w:val="24"/>
        </w:rPr>
        <w:t>CIO</w:t>
      </w:r>
      <w:r>
        <w:rPr>
          <w:rFonts w:ascii="Arial" w:hAnsi="Arial" w:cs="Arial"/>
          <w:szCs w:val="24"/>
        </w:rPr>
        <w:t xml:space="preserve"> in the current code and as part of the function of the Office of the CIO in</w:t>
      </w:r>
      <w:r w:rsidR="00E74DFE">
        <w:rPr>
          <w:rFonts w:ascii="Arial" w:hAnsi="Arial" w:cs="Arial"/>
          <w:szCs w:val="24"/>
        </w:rPr>
        <w:t xml:space="preserve"> PO 2016-0464</w:t>
      </w:r>
      <w:r>
        <w:rPr>
          <w:rFonts w:ascii="Arial" w:hAnsi="Arial" w:cs="Arial"/>
          <w:szCs w:val="24"/>
        </w:rPr>
        <w:t>. This lack of clarity around the role of the PRB has resulted in some confusion by stakeholders in understanding how the process works. Proposed Ordinance 2016-0464 does not clarify the responsibilities regarding funding releases.</w:t>
      </w:r>
      <w:r w:rsidR="000825FD">
        <w:rPr>
          <w:rFonts w:ascii="Arial" w:hAnsi="Arial" w:cs="Arial"/>
          <w:szCs w:val="24"/>
        </w:rPr>
        <w:t xml:space="preserve"> </w:t>
      </w:r>
    </w:p>
    <w:p w14:paraId="7758F682" w14:textId="77777777" w:rsidR="000825FD" w:rsidRDefault="000825FD" w:rsidP="00D06170">
      <w:pPr>
        <w:jc w:val="both"/>
        <w:rPr>
          <w:rFonts w:ascii="Arial" w:hAnsi="Arial" w:cs="Arial"/>
          <w:szCs w:val="24"/>
        </w:rPr>
      </w:pPr>
    </w:p>
    <w:p w14:paraId="315BC879" w14:textId="499F0AED" w:rsidR="000825FD" w:rsidRDefault="000825FD" w:rsidP="00D06170">
      <w:pPr>
        <w:jc w:val="both"/>
        <w:rPr>
          <w:rFonts w:ascii="Arial" w:hAnsi="Arial" w:cs="Arial"/>
          <w:szCs w:val="24"/>
        </w:rPr>
      </w:pPr>
      <w:r>
        <w:rPr>
          <w:rFonts w:ascii="Arial" w:hAnsi="Arial" w:cs="Arial"/>
          <w:szCs w:val="24"/>
        </w:rPr>
        <w:t>Council staff worked collaboratively with Executive s</w:t>
      </w:r>
      <w:r w:rsidR="00E74DFE">
        <w:rPr>
          <w:rFonts w:ascii="Arial" w:hAnsi="Arial" w:cs="Arial"/>
          <w:szCs w:val="24"/>
        </w:rPr>
        <w:t>taff to address these concerns and provide more clarity on the project oversight process in</w:t>
      </w:r>
      <w:r>
        <w:rPr>
          <w:rFonts w:ascii="Arial" w:hAnsi="Arial" w:cs="Arial"/>
          <w:szCs w:val="24"/>
        </w:rPr>
        <w:t xml:space="preserve"> the striking amendment discussed below.</w:t>
      </w:r>
    </w:p>
    <w:p w14:paraId="6146B369" w14:textId="77777777" w:rsidR="005B1BC4" w:rsidRPr="001C4B19" w:rsidRDefault="005B1BC4" w:rsidP="005B478C">
      <w:pPr>
        <w:pStyle w:val="BodyText"/>
        <w:jc w:val="both"/>
        <w:rPr>
          <w:rFonts w:ascii="Arial" w:hAnsi="Arial" w:cs="Arial"/>
          <w:b/>
          <w:i w:val="0"/>
          <w:smallCaps/>
          <w:szCs w:val="24"/>
        </w:rPr>
      </w:pPr>
    </w:p>
    <w:p w14:paraId="705D9B42" w14:textId="77777777" w:rsidR="00686542" w:rsidRPr="001C4B19" w:rsidRDefault="00F2550E" w:rsidP="005B478C">
      <w:pPr>
        <w:pStyle w:val="BodyText"/>
        <w:jc w:val="both"/>
        <w:rPr>
          <w:rFonts w:ascii="Arial" w:hAnsi="Arial" w:cs="Arial"/>
          <w:b/>
          <w:i w:val="0"/>
          <w:szCs w:val="24"/>
          <w:u w:val="single"/>
        </w:rPr>
      </w:pPr>
      <w:r>
        <w:rPr>
          <w:rFonts w:ascii="Arial" w:hAnsi="Arial" w:cs="Arial"/>
          <w:b/>
          <w:i w:val="0"/>
          <w:szCs w:val="24"/>
          <w:u w:val="single"/>
        </w:rPr>
        <w:t xml:space="preserve">STRIKING </w:t>
      </w:r>
      <w:r w:rsidR="00E96DDA" w:rsidRPr="001C4B19">
        <w:rPr>
          <w:rFonts w:ascii="Arial" w:hAnsi="Arial" w:cs="Arial"/>
          <w:b/>
          <w:i w:val="0"/>
          <w:szCs w:val="24"/>
          <w:u w:val="single"/>
        </w:rPr>
        <w:t>AMENDMENT</w:t>
      </w:r>
    </w:p>
    <w:p w14:paraId="521A2431" w14:textId="77777777" w:rsidR="00074A56" w:rsidRDefault="00074A56" w:rsidP="005B478C">
      <w:pPr>
        <w:pStyle w:val="BodyText"/>
        <w:jc w:val="both"/>
        <w:rPr>
          <w:rFonts w:ascii="Arial" w:hAnsi="Arial" w:cs="Arial"/>
          <w:i w:val="0"/>
          <w:szCs w:val="24"/>
        </w:rPr>
      </w:pPr>
    </w:p>
    <w:p w14:paraId="4FEB5752" w14:textId="58AE2752" w:rsidR="006958BD" w:rsidRDefault="00F2550E" w:rsidP="005B478C">
      <w:pPr>
        <w:pStyle w:val="BodyText"/>
        <w:jc w:val="both"/>
        <w:rPr>
          <w:rFonts w:ascii="Arial" w:hAnsi="Arial" w:cs="Arial"/>
          <w:i w:val="0"/>
          <w:szCs w:val="24"/>
        </w:rPr>
      </w:pPr>
      <w:r>
        <w:rPr>
          <w:rFonts w:ascii="Arial" w:hAnsi="Arial" w:cs="Arial"/>
          <w:i w:val="0"/>
          <w:szCs w:val="24"/>
        </w:rPr>
        <w:t>The attached striking amendment makes changes throughout the propose</w:t>
      </w:r>
      <w:r w:rsidR="00907F57">
        <w:rPr>
          <w:rFonts w:ascii="Arial" w:hAnsi="Arial" w:cs="Arial"/>
          <w:i w:val="0"/>
          <w:szCs w:val="24"/>
        </w:rPr>
        <w:t>d ordinance</w:t>
      </w:r>
      <w:r>
        <w:rPr>
          <w:rFonts w:ascii="Arial" w:hAnsi="Arial" w:cs="Arial"/>
          <w:i w:val="0"/>
          <w:szCs w:val="24"/>
        </w:rPr>
        <w:t xml:space="preserve">. </w:t>
      </w:r>
      <w:r w:rsidR="006958BD">
        <w:rPr>
          <w:rFonts w:ascii="Arial" w:hAnsi="Arial" w:cs="Arial"/>
          <w:i w:val="0"/>
          <w:szCs w:val="24"/>
        </w:rPr>
        <w:t>Most of the changes within the striking amendment are simply intended to improve the drafting of the proposed code change and do</w:t>
      </w:r>
      <w:r w:rsidR="000825FD">
        <w:rPr>
          <w:rFonts w:ascii="Arial" w:hAnsi="Arial" w:cs="Arial"/>
          <w:i w:val="0"/>
          <w:szCs w:val="24"/>
        </w:rPr>
        <w:t xml:space="preserve"> not</w:t>
      </w:r>
      <w:r w:rsidR="006958BD">
        <w:rPr>
          <w:rFonts w:ascii="Arial" w:hAnsi="Arial" w:cs="Arial"/>
          <w:i w:val="0"/>
          <w:szCs w:val="24"/>
        </w:rPr>
        <w:t xml:space="preserve"> change the underlying </w:t>
      </w:r>
      <w:r w:rsidR="000825FD">
        <w:rPr>
          <w:rFonts w:ascii="Arial" w:hAnsi="Arial" w:cs="Arial"/>
          <w:i w:val="0"/>
          <w:szCs w:val="24"/>
        </w:rPr>
        <w:t xml:space="preserve">substance </w:t>
      </w:r>
      <w:r w:rsidR="006958BD">
        <w:rPr>
          <w:rFonts w:ascii="Arial" w:hAnsi="Arial" w:cs="Arial"/>
          <w:i w:val="0"/>
          <w:szCs w:val="24"/>
        </w:rPr>
        <w:t>of proposed ordinance.</w:t>
      </w:r>
    </w:p>
    <w:p w14:paraId="1281D7BB" w14:textId="77777777" w:rsidR="006958BD" w:rsidRDefault="006958BD" w:rsidP="005B478C">
      <w:pPr>
        <w:pStyle w:val="BodyText"/>
        <w:jc w:val="both"/>
        <w:rPr>
          <w:rFonts w:ascii="Arial" w:hAnsi="Arial" w:cs="Arial"/>
          <w:i w:val="0"/>
          <w:szCs w:val="24"/>
        </w:rPr>
      </w:pPr>
    </w:p>
    <w:p w14:paraId="1A3DECD7" w14:textId="2C6C8765" w:rsidR="00907F57" w:rsidRDefault="00907F57" w:rsidP="005B478C">
      <w:pPr>
        <w:pStyle w:val="BodyText"/>
        <w:jc w:val="both"/>
        <w:rPr>
          <w:rFonts w:ascii="Arial" w:hAnsi="Arial" w:cs="Arial"/>
          <w:i w:val="0"/>
          <w:szCs w:val="24"/>
        </w:rPr>
      </w:pPr>
      <w:r>
        <w:rPr>
          <w:rFonts w:ascii="Arial" w:hAnsi="Arial" w:cs="Arial"/>
          <w:i w:val="0"/>
          <w:szCs w:val="24"/>
        </w:rPr>
        <w:t>The most substantive</w:t>
      </w:r>
      <w:r w:rsidR="000825FD">
        <w:rPr>
          <w:rFonts w:ascii="Arial" w:hAnsi="Arial" w:cs="Arial"/>
          <w:i w:val="0"/>
          <w:szCs w:val="24"/>
        </w:rPr>
        <w:t xml:space="preserve"> changes in the </w:t>
      </w:r>
      <w:r w:rsidR="00911313">
        <w:rPr>
          <w:rFonts w:ascii="Arial" w:hAnsi="Arial" w:cs="Arial"/>
          <w:i w:val="0"/>
          <w:szCs w:val="24"/>
        </w:rPr>
        <w:t xml:space="preserve">amendment </w:t>
      </w:r>
      <w:r w:rsidR="000825FD">
        <w:rPr>
          <w:rFonts w:ascii="Arial" w:hAnsi="Arial" w:cs="Arial"/>
          <w:i w:val="0"/>
          <w:szCs w:val="24"/>
        </w:rPr>
        <w:t xml:space="preserve">are those addressing the concerns discussed above </w:t>
      </w:r>
      <w:r w:rsidR="0064465D">
        <w:rPr>
          <w:rFonts w:ascii="Arial" w:hAnsi="Arial" w:cs="Arial"/>
          <w:i w:val="0"/>
          <w:szCs w:val="24"/>
        </w:rPr>
        <w:t>related to the PRB</w:t>
      </w:r>
      <w:r>
        <w:rPr>
          <w:rFonts w:ascii="Arial" w:hAnsi="Arial" w:cs="Arial"/>
          <w:i w:val="0"/>
          <w:szCs w:val="24"/>
        </w:rPr>
        <w:t xml:space="preserve">. </w:t>
      </w:r>
    </w:p>
    <w:p w14:paraId="54B3A7A8" w14:textId="77777777" w:rsidR="006958BD" w:rsidRDefault="006958BD" w:rsidP="005B478C">
      <w:pPr>
        <w:pStyle w:val="BodyText"/>
        <w:jc w:val="both"/>
        <w:rPr>
          <w:rFonts w:ascii="Arial" w:hAnsi="Arial" w:cs="Arial"/>
          <w:i w:val="0"/>
          <w:szCs w:val="24"/>
        </w:rPr>
      </w:pPr>
    </w:p>
    <w:p w14:paraId="0B33B0AD" w14:textId="77777777" w:rsidR="00907F57" w:rsidRDefault="00907F57" w:rsidP="00AE0C03">
      <w:pPr>
        <w:pStyle w:val="BodyText"/>
        <w:jc w:val="both"/>
        <w:rPr>
          <w:rFonts w:ascii="Arial" w:hAnsi="Arial" w:cs="Arial"/>
          <w:i w:val="0"/>
          <w:szCs w:val="24"/>
        </w:rPr>
      </w:pPr>
      <w:r w:rsidRPr="00AE0C03">
        <w:rPr>
          <w:rFonts w:ascii="Arial" w:hAnsi="Arial" w:cs="Arial"/>
          <w:b/>
          <w:i w:val="0"/>
          <w:szCs w:val="24"/>
          <w:u w:val="single"/>
        </w:rPr>
        <w:t xml:space="preserve">Lines </w:t>
      </w:r>
      <w:r w:rsidR="00AE0C03" w:rsidRPr="00AE0C03">
        <w:rPr>
          <w:rFonts w:ascii="Arial" w:hAnsi="Arial" w:cs="Arial"/>
          <w:b/>
          <w:i w:val="0"/>
          <w:szCs w:val="24"/>
          <w:u w:val="single"/>
        </w:rPr>
        <w:t>399-401</w:t>
      </w:r>
      <w:r w:rsidR="00AE0C03">
        <w:rPr>
          <w:rFonts w:ascii="Arial" w:hAnsi="Arial" w:cs="Arial"/>
          <w:i w:val="0"/>
          <w:szCs w:val="24"/>
        </w:rPr>
        <w:t xml:space="preserve"> add a requirement that all information technology capital projects shall participate in the project oversight process. This is a new addition to the code, but reflects current practice. </w:t>
      </w:r>
    </w:p>
    <w:p w14:paraId="590D8BC0" w14:textId="77777777" w:rsidR="00F2550E" w:rsidRDefault="00F2550E" w:rsidP="005B478C">
      <w:pPr>
        <w:pStyle w:val="BodyText"/>
        <w:jc w:val="both"/>
        <w:rPr>
          <w:rFonts w:ascii="Arial" w:hAnsi="Arial" w:cs="Arial"/>
          <w:i w:val="0"/>
          <w:szCs w:val="24"/>
        </w:rPr>
      </w:pPr>
    </w:p>
    <w:p w14:paraId="77B739B6" w14:textId="2089DACE" w:rsidR="00F2550E" w:rsidRDefault="00AE0C03" w:rsidP="005B478C">
      <w:pPr>
        <w:pStyle w:val="BodyText"/>
        <w:jc w:val="both"/>
        <w:rPr>
          <w:rFonts w:ascii="Arial" w:hAnsi="Arial" w:cs="Arial"/>
          <w:i w:val="0"/>
          <w:szCs w:val="24"/>
        </w:rPr>
      </w:pPr>
      <w:r w:rsidRPr="00AE0C03">
        <w:rPr>
          <w:rFonts w:ascii="Arial" w:hAnsi="Arial" w:cs="Arial"/>
          <w:b/>
          <w:i w:val="0"/>
          <w:szCs w:val="24"/>
          <w:u w:val="single"/>
        </w:rPr>
        <w:t>Lines 404-412</w:t>
      </w:r>
      <w:r>
        <w:rPr>
          <w:rFonts w:ascii="Arial" w:hAnsi="Arial" w:cs="Arial"/>
          <w:b/>
          <w:i w:val="0"/>
          <w:szCs w:val="24"/>
        </w:rPr>
        <w:t xml:space="preserve"> </w:t>
      </w:r>
      <w:r>
        <w:rPr>
          <w:rFonts w:ascii="Arial" w:hAnsi="Arial" w:cs="Arial"/>
          <w:i w:val="0"/>
          <w:szCs w:val="24"/>
        </w:rPr>
        <w:t xml:space="preserve">replace the general </w:t>
      </w:r>
      <w:r w:rsidR="006958BD">
        <w:rPr>
          <w:rFonts w:ascii="Arial" w:hAnsi="Arial" w:cs="Arial"/>
          <w:i w:val="0"/>
          <w:szCs w:val="24"/>
        </w:rPr>
        <w:t xml:space="preserve">language of PRB </w:t>
      </w:r>
      <w:r w:rsidR="000825FD">
        <w:rPr>
          <w:rFonts w:ascii="Arial" w:hAnsi="Arial" w:cs="Arial"/>
          <w:i w:val="0"/>
          <w:szCs w:val="24"/>
        </w:rPr>
        <w:t xml:space="preserve">responsibilities with </w:t>
      </w:r>
      <w:r w:rsidR="006958BD">
        <w:rPr>
          <w:rFonts w:ascii="Arial" w:hAnsi="Arial" w:cs="Arial"/>
          <w:i w:val="0"/>
          <w:szCs w:val="24"/>
        </w:rPr>
        <w:t xml:space="preserve">a </w:t>
      </w:r>
      <w:r>
        <w:rPr>
          <w:rFonts w:ascii="Arial" w:hAnsi="Arial" w:cs="Arial"/>
          <w:i w:val="0"/>
          <w:szCs w:val="24"/>
        </w:rPr>
        <w:t xml:space="preserve">more detailed list </w:t>
      </w:r>
      <w:r w:rsidR="006958BD">
        <w:rPr>
          <w:rFonts w:ascii="Arial" w:hAnsi="Arial" w:cs="Arial"/>
          <w:i w:val="0"/>
          <w:szCs w:val="24"/>
        </w:rPr>
        <w:t xml:space="preserve">of </w:t>
      </w:r>
      <w:r>
        <w:rPr>
          <w:rFonts w:ascii="Arial" w:hAnsi="Arial" w:cs="Arial"/>
          <w:i w:val="0"/>
          <w:szCs w:val="24"/>
        </w:rPr>
        <w:t>responsibilities.</w:t>
      </w:r>
      <w:r w:rsidR="00E74DFE">
        <w:rPr>
          <w:rFonts w:ascii="Arial" w:hAnsi="Arial" w:cs="Arial"/>
          <w:i w:val="0"/>
          <w:szCs w:val="24"/>
        </w:rPr>
        <w:t xml:space="preserve"> The list is reflective of the current responsibilities of PRB.</w:t>
      </w:r>
    </w:p>
    <w:p w14:paraId="4B2DE9B6" w14:textId="77777777" w:rsidR="00AE0C03" w:rsidRDefault="00AE0C03" w:rsidP="005B478C">
      <w:pPr>
        <w:pStyle w:val="BodyText"/>
        <w:jc w:val="both"/>
        <w:rPr>
          <w:rFonts w:ascii="Arial" w:hAnsi="Arial" w:cs="Arial"/>
          <w:i w:val="0"/>
          <w:szCs w:val="24"/>
        </w:rPr>
      </w:pPr>
    </w:p>
    <w:p w14:paraId="3B6BC8DA" w14:textId="1E5B5546" w:rsidR="00AE0C03" w:rsidRDefault="00337B57" w:rsidP="005B478C">
      <w:pPr>
        <w:pStyle w:val="BodyText"/>
        <w:jc w:val="both"/>
        <w:rPr>
          <w:rFonts w:ascii="Arial" w:hAnsi="Arial" w:cs="Arial"/>
          <w:i w:val="0"/>
          <w:szCs w:val="24"/>
        </w:rPr>
      </w:pPr>
      <w:r w:rsidRPr="00337B57">
        <w:rPr>
          <w:rFonts w:ascii="Arial" w:hAnsi="Arial" w:cs="Arial"/>
          <w:b/>
          <w:i w:val="0"/>
          <w:szCs w:val="24"/>
          <w:u w:val="single"/>
        </w:rPr>
        <w:t>Lines 169-172</w:t>
      </w:r>
      <w:r>
        <w:rPr>
          <w:rFonts w:ascii="Arial" w:hAnsi="Arial" w:cs="Arial"/>
          <w:b/>
          <w:i w:val="0"/>
          <w:szCs w:val="24"/>
          <w:u w:val="single"/>
        </w:rPr>
        <w:t xml:space="preserve"> </w:t>
      </w:r>
      <w:r>
        <w:rPr>
          <w:rFonts w:ascii="Arial" w:hAnsi="Arial" w:cs="Arial"/>
          <w:i w:val="0"/>
          <w:szCs w:val="24"/>
        </w:rPr>
        <w:t>clarif</w:t>
      </w:r>
      <w:r w:rsidR="00F96203">
        <w:rPr>
          <w:rFonts w:ascii="Arial" w:hAnsi="Arial" w:cs="Arial"/>
          <w:i w:val="0"/>
          <w:szCs w:val="24"/>
        </w:rPr>
        <w:t>ies</w:t>
      </w:r>
      <w:r>
        <w:rPr>
          <w:rFonts w:ascii="Arial" w:hAnsi="Arial" w:cs="Arial"/>
          <w:i w:val="0"/>
          <w:szCs w:val="24"/>
        </w:rPr>
        <w:t xml:space="preserve"> that the PRB is advisory to the CIO in making decisions about funding releases, recommending budgetary changes, or suspensions or general shutdown of information technology projects. </w:t>
      </w:r>
      <w:r w:rsidR="00E13B23">
        <w:rPr>
          <w:rFonts w:ascii="Arial" w:hAnsi="Arial" w:cs="Arial"/>
          <w:i w:val="0"/>
          <w:szCs w:val="24"/>
        </w:rPr>
        <w:t>This is an important distinction to make because it</w:t>
      </w:r>
      <w:r w:rsidR="006958BD">
        <w:rPr>
          <w:rFonts w:ascii="Arial" w:hAnsi="Arial" w:cs="Arial"/>
          <w:i w:val="0"/>
          <w:szCs w:val="24"/>
        </w:rPr>
        <w:t xml:space="preserve"> is</w:t>
      </w:r>
      <w:r w:rsidR="00E13B23">
        <w:rPr>
          <w:rFonts w:ascii="Arial" w:hAnsi="Arial" w:cs="Arial"/>
          <w:i w:val="0"/>
          <w:szCs w:val="24"/>
        </w:rPr>
        <w:t xml:space="preserve"> not clear in </w:t>
      </w:r>
      <w:r w:rsidR="00911313">
        <w:rPr>
          <w:rFonts w:ascii="Arial" w:hAnsi="Arial" w:cs="Arial"/>
          <w:i w:val="0"/>
          <w:szCs w:val="24"/>
        </w:rPr>
        <w:t>either</w:t>
      </w:r>
      <w:r w:rsidR="00E13B23">
        <w:rPr>
          <w:rFonts w:ascii="Arial" w:hAnsi="Arial" w:cs="Arial"/>
          <w:i w:val="0"/>
          <w:szCs w:val="24"/>
        </w:rPr>
        <w:t xml:space="preserve"> the existing code </w:t>
      </w:r>
      <w:r w:rsidR="00911313">
        <w:rPr>
          <w:rFonts w:ascii="Arial" w:hAnsi="Arial" w:cs="Arial"/>
          <w:i w:val="0"/>
          <w:szCs w:val="24"/>
        </w:rPr>
        <w:t>or</w:t>
      </w:r>
      <w:r w:rsidR="00E13B23">
        <w:rPr>
          <w:rFonts w:ascii="Arial" w:hAnsi="Arial" w:cs="Arial"/>
          <w:i w:val="0"/>
          <w:szCs w:val="24"/>
        </w:rPr>
        <w:t xml:space="preserve"> practice who </w:t>
      </w:r>
      <w:r w:rsidR="00911313">
        <w:rPr>
          <w:rFonts w:ascii="Arial" w:hAnsi="Arial" w:cs="Arial"/>
          <w:i w:val="0"/>
          <w:szCs w:val="24"/>
        </w:rPr>
        <w:t>is</w:t>
      </w:r>
      <w:r w:rsidR="00E13B23">
        <w:rPr>
          <w:rFonts w:ascii="Arial" w:hAnsi="Arial" w:cs="Arial"/>
          <w:i w:val="0"/>
          <w:szCs w:val="24"/>
        </w:rPr>
        <w:t xml:space="preserve"> ultimately responsible for </w:t>
      </w:r>
      <w:r w:rsidR="00911313">
        <w:rPr>
          <w:rFonts w:ascii="Arial" w:hAnsi="Arial" w:cs="Arial"/>
          <w:i w:val="0"/>
          <w:szCs w:val="24"/>
        </w:rPr>
        <w:t xml:space="preserve">a </w:t>
      </w:r>
      <w:r w:rsidR="00E13B23">
        <w:rPr>
          <w:rFonts w:ascii="Arial" w:hAnsi="Arial" w:cs="Arial"/>
          <w:i w:val="0"/>
          <w:szCs w:val="24"/>
        </w:rPr>
        <w:t xml:space="preserve">funding release decision. </w:t>
      </w:r>
    </w:p>
    <w:p w14:paraId="464D9FD1" w14:textId="77777777" w:rsidR="00911313" w:rsidRDefault="00911313" w:rsidP="005B478C">
      <w:pPr>
        <w:pStyle w:val="BodyText"/>
        <w:jc w:val="both"/>
        <w:rPr>
          <w:rFonts w:ascii="Arial" w:hAnsi="Arial" w:cs="Arial"/>
          <w:i w:val="0"/>
          <w:szCs w:val="24"/>
        </w:rPr>
      </w:pPr>
    </w:p>
    <w:p w14:paraId="2AF8DC56" w14:textId="5639CBA0" w:rsidR="00911313" w:rsidRDefault="00911313" w:rsidP="005B478C">
      <w:pPr>
        <w:pStyle w:val="BodyText"/>
        <w:jc w:val="both"/>
        <w:rPr>
          <w:rFonts w:ascii="Arial" w:hAnsi="Arial" w:cs="Arial"/>
          <w:i w:val="0"/>
          <w:szCs w:val="24"/>
        </w:rPr>
      </w:pPr>
      <w:r>
        <w:rPr>
          <w:rFonts w:ascii="Arial" w:hAnsi="Arial" w:cs="Arial"/>
          <w:i w:val="0"/>
          <w:szCs w:val="24"/>
        </w:rPr>
        <w:t>The following table summarizes the proposed amendment changes by line number.</w:t>
      </w:r>
    </w:p>
    <w:p w14:paraId="0245A4CD" w14:textId="77777777" w:rsidR="00911313" w:rsidRDefault="00911313">
      <w:pPr>
        <w:rPr>
          <w:rFonts w:ascii="Arial" w:hAnsi="Arial" w:cs="Arial"/>
          <w:szCs w:val="24"/>
        </w:rPr>
      </w:pPr>
      <w:r>
        <w:rPr>
          <w:rFonts w:ascii="Arial" w:hAnsi="Arial" w:cs="Arial"/>
          <w:i/>
          <w:szCs w:val="24"/>
        </w:rPr>
        <w:br w:type="page"/>
      </w:r>
    </w:p>
    <w:p w14:paraId="2FF3948E" w14:textId="77777777" w:rsidR="006958BD" w:rsidRPr="006958BD" w:rsidRDefault="006958BD" w:rsidP="006958BD">
      <w:pPr>
        <w:pStyle w:val="BodyText"/>
        <w:jc w:val="center"/>
        <w:rPr>
          <w:rFonts w:ascii="Arial" w:hAnsi="Arial" w:cs="Arial"/>
          <w:b/>
          <w:i w:val="0"/>
          <w:szCs w:val="24"/>
        </w:rPr>
      </w:pPr>
      <w:r w:rsidRPr="006958BD">
        <w:rPr>
          <w:rFonts w:ascii="Arial" w:hAnsi="Arial" w:cs="Arial"/>
          <w:b/>
          <w:i w:val="0"/>
          <w:szCs w:val="24"/>
        </w:rPr>
        <w:lastRenderedPageBreak/>
        <w:t xml:space="preserve">Striking Amendment </w:t>
      </w:r>
      <w:r w:rsidR="00E60306">
        <w:rPr>
          <w:rFonts w:ascii="Arial" w:hAnsi="Arial" w:cs="Arial"/>
          <w:b/>
          <w:i w:val="0"/>
          <w:szCs w:val="24"/>
        </w:rPr>
        <w:t xml:space="preserve">Changes </w:t>
      </w:r>
      <w:r w:rsidRPr="006958BD">
        <w:rPr>
          <w:rFonts w:ascii="Arial" w:hAnsi="Arial" w:cs="Arial"/>
          <w:b/>
          <w:i w:val="0"/>
          <w:szCs w:val="24"/>
        </w:rPr>
        <w:t xml:space="preserve">to PO 2016-0464 </w:t>
      </w:r>
    </w:p>
    <w:tbl>
      <w:tblPr>
        <w:tblStyle w:val="TableGrid"/>
        <w:tblW w:w="0" w:type="auto"/>
        <w:tblLook w:val="04A0" w:firstRow="1" w:lastRow="0" w:firstColumn="1" w:lastColumn="0" w:noHBand="0" w:noVBand="1"/>
      </w:tblPr>
      <w:tblGrid>
        <w:gridCol w:w="1818"/>
        <w:gridCol w:w="7758"/>
      </w:tblGrid>
      <w:tr w:rsidR="00A6507B" w14:paraId="18E05C35" w14:textId="77777777" w:rsidTr="00911313">
        <w:tc>
          <w:tcPr>
            <w:tcW w:w="1818" w:type="dxa"/>
          </w:tcPr>
          <w:p w14:paraId="695A6CE7" w14:textId="309AC375" w:rsidR="00A6507B" w:rsidRPr="006958BD" w:rsidRDefault="00911313" w:rsidP="005B478C">
            <w:pPr>
              <w:pStyle w:val="BodyText"/>
              <w:jc w:val="both"/>
              <w:rPr>
                <w:rFonts w:ascii="Arial" w:hAnsi="Arial" w:cs="Arial"/>
                <w:b/>
                <w:i w:val="0"/>
                <w:szCs w:val="24"/>
              </w:rPr>
            </w:pPr>
            <w:r>
              <w:rPr>
                <w:rFonts w:ascii="Arial" w:hAnsi="Arial" w:cs="Arial"/>
                <w:b/>
                <w:i w:val="0"/>
                <w:szCs w:val="24"/>
              </w:rPr>
              <w:t>Line numbers</w:t>
            </w:r>
          </w:p>
        </w:tc>
        <w:tc>
          <w:tcPr>
            <w:tcW w:w="7758" w:type="dxa"/>
          </w:tcPr>
          <w:p w14:paraId="4D10CEF5" w14:textId="77777777" w:rsidR="00A6507B" w:rsidRPr="006958BD" w:rsidRDefault="00A6507B" w:rsidP="005B478C">
            <w:pPr>
              <w:pStyle w:val="BodyText"/>
              <w:jc w:val="both"/>
              <w:rPr>
                <w:rFonts w:ascii="Arial" w:hAnsi="Arial" w:cs="Arial"/>
                <w:b/>
                <w:i w:val="0"/>
                <w:szCs w:val="24"/>
              </w:rPr>
            </w:pPr>
            <w:r w:rsidRPr="006958BD">
              <w:rPr>
                <w:rFonts w:ascii="Arial" w:hAnsi="Arial" w:cs="Arial"/>
                <w:b/>
                <w:i w:val="0"/>
                <w:szCs w:val="24"/>
              </w:rPr>
              <w:t>Explanation</w:t>
            </w:r>
          </w:p>
        </w:tc>
      </w:tr>
      <w:tr w:rsidR="00E13B23" w14:paraId="329B811A" w14:textId="77777777" w:rsidTr="00911313">
        <w:tc>
          <w:tcPr>
            <w:tcW w:w="1818" w:type="dxa"/>
          </w:tcPr>
          <w:p w14:paraId="723E1081" w14:textId="77777777" w:rsidR="00E13B23" w:rsidRDefault="00A6507B" w:rsidP="00DD4362">
            <w:pPr>
              <w:pStyle w:val="BodyText"/>
              <w:jc w:val="both"/>
              <w:rPr>
                <w:rFonts w:ascii="Arial" w:hAnsi="Arial" w:cs="Arial"/>
                <w:i w:val="0"/>
                <w:szCs w:val="24"/>
              </w:rPr>
            </w:pPr>
            <w:r>
              <w:rPr>
                <w:rFonts w:ascii="Arial" w:hAnsi="Arial" w:cs="Arial"/>
                <w:i w:val="0"/>
                <w:szCs w:val="24"/>
              </w:rPr>
              <w:t xml:space="preserve">143-144 </w:t>
            </w:r>
          </w:p>
        </w:tc>
        <w:tc>
          <w:tcPr>
            <w:tcW w:w="7758" w:type="dxa"/>
          </w:tcPr>
          <w:p w14:paraId="520C07FE" w14:textId="02E1B9B1" w:rsidR="00E13B23" w:rsidRDefault="00DD4362" w:rsidP="005B478C">
            <w:pPr>
              <w:pStyle w:val="BodyText"/>
              <w:jc w:val="both"/>
              <w:rPr>
                <w:rFonts w:ascii="Arial" w:hAnsi="Arial" w:cs="Arial"/>
                <w:i w:val="0"/>
                <w:szCs w:val="24"/>
              </w:rPr>
            </w:pPr>
            <w:r>
              <w:rPr>
                <w:rFonts w:ascii="Arial" w:hAnsi="Arial" w:cs="Arial"/>
                <w:i w:val="0"/>
                <w:szCs w:val="24"/>
              </w:rPr>
              <w:t>Deletes redundant language</w:t>
            </w:r>
            <w:r w:rsidR="00911313">
              <w:rPr>
                <w:rFonts w:ascii="Arial" w:hAnsi="Arial" w:cs="Arial"/>
                <w:i w:val="0"/>
                <w:szCs w:val="24"/>
              </w:rPr>
              <w:t>.</w:t>
            </w:r>
          </w:p>
        </w:tc>
      </w:tr>
      <w:tr w:rsidR="00E13B23" w14:paraId="394E4D9C" w14:textId="77777777" w:rsidTr="00911313">
        <w:tc>
          <w:tcPr>
            <w:tcW w:w="1818" w:type="dxa"/>
          </w:tcPr>
          <w:p w14:paraId="12B49685" w14:textId="77777777" w:rsidR="00E13B23" w:rsidRDefault="00DD4362" w:rsidP="005B478C">
            <w:pPr>
              <w:pStyle w:val="BodyText"/>
              <w:jc w:val="both"/>
              <w:rPr>
                <w:rFonts w:ascii="Arial" w:hAnsi="Arial" w:cs="Arial"/>
                <w:i w:val="0"/>
                <w:szCs w:val="24"/>
              </w:rPr>
            </w:pPr>
            <w:r>
              <w:rPr>
                <w:rFonts w:ascii="Arial" w:hAnsi="Arial" w:cs="Arial"/>
                <w:i w:val="0"/>
                <w:szCs w:val="24"/>
              </w:rPr>
              <w:t xml:space="preserve">150-153 </w:t>
            </w:r>
          </w:p>
        </w:tc>
        <w:tc>
          <w:tcPr>
            <w:tcW w:w="7758" w:type="dxa"/>
          </w:tcPr>
          <w:p w14:paraId="34FF1827" w14:textId="77777777" w:rsidR="00E13B23" w:rsidRDefault="00E60306" w:rsidP="00E60306">
            <w:pPr>
              <w:pStyle w:val="BodyText"/>
              <w:jc w:val="both"/>
              <w:rPr>
                <w:rFonts w:ascii="Arial" w:hAnsi="Arial" w:cs="Arial"/>
                <w:i w:val="0"/>
                <w:szCs w:val="24"/>
              </w:rPr>
            </w:pPr>
            <w:r>
              <w:rPr>
                <w:rFonts w:ascii="Arial" w:hAnsi="Arial" w:cs="Arial"/>
                <w:i w:val="0"/>
                <w:szCs w:val="24"/>
              </w:rPr>
              <w:t xml:space="preserve">This </w:t>
            </w:r>
            <w:r w:rsidR="00A6507B">
              <w:rPr>
                <w:rFonts w:ascii="Arial" w:hAnsi="Arial" w:cs="Arial"/>
                <w:i w:val="0"/>
                <w:szCs w:val="24"/>
              </w:rPr>
              <w:t xml:space="preserve">language </w:t>
            </w:r>
            <w:r>
              <w:rPr>
                <w:rFonts w:ascii="Arial" w:hAnsi="Arial" w:cs="Arial"/>
                <w:i w:val="0"/>
                <w:szCs w:val="24"/>
              </w:rPr>
              <w:t xml:space="preserve">on the role of CIO </w:t>
            </w:r>
            <w:r w:rsidR="00A6507B">
              <w:rPr>
                <w:rFonts w:ascii="Arial" w:hAnsi="Arial" w:cs="Arial"/>
                <w:i w:val="0"/>
                <w:szCs w:val="24"/>
              </w:rPr>
              <w:t xml:space="preserve">is moved </w:t>
            </w:r>
            <w:r w:rsidR="00DD4362">
              <w:rPr>
                <w:rFonts w:ascii="Arial" w:hAnsi="Arial" w:cs="Arial"/>
                <w:i w:val="0"/>
                <w:szCs w:val="24"/>
              </w:rPr>
              <w:t xml:space="preserve">from lines 69-74 </w:t>
            </w:r>
            <w:r w:rsidR="00A6507B">
              <w:rPr>
                <w:rFonts w:ascii="Arial" w:hAnsi="Arial" w:cs="Arial"/>
                <w:i w:val="0"/>
                <w:szCs w:val="24"/>
              </w:rPr>
              <w:t xml:space="preserve">to </w:t>
            </w:r>
            <w:r w:rsidR="00DD4362">
              <w:rPr>
                <w:rFonts w:ascii="Arial" w:hAnsi="Arial" w:cs="Arial"/>
                <w:i w:val="0"/>
                <w:szCs w:val="24"/>
              </w:rPr>
              <w:t xml:space="preserve">150-153 to </w:t>
            </w:r>
            <w:r>
              <w:rPr>
                <w:rFonts w:ascii="Arial" w:hAnsi="Arial" w:cs="Arial"/>
                <w:i w:val="0"/>
                <w:szCs w:val="24"/>
              </w:rPr>
              <w:t xml:space="preserve">better </w:t>
            </w:r>
            <w:r w:rsidR="00A6507B">
              <w:rPr>
                <w:rFonts w:ascii="Arial" w:hAnsi="Arial" w:cs="Arial"/>
                <w:i w:val="0"/>
                <w:szCs w:val="24"/>
              </w:rPr>
              <w:t>match the organization of this section of code.</w:t>
            </w:r>
          </w:p>
        </w:tc>
      </w:tr>
      <w:tr w:rsidR="00E13B23" w14:paraId="4D3220CA" w14:textId="77777777" w:rsidTr="00911313">
        <w:tc>
          <w:tcPr>
            <w:tcW w:w="1818" w:type="dxa"/>
          </w:tcPr>
          <w:p w14:paraId="0C04316B" w14:textId="77777777" w:rsidR="00E13B23" w:rsidRDefault="00DD4362" w:rsidP="005B478C">
            <w:pPr>
              <w:pStyle w:val="BodyText"/>
              <w:jc w:val="both"/>
              <w:rPr>
                <w:rFonts w:ascii="Arial" w:hAnsi="Arial" w:cs="Arial"/>
                <w:i w:val="0"/>
                <w:szCs w:val="24"/>
              </w:rPr>
            </w:pPr>
            <w:r>
              <w:rPr>
                <w:rFonts w:ascii="Arial" w:hAnsi="Arial" w:cs="Arial"/>
                <w:i w:val="0"/>
                <w:szCs w:val="24"/>
              </w:rPr>
              <w:t xml:space="preserve">156-157 </w:t>
            </w:r>
          </w:p>
        </w:tc>
        <w:tc>
          <w:tcPr>
            <w:tcW w:w="7758" w:type="dxa"/>
          </w:tcPr>
          <w:p w14:paraId="17E87DE3" w14:textId="6B67CFFB" w:rsidR="00E13B23" w:rsidRDefault="00E60306" w:rsidP="00911313">
            <w:pPr>
              <w:pStyle w:val="BodyText"/>
              <w:jc w:val="both"/>
              <w:rPr>
                <w:rFonts w:ascii="Arial" w:hAnsi="Arial" w:cs="Arial"/>
                <w:i w:val="0"/>
                <w:szCs w:val="24"/>
              </w:rPr>
            </w:pPr>
            <w:r>
              <w:rPr>
                <w:rFonts w:ascii="Arial" w:hAnsi="Arial" w:cs="Arial"/>
                <w:i w:val="0"/>
                <w:szCs w:val="24"/>
              </w:rPr>
              <w:t xml:space="preserve">Clarifies the role of the Office of Chief Information Officer as </w:t>
            </w:r>
            <w:r w:rsidR="00911313">
              <w:rPr>
                <w:rFonts w:ascii="Arial" w:hAnsi="Arial" w:cs="Arial"/>
                <w:i w:val="0"/>
                <w:szCs w:val="24"/>
              </w:rPr>
              <w:t xml:space="preserve">providing </w:t>
            </w:r>
            <w:r w:rsidR="00A6507B">
              <w:rPr>
                <w:rFonts w:ascii="Arial" w:hAnsi="Arial" w:cs="Arial"/>
                <w:i w:val="0"/>
                <w:szCs w:val="24"/>
              </w:rPr>
              <w:t>support to the CIO</w:t>
            </w:r>
            <w:r w:rsidR="00911313">
              <w:rPr>
                <w:rFonts w:ascii="Arial" w:hAnsi="Arial" w:cs="Arial"/>
                <w:i w:val="0"/>
                <w:szCs w:val="24"/>
              </w:rPr>
              <w:t>.</w:t>
            </w:r>
          </w:p>
        </w:tc>
      </w:tr>
      <w:tr w:rsidR="00E13B23" w14:paraId="6DEE87E6" w14:textId="77777777" w:rsidTr="00911313">
        <w:tc>
          <w:tcPr>
            <w:tcW w:w="1818" w:type="dxa"/>
          </w:tcPr>
          <w:p w14:paraId="1720CF7C" w14:textId="77777777" w:rsidR="00E13B23" w:rsidRDefault="00A6507B" w:rsidP="00DD4362">
            <w:pPr>
              <w:pStyle w:val="BodyText"/>
              <w:jc w:val="both"/>
              <w:rPr>
                <w:rFonts w:ascii="Arial" w:hAnsi="Arial" w:cs="Arial"/>
                <w:i w:val="0"/>
                <w:szCs w:val="24"/>
              </w:rPr>
            </w:pPr>
            <w:r>
              <w:rPr>
                <w:rFonts w:ascii="Arial" w:hAnsi="Arial" w:cs="Arial"/>
                <w:i w:val="0"/>
                <w:szCs w:val="24"/>
              </w:rPr>
              <w:t xml:space="preserve">163-167 </w:t>
            </w:r>
          </w:p>
        </w:tc>
        <w:tc>
          <w:tcPr>
            <w:tcW w:w="7758" w:type="dxa"/>
          </w:tcPr>
          <w:p w14:paraId="60C48350" w14:textId="186BD23F" w:rsidR="00E13B23" w:rsidRDefault="00A6507B" w:rsidP="005B478C">
            <w:pPr>
              <w:pStyle w:val="BodyText"/>
              <w:jc w:val="both"/>
              <w:rPr>
                <w:rFonts w:ascii="Arial" w:hAnsi="Arial" w:cs="Arial"/>
                <w:i w:val="0"/>
                <w:szCs w:val="24"/>
              </w:rPr>
            </w:pPr>
            <w:r>
              <w:rPr>
                <w:rFonts w:ascii="Arial" w:hAnsi="Arial" w:cs="Arial"/>
                <w:i w:val="0"/>
                <w:szCs w:val="24"/>
              </w:rPr>
              <w:t>Revises the description of the project oversight role in the office of the CIO</w:t>
            </w:r>
            <w:r w:rsidR="00911313">
              <w:rPr>
                <w:rFonts w:ascii="Arial" w:hAnsi="Arial" w:cs="Arial"/>
                <w:i w:val="0"/>
                <w:szCs w:val="24"/>
              </w:rPr>
              <w:t>.</w:t>
            </w:r>
          </w:p>
        </w:tc>
      </w:tr>
      <w:tr w:rsidR="00E13B23" w14:paraId="238A6F6B" w14:textId="77777777" w:rsidTr="00911313">
        <w:tc>
          <w:tcPr>
            <w:tcW w:w="1818" w:type="dxa"/>
          </w:tcPr>
          <w:p w14:paraId="72E07BB6" w14:textId="77777777" w:rsidR="00E13B23" w:rsidRDefault="00DD4362" w:rsidP="005B478C">
            <w:pPr>
              <w:pStyle w:val="BodyText"/>
              <w:jc w:val="both"/>
              <w:rPr>
                <w:rFonts w:ascii="Arial" w:hAnsi="Arial" w:cs="Arial"/>
                <w:i w:val="0"/>
                <w:szCs w:val="24"/>
              </w:rPr>
            </w:pPr>
            <w:r>
              <w:rPr>
                <w:rFonts w:ascii="Arial" w:hAnsi="Arial" w:cs="Arial"/>
                <w:i w:val="0"/>
                <w:szCs w:val="24"/>
              </w:rPr>
              <w:t xml:space="preserve">177 </w:t>
            </w:r>
            <w:r w:rsidR="00A6507B">
              <w:rPr>
                <w:rFonts w:ascii="Arial" w:hAnsi="Arial" w:cs="Arial"/>
                <w:i w:val="0"/>
                <w:szCs w:val="24"/>
              </w:rPr>
              <w:t xml:space="preserve"> </w:t>
            </w:r>
          </w:p>
        </w:tc>
        <w:tc>
          <w:tcPr>
            <w:tcW w:w="7758" w:type="dxa"/>
          </w:tcPr>
          <w:p w14:paraId="28F6EA62" w14:textId="2F3E4252" w:rsidR="00E13B23" w:rsidRDefault="00DD4362" w:rsidP="00DD4362">
            <w:pPr>
              <w:pStyle w:val="BodyText"/>
              <w:jc w:val="both"/>
              <w:rPr>
                <w:rFonts w:ascii="Arial" w:hAnsi="Arial" w:cs="Arial"/>
                <w:i w:val="0"/>
                <w:szCs w:val="24"/>
              </w:rPr>
            </w:pPr>
            <w:r>
              <w:rPr>
                <w:rFonts w:ascii="Arial" w:hAnsi="Arial" w:cs="Arial"/>
                <w:i w:val="0"/>
                <w:szCs w:val="24"/>
              </w:rPr>
              <w:t>Change</w:t>
            </w:r>
            <w:r w:rsidR="00911313">
              <w:rPr>
                <w:rFonts w:ascii="Arial" w:hAnsi="Arial" w:cs="Arial"/>
                <w:i w:val="0"/>
                <w:szCs w:val="24"/>
              </w:rPr>
              <w:t>s</w:t>
            </w:r>
            <w:r w:rsidR="00A6507B">
              <w:rPr>
                <w:rFonts w:ascii="Arial" w:hAnsi="Arial" w:cs="Arial"/>
                <w:i w:val="0"/>
                <w:szCs w:val="24"/>
              </w:rPr>
              <w:t xml:space="preserve"> verb tense</w:t>
            </w:r>
            <w:r w:rsidR="00911313">
              <w:rPr>
                <w:rFonts w:ascii="Arial" w:hAnsi="Arial" w:cs="Arial"/>
                <w:i w:val="0"/>
                <w:szCs w:val="24"/>
              </w:rPr>
              <w:t>.</w:t>
            </w:r>
            <w:r>
              <w:rPr>
                <w:rFonts w:ascii="Arial" w:hAnsi="Arial" w:cs="Arial"/>
                <w:i w:val="0"/>
                <w:szCs w:val="24"/>
              </w:rPr>
              <w:t xml:space="preserve"> </w:t>
            </w:r>
          </w:p>
        </w:tc>
      </w:tr>
      <w:tr w:rsidR="00E13B23" w14:paraId="2D7810F9" w14:textId="77777777" w:rsidTr="00911313">
        <w:tc>
          <w:tcPr>
            <w:tcW w:w="1818" w:type="dxa"/>
          </w:tcPr>
          <w:p w14:paraId="10E13018" w14:textId="77777777" w:rsidR="00E13B23" w:rsidRDefault="00DD4362" w:rsidP="005B478C">
            <w:pPr>
              <w:pStyle w:val="BodyText"/>
              <w:jc w:val="both"/>
              <w:rPr>
                <w:rFonts w:ascii="Arial" w:hAnsi="Arial" w:cs="Arial"/>
                <w:i w:val="0"/>
                <w:szCs w:val="24"/>
              </w:rPr>
            </w:pPr>
            <w:r>
              <w:rPr>
                <w:rFonts w:ascii="Arial" w:hAnsi="Arial" w:cs="Arial"/>
                <w:i w:val="0"/>
                <w:szCs w:val="24"/>
              </w:rPr>
              <w:t>162-183</w:t>
            </w:r>
          </w:p>
        </w:tc>
        <w:tc>
          <w:tcPr>
            <w:tcW w:w="7758" w:type="dxa"/>
          </w:tcPr>
          <w:p w14:paraId="29FEC27D" w14:textId="08A2B9D6" w:rsidR="00E13B23" w:rsidRDefault="00A6507B" w:rsidP="008F79E9">
            <w:pPr>
              <w:pStyle w:val="BodyText"/>
              <w:jc w:val="both"/>
              <w:rPr>
                <w:rFonts w:ascii="Arial" w:hAnsi="Arial" w:cs="Arial"/>
                <w:i w:val="0"/>
                <w:szCs w:val="24"/>
              </w:rPr>
            </w:pPr>
            <w:r>
              <w:rPr>
                <w:rFonts w:ascii="Arial" w:hAnsi="Arial" w:cs="Arial"/>
                <w:i w:val="0"/>
                <w:szCs w:val="24"/>
              </w:rPr>
              <w:t>Renumbers the list of items</w:t>
            </w:r>
            <w:r w:rsidR="00911313">
              <w:rPr>
                <w:rFonts w:ascii="Arial" w:hAnsi="Arial" w:cs="Arial"/>
                <w:i w:val="0"/>
                <w:szCs w:val="24"/>
              </w:rPr>
              <w:t xml:space="preserve">, </w:t>
            </w:r>
            <w:r>
              <w:rPr>
                <w:rFonts w:ascii="Arial" w:hAnsi="Arial" w:cs="Arial"/>
                <w:i w:val="0"/>
                <w:szCs w:val="24"/>
              </w:rPr>
              <w:t>changes the verb tense and clarifies the role of the Office of the CIO in recommending information technology policies and standards</w:t>
            </w:r>
            <w:r w:rsidR="00DD4362">
              <w:rPr>
                <w:rFonts w:ascii="Arial" w:hAnsi="Arial" w:cs="Arial"/>
                <w:i w:val="0"/>
                <w:szCs w:val="24"/>
              </w:rPr>
              <w:t xml:space="preserve">. </w:t>
            </w:r>
            <w:r w:rsidR="008F79E9" w:rsidRPr="008F79E9">
              <w:rPr>
                <w:rFonts w:ascii="Arial" w:hAnsi="Arial" w:cs="Arial"/>
                <w:i w:val="0"/>
                <w:szCs w:val="24"/>
              </w:rPr>
              <w:t xml:space="preserve">Deletes </w:t>
            </w:r>
            <w:r w:rsidR="00DD4362" w:rsidRPr="008F79E9">
              <w:rPr>
                <w:rFonts w:ascii="Arial" w:hAnsi="Arial" w:cs="Arial"/>
                <w:i w:val="0"/>
                <w:szCs w:val="24"/>
              </w:rPr>
              <w:t xml:space="preserve">the responsibility </w:t>
            </w:r>
            <w:r w:rsidR="008F79E9">
              <w:rPr>
                <w:rFonts w:ascii="Arial" w:hAnsi="Arial" w:cs="Arial"/>
                <w:i w:val="0"/>
                <w:szCs w:val="24"/>
              </w:rPr>
              <w:t>from the CIO duties of recommending technology equipment standards. This is assumed to be part of the duties of the infrastructure and operations division (lines 208-210).</w:t>
            </w:r>
          </w:p>
        </w:tc>
      </w:tr>
      <w:tr w:rsidR="00E13B23" w14:paraId="630ABC83" w14:textId="77777777" w:rsidTr="00911313">
        <w:tc>
          <w:tcPr>
            <w:tcW w:w="1818" w:type="dxa"/>
          </w:tcPr>
          <w:p w14:paraId="722FF8F2" w14:textId="77777777" w:rsidR="00E13B23" w:rsidRDefault="00816F9D" w:rsidP="005B478C">
            <w:pPr>
              <w:pStyle w:val="BodyText"/>
              <w:jc w:val="both"/>
              <w:rPr>
                <w:rFonts w:ascii="Arial" w:hAnsi="Arial" w:cs="Arial"/>
                <w:i w:val="0"/>
                <w:szCs w:val="24"/>
              </w:rPr>
            </w:pPr>
            <w:r>
              <w:rPr>
                <w:rFonts w:ascii="Arial" w:hAnsi="Arial" w:cs="Arial"/>
                <w:i w:val="0"/>
                <w:szCs w:val="24"/>
              </w:rPr>
              <w:t>175-183</w:t>
            </w:r>
          </w:p>
        </w:tc>
        <w:tc>
          <w:tcPr>
            <w:tcW w:w="7758" w:type="dxa"/>
          </w:tcPr>
          <w:p w14:paraId="356E499C" w14:textId="77777777" w:rsidR="00E13B23" w:rsidRDefault="00A6507B" w:rsidP="005B478C">
            <w:pPr>
              <w:pStyle w:val="BodyText"/>
              <w:jc w:val="both"/>
              <w:rPr>
                <w:rFonts w:ascii="Arial" w:hAnsi="Arial" w:cs="Arial"/>
                <w:i w:val="0"/>
                <w:szCs w:val="24"/>
              </w:rPr>
            </w:pPr>
            <w:r>
              <w:rPr>
                <w:rFonts w:ascii="Arial" w:hAnsi="Arial" w:cs="Arial"/>
                <w:i w:val="0"/>
                <w:szCs w:val="24"/>
              </w:rPr>
              <w:t>Adds a business engagement and service delivery role to the office of the chief information officer.</w:t>
            </w:r>
          </w:p>
        </w:tc>
      </w:tr>
      <w:tr w:rsidR="00E13B23" w14:paraId="240DC90D" w14:textId="77777777" w:rsidTr="00911313">
        <w:tc>
          <w:tcPr>
            <w:tcW w:w="1818" w:type="dxa"/>
          </w:tcPr>
          <w:p w14:paraId="2DEEDB70" w14:textId="77777777" w:rsidR="00E13B23" w:rsidRDefault="00816F9D" w:rsidP="005B478C">
            <w:pPr>
              <w:pStyle w:val="BodyText"/>
              <w:jc w:val="both"/>
              <w:rPr>
                <w:rFonts w:ascii="Arial" w:hAnsi="Arial" w:cs="Arial"/>
                <w:i w:val="0"/>
                <w:szCs w:val="24"/>
              </w:rPr>
            </w:pPr>
            <w:r>
              <w:rPr>
                <w:rFonts w:ascii="Arial" w:hAnsi="Arial" w:cs="Arial"/>
                <w:i w:val="0"/>
                <w:szCs w:val="24"/>
              </w:rPr>
              <w:t>200-204</w:t>
            </w:r>
            <w:r w:rsidR="00DA5C71">
              <w:rPr>
                <w:rFonts w:ascii="Arial" w:hAnsi="Arial" w:cs="Arial"/>
                <w:i w:val="0"/>
                <w:szCs w:val="24"/>
              </w:rPr>
              <w:t xml:space="preserve"> </w:t>
            </w:r>
          </w:p>
        </w:tc>
        <w:tc>
          <w:tcPr>
            <w:tcW w:w="7758" w:type="dxa"/>
          </w:tcPr>
          <w:p w14:paraId="3F65161A" w14:textId="7B2B7A1F" w:rsidR="00E13B23" w:rsidRDefault="00DA5C71" w:rsidP="005B478C">
            <w:pPr>
              <w:pStyle w:val="BodyText"/>
              <w:jc w:val="both"/>
              <w:rPr>
                <w:rFonts w:ascii="Arial" w:hAnsi="Arial" w:cs="Arial"/>
                <w:i w:val="0"/>
                <w:szCs w:val="24"/>
              </w:rPr>
            </w:pPr>
            <w:r>
              <w:rPr>
                <w:rFonts w:ascii="Arial" w:hAnsi="Arial" w:cs="Arial"/>
                <w:i w:val="0"/>
                <w:szCs w:val="24"/>
              </w:rPr>
              <w:t>Clarifies the description of the project management role in the enterprise business services division</w:t>
            </w:r>
            <w:r w:rsidR="00911313">
              <w:rPr>
                <w:rFonts w:ascii="Arial" w:hAnsi="Arial" w:cs="Arial"/>
                <w:i w:val="0"/>
                <w:szCs w:val="24"/>
              </w:rPr>
              <w:t>.</w:t>
            </w:r>
          </w:p>
        </w:tc>
      </w:tr>
      <w:tr w:rsidR="00E13B23" w14:paraId="3B4B25DC" w14:textId="77777777" w:rsidTr="00911313">
        <w:tc>
          <w:tcPr>
            <w:tcW w:w="1818" w:type="dxa"/>
          </w:tcPr>
          <w:p w14:paraId="3FE6B6E3" w14:textId="77777777" w:rsidR="00E13B23" w:rsidRDefault="00EA5F52" w:rsidP="005B478C">
            <w:pPr>
              <w:pStyle w:val="BodyText"/>
              <w:jc w:val="both"/>
              <w:rPr>
                <w:rFonts w:ascii="Arial" w:hAnsi="Arial" w:cs="Arial"/>
                <w:i w:val="0"/>
                <w:szCs w:val="24"/>
              </w:rPr>
            </w:pPr>
            <w:r>
              <w:rPr>
                <w:rFonts w:ascii="Arial" w:hAnsi="Arial" w:cs="Arial"/>
                <w:i w:val="0"/>
                <w:szCs w:val="24"/>
              </w:rPr>
              <w:t>251-252</w:t>
            </w:r>
            <w:r w:rsidR="005030AE">
              <w:rPr>
                <w:rFonts w:ascii="Arial" w:hAnsi="Arial" w:cs="Arial"/>
                <w:i w:val="0"/>
                <w:szCs w:val="24"/>
              </w:rPr>
              <w:t xml:space="preserve"> </w:t>
            </w:r>
          </w:p>
        </w:tc>
        <w:tc>
          <w:tcPr>
            <w:tcW w:w="7758" w:type="dxa"/>
          </w:tcPr>
          <w:p w14:paraId="11030107" w14:textId="4DF8FC69" w:rsidR="00E13B23" w:rsidRDefault="00EA5F52" w:rsidP="005B478C">
            <w:pPr>
              <w:pStyle w:val="BodyText"/>
              <w:jc w:val="both"/>
              <w:rPr>
                <w:rFonts w:ascii="Arial" w:hAnsi="Arial" w:cs="Arial"/>
                <w:i w:val="0"/>
                <w:szCs w:val="24"/>
              </w:rPr>
            </w:pPr>
            <w:r>
              <w:rPr>
                <w:rFonts w:ascii="Arial" w:hAnsi="Arial" w:cs="Arial"/>
                <w:i w:val="0"/>
                <w:szCs w:val="24"/>
              </w:rPr>
              <w:t xml:space="preserve">Better states </w:t>
            </w:r>
            <w:r w:rsidR="005030AE">
              <w:rPr>
                <w:rFonts w:ascii="Arial" w:hAnsi="Arial" w:cs="Arial"/>
                <w:i w:val="0"/>
                <w:szCs w:val="24"/>
              </w:rPr>
              <w:t>the requirement for the strategic information technology plan to include a vision for coordination of technology management and investment</w:t>
            </w:r>
            <w:r w:rsidR="00911313">
              <w:rPr>
                <w:rFonts w:ascii="Arial" w:hAnsi="Arial" w:cs="Arial"/>
                <w:i w:val="0"/>
                <w:szCs w:val="24"/>
              </w:rPr>
              <w:t>.</w:t>
            </w:r>
            <w:r w:rsidR="005030AE">
              <w:rPr>
                <w:rFonts w:ascii="Arial" w:hAnsi="Arial" w:cs="Arial"/>
                <w:i w:val="0"/>
                <w:szCs w:val="24"/>
              </w:rPr>
              <w:t xml:space="preserve"> </w:t>
            </w:r>
          </w:p>
        </w:tc>
      </w:tr>
      <w:tr w:rsidR="00E13B23" w14:paraId="599CAC9F" w14:textId="77777777" w:rsidTr="00911313">
        <w:tc>
          <w:tcPr>
            <w:tcW w:w="1818" w:type="dxa"/>
          </w:tcPr>
          <w:p w14:paraId="4CF84B3A" w14:textId="77777777" w:rsidR="00E13B23" w:rsidRDefault="00EA5F52" w:rsidP="005B478C">
            <w:pPr>
              <w:pStyle w:val="BodyText"/>
              <w:jc w:val="both"/>
              <w:rPr>
                <w:rFonts w:ascii="Arial" w:hAnsi="Arial" w:cs="Arial"/>
                <w:i w:val="0"/>
                <w:szCs w:val="24"/>
              </w:rPr>
            </w:pPr>
            <w:r>
              <w:rPr>
                <w:rFonts w:ascii="Arial" w:hAnsi="Arial" w:cs="Arial"/>
                <w:i w:val="0"/>
                <w:szCs w:val="24"/>
              </w:rPr>
              <w:t>250-260</w:t>
            </w:r>
          </w:p>
        </w:tc>
        <w:tc>
          <w:tcPr>
            <w:tcW w:w="7758" w:type="dxa"/>
          </w:tcPr>
          <w:p w14:paraId="6C6AD5E5" w14:textId="63F8305E" w:rsidR="00E13B23" w:rsidRDefault="005030AE" w:rsidP="005B478C">
            <w:pPr>
              <w:pStyle w:val="BodyText"/>
              <w:jc w:val="both"/>
              <w:rPr>
                <w:rFonts w:ascii="Arial" w:hAnsi="Arial" w:cs="Arial"/>
                <w:i w:val="0"/>
                <w:szCs w:val="24"/>
              </w:rPr>
            </w:pPr>
            <w:r>
              <w:rPr>
                <w:rFonts w:ascii="Arial" w:hAnsi="Arial" w:cs="Arial"/>
                <w:i w:val="0"/>
                <w:szCs w:val="24"/>
              </w:rPr>
              <w:t>Renumbers the list of items</w:t>
            </w:r>
            <w:r w:rsidR="00911313">
              <w:rPr>
                <w:rFonts w:ascii="Arial" w:hAnsi="Arial" w:cs="Arial"/>
                <w:i w:val="0"/>
                <w:szCs w:val="24"/>
              </w:rPr>
              <w:t>.</w:t>
            </w:r>
          </w:p>
        </w:tc>
      </w:tr>
      <w:tr w:rsidR="00E13B23" w14:paraId="257353BE" w14:textId="77777777" w:rsidTr="00911313">
        <w:tc>
          <w:tcPr>
            <w:tcW w:w="1818" w:type="dxa"/>
            <w:shd w:val="clear" w:color="auto" w:fill="auto"/>
          </w:tcPr>
          <w:p w14:paraId="6A974878" w14:textId="392BA24D" w:rsidR="00E13B23" w:rsidRPr="00EA5F52" w:rsidRDefault="008F79E9" w:rsidP="005B478C">
            <w:pPr>
              <w:pStyle w:val="BodyText"/>
              <w:jc w:val="both"/>
              <w:rPr>
                <w:rFonts w:ascii="Arial" w:hAnsi="Arial" w:cs="Arial"/>
                <w:i w:val="0"/>
                <w:szCs w:val="24"/>
                <w:highlight w:val="yellow"/>
              </w:rPr>
            </w:pPr>
            <w:r w:rsidRPr="008F79E9">
              <w:rPr>
                <w:rFonts w:ascii="Arial" w:hAnsi="Arial" w:cs="Arial"/>
                <w:i w:val="0"/>
                <w:szCs w:val="24"/>
              </w:rPr>
              <w:t>259</w:t>
            </w:r>
          </w:p>
        </w:tc>
        <w:tc>
          <w:tcPr>
            <w:tcW w:w="7758" w:type="dxa"/>
            <w:shd w:val="clear" w:color="auto" w:fill="auto"/>
          </w:tcPr>
          <w:p w14:paraId="48C41556" w14:textId="65BFFEB6" w:rsidR="00E13B23" w:rsidRPr="00EA5F52" w:rsidRDefault="005030AE" w:rsidP="005B478C">
            <w:pPr>
              <w:pStyle w:val="BodyText"/>
              <w:jc w:val="both"/>
              <w:rPr>
                <w:rFonts w:ascii="Arial" w:hAnsi="Arial" w:cs="Arial"/>
                <w:i w:val="0"/>
                <w:szCs w:val="24"/>
                <w:highlight w:val="yellow"/>
              </w:rPr>
            </w:pPr>
            <w:r w:rsidRPr="008F79E9">
              <w:rPr>
                <w:rFonts w:ascii="Arial" w:hAnsi="Arial" w:cs="Arial"/>
                <w:i w:val="0"/>
                <w:szCs w:val="24"/>
              </w:rPr>
              <w:t xml:space="preserve">Insert </w:t>
            </w:r>
            <w:r w:rsidR="00911313">
              <w:rPr>
                <w:rFonts w:ascii="Arial" w:hAnsi="Arial" w:cs="Arial"/>
                <w:i w:val="0"/>
                <w:szCs w:val="24"/>
              </w:rPr>
              <w:t xml:space="preserve">the </w:t>
            </w:r>
            <w:r w:rsidRPr="008F79E9">
              <w:rPr>
                <w:rFonts w:ascii="Arial" w:hAnsi="Arial" w:cs="Arial"/>
                <w:i w:val="0"/>
                <w:szCs w:val="24"/>
              </w:rPr>
              <w:t>word “objectives” to clarify the sentence</w:t>
            </w:r>
            <w:r w:rsidR="00911313">
              <w:rPr>
                <w:rFonts w:ascii="Arial" w:hAnsi="Arial" w:cs="Arial"/>
                <w:i w:val="0"/>
                <w:szCs w:val="24"/>
              </w:rPr>
              <w:t>.</w:t>
            </w:r>
          </w:p>
        </w:tc>
      </w:tr>
      <w:tr w:rsidR="00E13B23" w14:paraId="731A3E07" w14:textId="77777777" w:rsidTr="00911313">
        <w:tc>
          <w:tcPr>
            <w:tcW w:w="1818" w:type="dxa"/>
          </w:tcPr>
          <w:p w14:paraId="54606F26" w14:textId="77777777" w:rsidR="00E13B23" w:rsidRDefault="00EA5F52" w:rsidP="005B478C">
            <w:pPr>
              <w:pStyle w:val="BodyText"/>
              <w:jc w:val="both"/>
              <w:rPr>
                <w:rFonts w:ascii="Arial" w:hAnsi="Arial" w:cs="Arial"/>
                <w:i w:val="0"/>
                <w:szCs w:val="24"/>
              </w:rPr>
            </w:pPr>
            <w:r>
              <w:rPr>
                <w:rFonts w:ascii="Arial" w:hAnsi="Arial" w:cs="Arial"/>
                <w:i w:val="0"/>
                <w:szCs w:val="24"/>
              </w:rPr>
              <w:t>260-261</w:t>
            </w:r>
          </w:p>
        </w:tc>
        <w:tc>
          <w:tcPr>
            <w:tcW w:w="7758" w:type="dxa"/>
          </w:tcPr>
          <w:p w14:paraId="1294D774" w14:textId="7082EC73" w:rsidR="00E13B23" w:rsidRDefault="005030AE" w:rsidP="005B478C">
            <w:pPr>
              <w:pStyle w:val="BodyText"/>
              <w:jc w:val="both"/>
              <w:rPr>
                <w:rFonts w:ascii="Arial" w:hAnsi="Arial" w:cs="Arial"/>
                <w:i w:val="0"/>
                <w:szCs w:val="24"/>
              </w:rPr>
            </w:pPr>
            <w:r>
              <w:rPr>
                <w:rFonts w:ascii="Arial" w:hAnsi="Arial" w:cs="Arial"/>
                <w:i w:val="0"/>
                <w:szCs w:val="24"/>
              </w:rPr>
              <w:t>Adds a requirement to include performance metrics in the strategic technology plan</w:t>
            </w:r>
            <w:r w:rsidR="00911313">
              <w:rPr>
                <w:rFonts w:ascii="Arial" w:hAnsi="Arial" w:cs="Arial"/>
                <w:i w:val="0"/>
                <w:szCs w:val="24"/>
              </w:rPr>
              <w:t>.</w:t>
            </w:r>
          </w:p>
        </w:tc>
      </w:tr>
      <w:tr w:rsidR="00E13B23" w14:paraId="544492DA" w14:textId="77777777" w:rsidTr="00911313">
        <w:tc>
          <w:tcPr>
            <w:tcW w:w="1818" w:type="dxa"/>
          </w:tcPr>
          <w:p w14:paraId="50CA77EC" w14:textId="77777777" w:rsidR="00E13B23" w:rsidRDefault="00EA5F52" w:rsidP="005B478C">
            <w:pPr>
              <w:pStyle w:val="BodyText"/>
              <w:jc w:val="both"/>
              <w:rPr>
                <w:rFonts w:ascii="Arial" w:hAnsi="Arial" w:cs="Arial"/>
                <w:i w:val="0"/>
                <w:szCs w:val="24"/>
              </w:rPr>
            </w:pPr>
            <w:r>
              <w:rPr>
                <w:rFonts w:ascii="Arial" w:hAnsi="Arial" w:cs="Arial"/>
                <w:i w:val="0"/>
                <w:szCs w:val="24"/>
              </w:rPr>
              <w:t>373-375</w:t>
            </w:r>
          </w:p>
        </w:tc>
        <w:tc>
          <w:tcPr>
            <w:tcW w:w="7758" w:type="dxa"/>
          </w:tcPr>
          <w:p w14:paraId="02676970" w14:textId="4DDF694F" w:rsidR="00E13B23" w:rsidRDefault="005030AE" w:rsidP="005B478C">
            <w:pPr>
              <w:pStyle w:val="BodyText"/>
              <w:jc w:val="both"/>
              <w:rPr>
                <w:rFonts w:ascii="Arial" w:hAnsi="Arial" w:cs="Arial"/>
                <w:i w:val="0"/>
                <w:szCs w:val="24"/>
              </w:rPr>
            </w:pPr>
            <w:r>
              <w:rPr>
                <w:rFonts w:ascii="Arial" w:hAnsi="Arial" w:cs="Arial"/>
                <w:i w:val="0"/>
                <w:szCs w:val="24"/>
              </w:rPr>
              <w:t xml:space="preserve">Clarifies that the technology management board reviews all information technology policies, standards and guidelines and that only information technology projects with business implications are passed to the </w:t>
            </w:r>
            <w:r w:rsidR="00F96203">
              <w:rPr>
                <w:rFonts w:ascii="Arial" w:hAnsi="Arial" w:cs="Arial"/>
                <w:i w:val="0"/>
                <w:szCs w:val="24"/>
              </w:rPr>
              <w:t>Business Management Council</w:t>
            </w:r>
            <w:r>
              <w:rPr>
                <w:rFonts w:ascii="Arial" w:hAnsi="Arial" w:cs="Arial"/>
                <w:i w:val="0"/>
                <w:szCs w:val="24"/>
              </w:rPr>
              <w:t xml:space="preserve"> for review</w:t>
            </w:r>
            <w:r w:rsidR="00911313">
              <w:rPr>
                <w:rFonts w:ascii="Arial" w:hAnsi="Arial" w:cs="Arial"/>
                <w:i w:val="0"/>
                <w:szCs w:val="24"/>
              </w:rPr>
              <w:t>.</w:t>
            </w:r>
          </w:p>
        </w:tc>
      </w:tr>
      <w:tr w:rsidR="00E13B23" w14:paraId="748DD2FC" w14:textId="77777777" w:rsidTr="00911313">
        <w:tc>
          <w:tcPr>
            <w:tcW w:w="1818" w:type="dxa"/>
          </w:tcPr>
          <w:p w14:paraId="65C292A2" w14:textId="77777777" w:rsidR="00E13B23" w:rsidRDefault="00EA5F52" w:rsidP="005B478C">
            <w:pPr>
              <w:pStyle w:val="BodyText"/>
              <w:jc w:val="both"/>
              <w:rPr>
                <w:rFonts w:ascii="Arial" w:hAnsi="Arial" w:cs="Arial"/>
                <w:i w:val="0"/>
                <w:szCs w:val="24"/>
              </w:rPr>
            </w:pPr>
            <w:r>
              <w:rPr>
                <w:rFonts w:ascii="Arial" w:hAnsi="Arial" w:cs="Arial"/>
                <w:i w:val="0"/>
                <w:szCs w:val="24"/>
              </w:rPr>
              <w:t>393-396</w:t>
            </w:r>
            <w:r w:rsidR="005030AE">
              <w:rPr>
                <w:rFonts w:ascii="Arial" w:hAnsi="Arial" w:cs="Arial"/>
                <w:i w:val="0"/>
                <w:szCs w:val="24"/>
              </w:rPr>
              <w:t xml:space="preserve"> </w:t>
            </w:r>
          </w:p>
        </w:tc>
        <w:tc>
          <w:tcPr>
            <w:tcW w:w="7758" w:type="dxa"/>
          </w:tcPr>
          <w:p w14:paraId="74802EBC" w14:textId="2DEFA6AC" w:rsidR="00E13B23" w:rsidRDefault="005030AE" w:rsidP="005B478C">
            <w:pPr>
              <w:pStyle w:val="BodyText"/>
              <w:jc w:val="both"/>
              <w:rPr>
                <w:rFonts w:ascii="Arial" w:hAnsi="Arial" w:cs="Arial"/>
                <w:i w:val="0"/>
                <w:szCs w:val="24"/>
              </w:rPr>
            </w:pPr>
            <w:r>
              <w:rPr>
                <w:rFonts w:ascii="Arial" w:hAnsi="Arial" w:cs="Arial"/>
                <w:i w:val="0"/>
                <w:szCs w:val="24"/>
              </w:rPr>
              <w:t>Adds a requirement that all information technology capital projects shall participate in project oversight (see discussion above)</w:t>
            </w:r>
            <w:r w:rsidR="00911313">
              <w:rPr>
                <w:rFonts w:ascii="Arial" w:hAnsi="Arial" w:cs="Arial"/>
                <w:i w:val="0"/>
                <w:szCs w:val="24"/>
              </w:rPr>
              <w:t>.</w:t>
            </w:r>
          </w:p>
        </w:tc>
      </w:tr>
      <w:tr w:rsidR="00E13B23" w14:paraId="7AB4AE12" w14:textId="77777777" w:rsidTr="00911313">
        <w:tc>
          <w:tcPr>
            <w:tcW w:w="1818" w:type="dxa"/>
          </w:tcPr>
          <w:p w14:paraId="7FE414F0" w14:textId="77777777" w:rsidR="00E13B23" w:rsidRDefault="00EA5F52" w:rsidP="005B478C">
            <w:pPr>
              <w:pStyle w:val="BodyText"/>
              <w:jc w:val="both"/>
              <w:rPr>
                <w:rFonts w:ascii="Arial" w:hAnsi="Arial" w:cs="Arial"/>
                <w:i w:val="0"/>
                <w:szCs w:val="24"/>
              </w:rPr>
            </w:pPr>
            <w:r>
              <w:rPr>
                <w:rFonts w:ascii="Arial" w:hAnsi="Arial" w:cs="Arial"/>
                <w:i w:val="0"/>
                <w:szCs w:val="24"/>
              </w:rPr>
              <w:t>397-406</w:t>
            </w:r>
          </w:p>
        </w:tc>
        <w:tc>
          <w:tcPr>
            <w:tcW w:w="7758" w:type="dxa"/>
          </w:tcPr>
          <w:p w14:paraId="6C044414" w14:textId="61EBCBA0" w:rsidR="00E13B23" w:rsidRDefault="00EF5622" w:rsidP="00EF5622">
            <w:pPr>
              <w:pStyle w:val="BodyText"/>
              <w:jc w:val="both"/>
              <w:rPr>
                <w:rFonts w:ascii="Arial" w:hAnsi="Arial" w:cs="Arial"/>
                <w:i w:val="0"/>
                <w:szCs w:val="24"/>
              </w:rPr>
            </w:pPr>
            <w:r>
              <w:rPr>
                <w:rFonts w:ascii="Arial" w:hAnsi="Arial" w:cs="Arial"/>
                <w:i w:val="0"/>
                <w:szCs w:val="24"/>
              </w:rPr>
              <w:t>Replaces the general language of project review board responsibilities with a list of more detailed responsibilities</w:t>
            </w:r>
            <w:r w:rsidR="00EA5F52">
              <w:rPr>
                <w:rFonts w:ascii="Arial" w:hAnsi="Arial" w:cs="Arial"/>
                <w:i w:val="0"/>
                <w:szCs w:val="24"/>
              </w:rPr>
              <w:t>. The list matches current practices</w:t>
            </w:r>
            <w:r w:rsidR="00911313">
              <w:rPr>
                <w:rFonts w:ascii="Arial" w:hAnsi="Arial" w:cs="Arial"/>
                <w:i w:val="0"/>
                <w:szCs w:val="24"/>
              </w:rPr>
              <w:t>.</w:t>
            </w:r>
          </w:p>
        </w:tc>
      </w:tr>
      <w:tr w:rsidR="00E13B23" w14:paraId="74A5381B" w14:textId="77777777" w:rsidTr="00911313">
        <w:tc>
          <w:tcPr>
            <w:tcW w:w="1818" w:type="dxa"/>
          </w:tcPr>
          <w:p w14:paraId="0086DDA8" w14:textId="77777777" w:rsidR="00E13B23" w:rsidRDefault="00EA5F52" w:rsidP="005B478C">
            <w:pPr>
              <w:pStyle w:val="BodyText"/>
              <w:jc w:val="both"/>
              <w:rPr>
                <w:rFonts w:ascii="Arial" w:hAnsi="Arial" w:cs="Arial"/>
                <w:i w:val="0"/>
                <w:szCs w:val="24"/>
              </w:rPr>
            </w:pPr>
            <w:r>
              <w:rPr>
                <w:rFonts w:ascii="Arial" w:hAnsi="Arial" w:cs="Arial"/>
                <w:i w:val="0"/>
                <w:szCs w:val="24"/>
              </w:rPr>
              <w:t>422-426</w:t>
            </w:r>
          </w:p>
        </w:tc>
        <w:tc>
          <w:tcPr>
            <w:tcW w:w="7758" w:type="dxa"/>
          </w:tcPr>
          <w:p w14:paraId="50F225E9" w14:textId="5DD9DD63" w:rsidR="00E13B23" w:rsidRDefault="00EF5622" w:rsidP="005B478C">
            <w:pPr>
              <w:pStyle w:val="BodyText"/>
              <w:jc w:val="both"/>
              <w:rPr>
                <w:rFonts w:ascii="Arial" w:hAnsi="Arial" w:cs="Arial"/>
                <w:i w:val="0"/>
                <w:szCs w:val="24"/>
              </w:rPr>
            </w:pPr>
            <w:r>
              <w:rPr>
                <w:rFonts w:ascii="Arial" w:hAnsi="Arial" w:cs="Arial"/>
                <w:i w:val="0"/>
                <w:szCs w:val="24"/>
              </w:rPr>
              <w:t xml:space="preserve">Moves </w:t>
            </w:r>
            <w:proofErr w:type="spellStart"/>
            <w:r>
              <w:rPr>
                <w:rFonts w:ascii="Arial" w:hAnsi="Arial" w:cs="Arial"/>
                <w:i w:val="0"/>
                <w:szCs w:val="24"/>
              </w:rPr>
              <w:t>repealer</w:t>
            </w:r>
            <w:proofErr w:type="spellEnd"/>
            <w:r>
              <w:rPr>
                <w:rFonts w:ascii="Arial" w:hAnsi="Arial" w:cs="Arial"/>
                <w:i w:val="0"/>
                <w:szCs w:val="24"/>
              </w:rPr>
              <w:t xml:space="preserve"> to end of ordinance</w:t>
            </w:r>
            <w:r w:rsidR="00911313">
              <w:rPr>
                <w:rFonts w:ascii="Arial" w:hAnsi="Arial" w:cs="Arial"/>
                <w:i w:val="0"/>
                <w:szCs w:val="24"/>
              </w:rPr>
              <w:t>.</w:t>
            </w:r>
          </w:p>
        </w:tc>
      </w:tr>
    </w:tbl>
    <w:p w14:paraId="3DE01C5E" w14:textId="77777777" w:rsidR="00F2550E" w:rsidRDefault="00F2550E" w:rsidP="005B478C">
      <w:pPr>
        <w:pStyle w:val="BodyText"/>
        <w:jc w:val="both"/>
        <w:rPr>
          <w:rFonts w:ascii="Arial" w:hAnsi="Arial" w:cs="Arial"/>
          <w:i w:val="0"/>
          <w:szCs w:val="24"/>
        </w:rPr>
      </w:pPr>
    </w:p>
    <w:p w14:paraId="3DFD5EAF"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3FC808E1" w14:textId="77777777" w:rsidR="00601AC3" w:rsidRPr="001C4B19" w:rsidRDefault="00601AC3" w:rsidP="005B478C">
      <w:pPr>
        <w:pStyle w:val="BodyText"/>
        <w:jc w:val="both"/>
        <w:rPr>
          <w:rFonts w:ascii="Arial" w:hAnsi="Arial" w:cs="Arial"/>
          <w:i w:val="0"/>
          <w:szCs w:val="24"/>
        </w:rPr>
      </w:pPr>
    </w:p>
    <w:p w14:paraId="2266DE52" w14:textId="7CADE98B"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2202CA">
        <w:rPr>
          <w:rFonts w:ascii="Arial" w:hAnsi="Arial" w:cs="Arial"/>
          <w:i w:val="0"/>
          <w:szCs w:val="24"/>
        </w:rPr>
        <w:t>Ordinance 2016-0464</w:t>
      </w:r>
      <w:r w:rsidR="00575B03" w:rsidRPr="001C4B19">
        <w:rPr>
          <w:rFonts w:ascii="Arial" w:hAnsi="Arial" w:cs="Arial"/>
          <w:i w:val="0"/>
          <w:szCs w:val="24"/>
        </w:rPr>
        <w:t xml:space="preserve"> (and its attachments)</w:t>
      </w:r>
    </w:p>
    <w:p w14:paraId="5F6BA1EA" w14:textId="77777777" w:rsidR="00F2550E" w:rsidRDefault="00F2550E" w:rsidP="00134CB3">
      <w:pPr>
        <w:pStyle w:val="BodyText"/>
        <w:numPr>
          <w:ilvl w:val="0"/>
          <w:numId w:val="35"/>
        </w:numPr>
        <w:jc w:val="both"/>
        <w:rPr>
          <w:rFonts w:ascii="Arial" w:hAnsi="Arial" w:cs="Arial"/>
          <w:i w:val="0"/>
          <w:szCs w:val="24"/>
        </w:rPr>
      </w:pPr>
      <w:r>
        <w:rPr>
          <w:rFonts w:ascii="Arial" w:hAnsi="Arial" w:cs="Arial"/>
          <w:i w:val="0"/>
          <w:szCs w:val="24"/>
        </w:rPr>
        <w:t xml:space="preserve">Striking </w:t>
      </w:r>
      <w:r w:rsidR="00664648" w:rsidRPr="00F2550E">
        <w:rPr>
          <w:rFonts w:ascii="Arial" w:hAnsi="Arial" w:cs="Arial"/>
          <w:i w:val="0"/>
          <w:szCs w:val="24"/>
        </w:rPr>
        <w:t>Amendment</w:t>
      </w:r>
      <w:r>
        <w:rPr>
          <w:rFonts w:ascii="Arial" w:hAnsi="Arial" w:cs="Arial"/>
          <w:i w:val="0"/>
          <w:szCs w:val="24"/>
        </w:rPr>
        <w:t xml:space="preserve"> </w:t>
      </w:r>
    </w:p>
    <w:p w14:paraId="4ECCD126" w14:textId="4E62C4A1" w:rsidR="00E74DFE" w:rsidRDefault="00E74DFE" w:rsidP="00134CB3">
      <w:pPr>
        <w:pStyle w:val="BodyText"/>
        <w:numPr>
          <w:ilvl w:val="0"/>
          <w:numId w:val="35"/>
        </w:numPr>
        <w:jc w:val="both"/>
        <w:rPr>
          <w:rFonts w:ascii="Arial" w:hAnsi="Arial" w:cs="Arial"/>
          <w:i w:val="0"/>
          <w:szCs w:val="24"/>
        </w:rPr>
      </w:pPr>
      <w:r>
        <w:rPr>
          <w:rFonts w:ascii="Arial" w:hAnsi="Arial" w:cs="Arial"/>
          <w:i w:val="0"/>
          <w:szCs w:val="24"/>
        </w:rPr>
        <w:t>Red line version of Striking Amendment</w:t>
      </w:r>
    </w:p>
    <w:p w14:paraId="3F2F7BB4" w14:textId="77777777" w:rsidR="00C521D8" w:rsidRPr="00F2550E" w:rsidRDefault="00C521D8" w:rsidP="00134CB3">
      <w:pPr>
        <w:pStyle w:val="BodyText"/>
        <w:numPr>
          <w:ilvl w:val="0"/>
          <w:numId w:val="35"/>
        </w:numPr>
        <w:jc w:val="both"/>
        <w:rPr>
          <w:rFonts w:ascii="Arial" w:hAnsi="Arial" w:cs="Arial"/>
          <w:i w:val="0"/>
          <w:szCs w:val="24"/>
        </w:rPr>
      </w:pPr>
      <w:r w:rsidRPr="00F2550E">
        <w:rPr>
          <w:rFonts w:ascii="Arial" w:hAnsi="Arial" w:cs="Arial"/>
          <w:i w:val="0"/>
          <w:szCs w:val="24"/>
        </w:rPr>
        <w:t>Transmittal Letter</w:t>
      </w:r>
    </w:p>
    <w:p w14:paraId="1BA97F3C"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5082E847" w14:textId="77777777" w:rsidR="00C521D8" w:rsidRPr="001C4B19" w:rsidRDefault="00C521D8" w:rsidP="00F2550E">
      <w:pPr>
        <w:pStyle w:val="BodyText"/>
        <w:ind w:left="720"/>
        <w:jc w:val="both"/>
        <w:rPr>
          <w:rFonts w:ascii="Arial" w:hAnsi="Arial" w:cs="Arial"/>
          <w:i w:val="0"/>
          <w:szCs w:val="24"/>
        </w:rPr>
      </w:pPr>
    </w:p>
    <w:p w14:paraId="4CDBB71B" w14:textId="77777777" w:rsidR="00253303" w:rsidRDefault="00C44166" w:rsidP="005B478C">
      <w:pPr>
        <w:jc w:val="both"/>
        <w:rPr>
          <w:rFonts w:ascii="Arial" w:hAnsi="Arial" w:cs="Arial"/>
          <w:b/>
          <w:szCs w:val="24"/>
          <w:u w:val="single"/>
        </w:rPr>
      </w:pPr>
      <w:r w:rsidRPr="001C4B19">
        <w:rPr>
          <w:rFonts w:ascii="Arial" w:hAnsi="Arial" w:cs="Arial"/>
          <w:b/>
          <w:szCs w:val="24"/>
          <w:u w:val="single"/>
        </w:rPr>
        <w:t>INVITED</w:t>
      </w:r>
    </w:p>
    <w:p w14:paraId="253C2BB4" w14:textId="77777777" w:rsidR="00601AC3" w:rsidRPr="001C4B19" w:rsidRDefault="00601AC3" w:rsidP="005B478C">
      <w:pPr>
        <w:jc w:val="both"/>
        <w:rPr>
          <w:rFonts w:ascii="Arial" w:hAnsi="Arial" w:cs="Arial"/>
          <w:b/>
          <w:szCs w:val="24"/>
          <w:u w:val="single"/>
        </w:rPr>
      </w:pPr>
      <w:bookmarkStart w:id="0" w:name="_GoBack"/>
      <w:bookmarkEnd w:id="0"/>
    </w:p>
    <w:p w14:paraId="0A99A9D5" w14:textId="460ECAEA" w:rsidR="00C521D8" w:rsidRPr="001C4B19" w:rsidRDefault="00911313" w:rsidP="005B478C">
      <w:pPr>
        <w:pStyle w:val="ListParagraph0"/>
        <w:numPr>
          <w:ilvl w:val="0"/>
          <w:numId w:val="24"/>
        </w:numPr>
        <w:spacing w:line="240" w:lineRule="auto"/>
        <w:jc w:val="both"/>
        <w:rPr>
          <w:rFonts w:ascii="Arial" w:hAnsi="Arial" w:cs="Arial"/>
        </w:rPr>
      </w:pPr>
      <w:r>
        <w:rPr>
          <w:rFonts w:ascii="Arial" w:hAnsi="Arial" w:cs="Arial"/>
        </w:rPr>
        <w:t xml:space="preserve">Bill Kehoe, </w:t>
      </w:r>
      <w:r w:rsidR="00F96203">
        <w:rPr>
          <w:rFonts w:ascii="Arial" w:hAnsi="Arial" w:cs="Arial"/>
        </w:rPr>
        <w:t>Chief Information Officer,</w:t>
      </w:r>
      <w:r>
        <w:rPr>
          <w:rFonts w:ascii="Arial" w:hAnsi="Arial" w:cs="Arial"/>
        </w:rPr>
        <w:t xml:space="preserve"> KCIT</w:t>
      </w:r>
    </w:p>
    <w:p w14:paraId="44150C52"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69E66" w14:textId="77777777" w:rsidR="008474CA" w:rsidRDefault="008474CA">
      <w:r>
        <w:separator/>
      </w:r>
    </w:p>
  </w:endnote>
  <w:endnote w:type="continuationSeparator" w:id="0">
    <w:p w14:paraId="75712992" w14:textId="77777777" w:rsidR="008474CA" w:rsidRDefault="0084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8368" w14:textId="77777777" w:rsidR="00074E9A" w:rsidRDefault="0007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65D26" w14:textId="77777777" w:rsidR="00074E9A" w:rsidRDefault="0007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ABDDC" w14:textId="77777777" w:rsidR="00074E9A" w:rsidRDefault="0007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24303" w14:textId="77777777" w:rsidR="008474CA" w:rsidRDefault="008474CA">
      <w:r>
        <w:separator/>
      </w:r>
    </w:p>
  </w:footnote>
  <w:footnote w:type="continuationSeparator" w:id="0">
    <w:p w14:paraId="07490816" w14:textId="77777777" w:rsidR="008474CA" w:rsidRDefault="0084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EA7F" w14:textId="77777777" w:rsidR="00074E9A" w:rsidRDefault="0007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0626" w14:textId="77777777" w:rsidR="00074E9A" w:rsidRDefault="0007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0120" w14:textId="77777777" w:rsidR="00C75025" w:rsidRDefault="00C75025" w:rsidP="00C75025">
    <w:pPr>
      <w:jc w:val="center"/>
    </w:pPr>
    <w:r>
      <w:rPr>
        <w:noProof/>
      </w:rPr>
      <w:drawing>
        <wp:inline distT="0" distB="0" distL="0" distR="0" wp14:anchorId="0901B684" wp14:editId="21C3A90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75E272E" w14:textId="77777777" w:rsidR="00C75025" w:rsidRPr="003B03EF" w:rsidRDefault="00C75025" w:rsidP="00C75025">
    <w:pPr>
      <w:jc w:val="center"/>
      <w:rPr>
        <w:rFonts w:ascii="Arial" w:hAnsi="Arial"/>
        <w:szCs w:val="22"/>
      </w:rPr>
    </w:pPr>
  </w:p>
  <w:p w14:paraId="6211E19B"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308E59A"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B1D80"/>
    <w:multiLevelType w:val="hybridMultilevel"/>
    <w:tmpl w:val="E6FA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6"/>
  </w:num>
  <w:num w:numId="42">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270D"/>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4E9A"/>
    <w:rsid w:val="000766A2"/>
    <w:rsid w:val="00076F58"/>
    <w:rsid w:val="00080295"/>
    <w:rsid w:val="00081382"/>
    <w:rsid w:val="00082009"/>
    <w:rsid w:val="000825FD"/>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04C8"/>
    <w:rsid w:val="00163DEF"/>
    <w:rsid w:val="0016552E"/>
    <w:rsid w:val="00166774"/>
    <w:rsid w:val="001702C8"/>
    <w:rsid w:val="001718C9"/>
    <w:rsid w:val="00171FE0"/>
    <w:rsid w:val="001738AC"/>
    <w:rsid w:val="00173D99"/>
    <w:rsid w:val="00174080"/>
    <w:rsid w:val="0017414E"/>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02CA"/>
    <w:rsid w:val="00222063"/>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5AD7"/>
    <w:rsid w:val="00336FF7"/>
    <w:rsid w:val="003377D3"/>
    <w:rsid w:val="00337B57"/>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67FF"/>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145"/>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30AE"/>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4229"/>
    <w:rsid w:val="005461D9"/>
    <w:rsid w:val="0054685E"/>
    <w:rsid w:val="00547D83"/>
    <w:rsid w:val="00547FA2"/>
    <w:rsid w:val="00550611"/>
    <w:rsid w:val="00551D64"/>
    <w:rsid w:val="00554CE6"/>
    <w:rsid w:val="00554DD2"/>
    <w:rsid w:val="00554E38"/>
    <w:rsid w:val="00555CC3"/>
    <w:rsid w:val="005572A4"/>
    <w:rsid w:val="00557EA9"/>
    <w:rsid w:val="0056091F"/>
    <w:rsid w:val="00560D50"/>
    <w:rsid w:val="00561804"/>
    <w:rsid w:val="00561E7C"/>
    <w:rsid w:val="00562164"/>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1BC4"/>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1AC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D04"/>
    <w:rsid w:val="006270DE"/>
    <w:rsid w:val="006315D7"/>
    <w:rsid w:val="006317CD"/>
    <w:rsid w:val="0063186B"/>
    <w:rsid w:val="00632319"/>
    <w:rsid w:val="00632ED8"/>
    <w:rsid w:val="00641390"/>
    <w:rsid w:val="006425FE"/>
    <w:rsid w:val="00643BA7"/>
    <w:rsid w:val="00643DFB"/>
    <w:rsid w:val="00643E28"/>
    <w:rsid w:val="0064465D"/>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58BD"/>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0A2"/>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012E"/>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16F9D"/>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474CA"/>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6134"/>
    <w:rsid w:val="00881630"/>
    <w:rsid w:val="00881F37"/>
    <w:rsid w:val="00882407"/>
    <w:rsid w:val="00882B75"/>
    <w:rsid w:val="00882C72"/>
    <w:rsid w:val="00883A48"/>
    <w:rsid w:val="008848DC"/>
    <w:rsid w:val="00885C43"/>
    <w:rsid w:val="00886402"/>
    <w:rsid w:val="00887986"/>
    <w:rsid w:val="00890D51"/>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888"/>
    <w:rsid w:val="008E2972"/>
    <w:rsid w:val="008E30E9"/>
    <w:rsid w:val="008E5F44"/>
    <w:rsid w:val="008F18D1"/>
    <w:rsid w:val="008F3077"/>
    <w:rsid w:val="008F4FEE"/>
    <w:rsid w:val="008F5106"/>
    <w:rsid w:val="008F5B95"/>
    <w:rsid w:val="008F79E9"/>
    <w:rsid w:val="0090274A"/>
    <w:rsid w:val="00903C11"/>
    <w:rsid w:val="00904115"/>
    <w:rsid w:val="00905154"/>
    <w:rsid w:val="00905286"/>
    <w:rsid w:val="00907F57"/>
    <w:rsid w:val="00910D18"/>
    <w:rsid w:val="00911313"/>
    <w:rsid w:val="009114C1"/>
    <w:rsid w:val="00913F27"/>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C7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48D4"/>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B17"/>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13C"/>
    <w:rsid w:val="009C245A"/>
    <w:rsid w:val="009C3B05"/>
    <w:rsid w:val="009C516E"/>
    <w:rsid w:val="009C597F"/>
    <w:rsid w:val="009C69CB"/>
    <w:rsid w:val="009C7DC6"/>
    <w:rsid w:val="009D2DE6"/>
    <w:rsid w:val="009D48A1"/>
    <w:rsid w:val="009D48CE"/>
    <w:rsid w:val="009D4FCF"/>
    <w:rsid w:val="009D511E"/>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0348"/>
    <w:rsid w:val="00A5174B"/>
    <w:rsid w:val="00A55AAD"/>
    <w:rsid w:val="00A567DC"/>
    <w:rsid w:val="00A57E80"/>
    <w:rsid w:val="00A602E9"/>
    <w:rsid w:val="00A623C2"/>
    <w:rsid w:val="00A62920"/>
    <w:rsid w:val="00A6349A"/>
    <w:rsid w:val="00A64D19"/>
    <w:rsid w:val="00A6507B"/>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31C"/>
    <w:rsid w:val="00AC79F6"/>
    <w:rsid w:val="00AC7D17"/>
    <w:rsid w:val="00AD04A9"/>
    <w:rsid w:val="00AD04B2"/>
    <w:rsid w:val="00AD234A"/>
    <w:rsid w:val="00AD2CDA"/>
    <w:rsid w:val="00AD3A0E"/>
    <w:rsid w:val="00AD3B91"/>
    <w:rsid w:val="00AD41FD"/>
    <w:rsid w:val="00AD4C01"/>
    <w:rsid w:val="00AD704E"/>
    <w:rsid w:val="00AE080A"/>
    <w:rsid w:val="00AE0C03"/>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2CE6"/>
    <w:rsid w:val="00B23613"/>
    <w:rsid w:val="00B23B35"/>
    <w:rsid w:val="00B23E7A"/>
    <w:rsid w:val="00B2456C"/>
    <w:rsid w:val="00B24961"/>
    <w:rsid w:val="00B276F7"/>
    <w:rsid w:val="00B32CF9"/>
    <w:rsid w:val="00B33ED2"/>
    <w:rsid w:val="00B34180"/>
    <w:rsid w:val="00B37B8A"/>
    <w:rsid w:val="00B409D6"/>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48C"/>
    <w:rsid w:val="00BA7B02"/>
    <w:rsid w:val="00BB0831"/>
    <w:rsid w:val="00BB0D89"/>
    <w:rsid w:val="00BB2F7B"/>
    <w:rsid w:val="00BB36B9"/>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103"/>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5E62"/>
    <w:rsid w:val="00C57065"/>
    <w:rsid w:val="00C574BA"/>
    <w:rsid w:val="00C57C4A"/>
    <w:rsid w:val="00C62C87"/>
    <w:rsid w:val="00C635C0"/>
    <w:rsid w:val="00C64A17"/>
    <w:rsid w:val="00C67A5B"/>
    <w:rsid w:val="00C67E2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1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2CF"/>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325"/>
    <w:rsid w:val="00CF6A55"/>
    <w:rsid w:val="00CF7E2E"/>
    <w:rsid w:val="00D00BB2"/>
    <w:rsid w:val="00D0107F"/>
    <w:rsid w:val="00D016C8"/>
    <w:rsid w:val="00D01C73"/>
    <w:rsid w:val="00D020C1"/>
    <w:rsid w:val="00D04B87"/>
    <w:rsid w:val="00D06170"/>
    <w:rsid w:val="00D12FCB"/>
    <w:rsid w:val="00D13B13"/>
    <w:rsid w:val="00D13DD3"/>
    <w:rsid w:val="00D143D7"/>
    <w:rsid w:val="00D16257"/>
    <w:rsid w:val="00D167BB"/>
    <w:rsid w:val="00D16B63"/>
    <w:rsid w:val="00D17A09"/>
    <w:rsid w:val="00D20DDB"/>
    <w:rsid w:val="00D2100A"/>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528F"/>
    <w:rsid w:val="00D91860"/>
    <w:rsid w:val="00D934F8"/>
    <w:rsid w:val="00D946F8"/>
    <w:rsid w:val="00D94FB0"/>
    <w:rsid w:val="00D95887"/>
    <w:rsid w:val="00D9590C"/>
    <w:rsid w:val="00D96D1C"/>
    <w:rsid w:val="00D97225"/>
    <w:rsid w:val="00DA06CC"/>
    <w:rsid w:val="00DA243B"/>
    <w:rsid w:val="00DA2597"/>
    <w:rsid w:val="00DA298D"/>
    <w:rsid w:val="00DA5C71"/>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199"/>
    <w:rsid w:val="00DD0717"/>
    <w:rsid w:val="00DD19E1"/>
    <w:rsid w:val="00DD1D0C"/>
    <w:rsid w:val="00DD1D99"/>
    <w:rsid w:val="00DD1E33"/>
    <w:rsid w:val="00DD3BC4"/>
    <w:rsid w:val="00DD4362"/>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3B23"/>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0A4D"/>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306"/>
    <w:rsid w:val="00E60649"/>
    <w:rsid w:val="00E60EB8"/>
    <w:rsid w:val="00E61433"/>
    <w:rsid w:val="00E61726"/>
    <w:rsid w:val="00E623AE"/>
    <w:rsid w:val="00E6300F"/>
    <w:rsid w:val="00E63B4A"/>
    <w:rsid w:val="00E64C83"/>
    <w:rsid w:val="00E7163A"/>
    <w:rsid w:val="00E723C8"/>
    <w:rsid w:val="00E74DFE"/>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5F52"/>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5622"/>
    <w:rsid w:val="00EF73AB"/>
    <w:rsid w:val="00EF74E2"/>
    <w:rsid w:val="00F01092"/>
    <w:rsid w:val="00F028A0"/>
    <w:rsid w:val="00F02BC8"/>
    <w:rsid w:val="00F051CE"/>
    <w:rsid w:val="00F06C8C"/>
    <w:rsid w:val="00F14ED2"/>
    <w:rsid w:val="00F20B79"/>
    <w:rsid w:val="00F20BE0"/>
    <w:rsid w:val="00F230D6"/>
    <w:rsid w:val="00F2550E"/>
    <w:rsid w:val="00F2554C"/>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203"/>
    <w:rsid w:val="00F964B6"/>
    <w:rsid w:val="00F968C9"/>
    <w:rsid w:val="00F96979"/>
    <w:rsid w:val="00F97CCD"/>
    <w:rsid w:val="00FA09E1"/>
    <w:rsid w:val="00FA594E"/>
    <w:rsid w:val="00FA6C71"/>
    <w:rsid w:val="00FA7679"/>
    <w:rsid w:val="00FB2A39"/>
    <w:rsid w:val="00FB4D01"/>
    <w:rsid w:val="00FB500C"/>
    <w:rsid w:val="00FB574A"/>
    <w:rsid w:val="00FB66FD"/>
    <w:rsid w:val="00FB684A"/>
    <w:rsid w:val="00FC09F4"/>
    <w:rsid w:val="00FC3DA6"/>
    <w:rsid w:val="00FC69EC"/>
    <w:rsid w:val="00FC71FB"/>
    <w:rsid w:val="00FC7EFC"/>
    <w:rsid w:val="00FD0953"/>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ED040"/>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2CAA-55A5-4A1C-979F-21142F9F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Kaye, Lise</cp:lastModifiedBy>
  <cp:revision>3</cp:revision>
  <cp:lastPrinted>2016-12-01T20:34:00Z</cp:lastPrinted>
  <dcterms:created xsi:type="dcterms:W3CDTF">2016-12-02T20:38:00Z</dcterms:created>
  <dcterms:modified xsi:type="dcterms:W3CDTF">2016-12-02T20:40:00Z</dcterms:modified>
</cp:coreProperties>
</file>