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911AD7" w:rsidP="00074A56">
            <w:pPr>
              <w:spacing w:before="40" w:after="40"/>
              <w:rPr>
                <w:rFonts w:ascii="Arial" w:hAnsi="Arial" w:cs="Arial"/>
              </w:rPr>
            </w:pPr>
            <w:r>
              <w:rPr>
                <w:rFonts w:ascii="Arial" w:hAnsi="Arial" w:cs="Arial"/>
              </w:rPr>
              <w:t>15</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F6FA5"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3F6FA5" w:rsidP="00074A56">
            <w:pPr>
              <w:spacing w:before="40" w:after="40"/>
              <w:rPr>
                <w:rFonts w:ascii="Arial" w:hAnsi="Arial" w:cs="Arial"/>
              </w:rPr>
            </w:pPr>
            <w:r>
              <w:rPr>
                <w:rFonts w:ascii="Arial" w:hAnsi="Arial" w:cs="Arial"/>
              </w:rPr>
              <w:t>2016-0471</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3F6FA5" w:rsidP="00074A56">
            <w:pPr>
              <w:spacing w:before="40" w:after="40"/>
              <w:rPr>
                <w:rFonts w:ascii="Arial" w:hAnsi="Arial" w:cs="Arial"/>
              </w:rPr>
            </w:pPr>
            <w:r>
              <w:rPr>
                <w:rFonts w:ascii="Arial" w:hAnsi="Arial" w:cs="Arial"/>
              </w:rPr>
              <w:t>December 6,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3F6FA5" w:rsidP="005B478C">
      <w:pPr>
        <w:jc w:val="both"/>
        <w:rPr>
          <w:rFonts w:ascii="Arial" w:hAnsi="Arial" w:cs="Arial"/>
          <w:b/>
          <w:u w:val="single"/>
        </w:rPr>
      </w:pPr>
      <w:r>
        <w:rPr>
          <w:rFonts w:ascii="Arial" w:hAnsi="Arial" w:cs="Arial"/>
        </w:rPr>
        <w:t>Proposed Motion 2016-0471 would accept a report regarding incentives for the use of low impact development techniques.  The report and motion respond to a requirement of Ordinance 18257, Section 25, which adopted updates to the County’s stormwater regulations.</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946942" w:rsidRDefault="00946942" w:rsidP="005B478C">
      <w:pPr>
        <w:jc w:val="both"/>
        <w:rPr>
          <w:rFonts w:ascii="Arial" w:hAnsi="Arial" w:cs="Arial"/>
        </w:rPr>
      </w:pPr>
    </w:p>
    <w:p w:rsidR="00911AD7" w:rsidRDefault="0073229A" w:rsidP="005B478C">
      <w:pPr>
        <w:jc w:val="both"/>
        <w:rPr>
          <w:rFonts w:ascii="Arial" w:hAnsi="Arial" w:cs="Arial"/>
        </w:rPr>
      </w:pPr>
      <w:r>
        <w:rPr>
          <w:rFonts w:ascii="Arial" w:hAnsi="Arial" w:cs="Arial"/>
        </w:rPr>
        <w:t xml:space="preserve">The Proposed Motion and attached report responds to the requirements of Ordinance 18257, which updated the County’s stormwater ordinance.  Section 25 of this ordinance required a report regarding a pilot program to incentivize the use of low impact development techniques.  </w:t>
      </w:r>
    </w:p>
    <w:p w:rsidR="00911AD7" w:rsidRDefault="00911AD7" w:rsidP="005B478C">
      <w:pPr>
        <w:jc w:val="both"/>
        <w:rPr>
          <w:rFonts w:ascii="Arial" w:hAnsi="Arial" w:cs="Arial"/>
        </w:rPr>
      </w:pPr>
    </w:p>
    <w:p w:rsidR="0073229A" w:rsidRDefault="0073229A" w:rsidP="005B478C">
      <w:pPr>
        <w:jc w:val="both"/>
        <w:rPr>
          <w:rFonts w:ascii="Arial" w:hAnsi="Arial" w:cs="Arial"/>
        </w:rPr>
      </w:pPr>
      <w:r>
        <w:rPr>
          <w:rFonts w:ascii="Arial" w:hAnsi="Arial" w:cs="Arial"/>
        </w:rPr>
        <w:t>The report analyzes six potential pilot projects that would involve retrofitting existing development on a range of land use types in unincorporated King County. These potential project sites were selected based on cost, willingness of the property owner to participate, and feasibility of the use of low impact development techniques.  The report recommends a grant program, which was also proposed by the Executive as part of the 2017-2018 biennial budget, and associated Surface Water Management fee rate increase</w:t>
      </w:r>
      <w:r w:rsidRPr="00BD3DB9">
        <w:rPr>
          <w:rFonts w:ascii="Arial" w:hAnsi="Arial" w:cs="Arial"/>
        </w:rPr>
        <w:t xml:space="preserve">. </w:t>
      </w:r>
      <w:r w:rsidR="00BD3DB9" w:rsidRPr="00BD3DB9">
        <w:rPr>
          <w:rFonts w:ascii="Arial" w:hAnsi="Arial" w:cs="Arial"/>
        </w:rPr>
        <w:t>While the Council did not approve the entire requested fee increase, Executive staff report that this grant program is still intended to be funded at $250,000 for the biennium.</w:t>
      </w:r>
    </w:p>
    <w:p w:rsidR="00074A56" w:rsidRPr="00C75025" w:rsidRDefault="00074A56" w:rsidP="005B478C">
      <w:pPr>
        <w:jc w:val="both"/>
        <w:rPr>
          <w:rFonts w:ascii="Arial" w:hAnsi="Arial" w:cs="Arial"/>
          <w:b/>
          <w:u w:val="single"/>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3C7BCF" w:rsidRDefault="003C7BCF" w:rsidP="005B478C">
      <w:pPr>
        <w:jc w:val="both"/>
        <w:rPr>
          <w:rFonts w:ascii="Arial" w:hAnsi="Arial" w:cs="Arial"/>
        </w:rPr>
      </w:pPr>
      <w:r w:rsidRPr="00331AB6">
        <w:rPr>
          <w:rFonts w:ascii="Arial" w:hAnsi="Arial" w:cs="Arial"/>
        </w:rPr>
        <w:t>In March 2016, the Council adopted Ordinance 18257, which updated the County’s stormwater regulations.  On</w:t>
      </w:r>
      <w:r>
        <w:rPr>
          <w:rFonts w:ascii="Arial" w:hAnsi="Arial" w:cs="Arial"/>
        </w:rPr>
        <w:t>e major change in Ordinance 18257 was the requirement for Low Impact Development Best Management Practices (LID BMPs), for development projects that construct 2,000 square feet or more of new or replaced impervious surface or 7,000 square feet or more of land disturbing activity. While reviewing Ordinance 18257, Council determined that the Executive should consider ways to incentivize the use of LID BMPs, and added a report requirement in Section 25 of the Ordinance:</w:t>
      </w:r>
    </w:p>
    <w:p w:rsidR="003C7BCF" w:rsidRDefault="003C7BCF" w:rsidP="005B478C">
      <w:pPr>
        <w:jc w:val="both"/>
        <w:rPr>
          <w:rFonts w:ascii="Arial" w:hAnsi="Arial" w:cs="Arial"/>
        </w:rPr>
      </w:pPr>
    </w:p>
    <w:p w:rsidR="003C7BCF" w:rsidRPr="003C7BCF" w:rsidRDefault="00834F22" w:rsidP="003C7BCF">
      <w:pPr>
        <w:pStyle w:val="NormalWeb"/>
        <w:shd w:val="clear" w:color="auto" w:fill="FFFFFF"/>
        <w:spacing w:before="0" w:beforeAutospacing="0" w:after="0" w:afterAutospacing="0"/>
        <w:ind w:left="1440" w:right="720"/>
        <w:jc w:val="both"/>
        <w:rPr>
          <w:i/>
          <w:color w:val="000000"/>
          <w:sz w:val="27"/>
          <w:szCs w:val="27"/>
        </w:rPr>
      </w:pPr>
      <w:r>
        <w:rPr>
          <w:i/>
          <w:color w:val="000000"/>
        </w:rPr>
        <w:lastRenderedPageBreak/>
        <w:t>“</w:t>
      </w:r>
      <w:r w:rsidR="003C7BCF" w:rsidRPr="003C7BCF">
        <w:rPr>
          <w:i/>
          <w:color w:val="000000"/>
        </w:rPr>
        <w:t>A</w:t>
      </w:r>
      <w:proofErr w:type="gramStart"/>
      <w:r w:rsidR="003C7BCF" w:rsidRPr="003C7BCF">
        <w:rPr>
          <w:i/>
          <w:color w:val="000000"/>
        </w:rPr>
        <w:t>.</w:t>
      </w:r>
      <w:r w:rsidR="00911AD7">
        <w:rPr>
          <w:i/>
          <w:color w:val="000000"/>
        </w:rPr>
        <w:t xml:space="preserve"> </w:t>
      </w:r>
      <w:r w:rsidR="003C7BCF" w:rsidRPr="003C7BCF">
        <w:rPr>
          <w:i/>
          <w:color w:val="000000"/>
        </w:rPr>
        <w:t xml:space="preserve"> The</w:t>
      </w:r>
      <w:proofErr w:type="gramEnd"/>
      <w:r w:rsidR="003C7BCF" w:rsidRPr="003C7BCF">
        <w:rPr>
          <w:i/>
          <w:color w:val="000000"/>
        </w:rPr>
        <w:t xml:space="preserve"> executive shall transmit a report that identifies potential pilot projects to implement incentivizing the use of low impact development techniques.</w:t>
      </w:r>
      <w:r w:rsidR="00911AD7">
        <w:rPr>
          <w:i/>
          <w:color w:val="000000"/>
        </w:rPr>
        <w:t xml:space="preserve"> </w:t>
      </w:r>
      <w:r w:rsidR="003C7BCF" w:rsidRPr="003C7BCF">
        <w:rPr>
          <w:i/>
          <w:color w:val="000000"/>
        </w:rPr>
        <w:t xml:space="preserve"> The report shall include:</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sz w:val="14"/>
          <w:szCs w:val="14"/>
        </w:rPr>
        <w:t xml:space="preserve"> </w:t>
      </w:r>
      <w:r w:rsidRPr="003C7BCF">
        <w:rPr>
          <w:i/>
          <w:color w:val="000000"/>
        </w:rPr>
        <w:t xml:space="preserve"> 1.</w:t>
      </w:r>
      <w:r w:rsidR="00911AD7">
        <w:rPr>
          <w:i/>
          <w:color w:val="000000"/>
        </w:rPr>
        <w:t xml:space="preserve"> </w:t>
      </w:r>
      <w:r w:rsidRPr="003C7BCF">
        <w:rPr>
          <w:i/>
          <w:color w:val="000000"/>
        </w:rPr>
        <w:t xml:space="preserve"> Identification of a minimum of five pilot projects that further the goals of incentivizing the use of low impact development techniques; and</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sz w:val="14"/>
          <w:szCs w:val="14"/>
        </w:rPr>
        <w:t xml:space="preserve"> </w:t>
      </w:r>
      <w:r w:rsidRPr="003C7BCF">
        <w:rPr>
          <w:i/>
          <w:color w:val="000000"/>
        </w:rPr>
        <w:t xml:space="preserve"> 2.</w:t>
      </w:r>
      <w:r w:rsidR="00911AD7">
        <w:rPr>
          <w:i/>
          <w:color w:val="000000"/>
        </w:rPr>
        <w:t xml:space="preserve"> </w:t>
      </w:r>
      <w:r w:rsidRPr="003C7BCF">
        <w:rPr>
          <w:i/>
          <w:color w:val="000000"/>
        </w:rPr>
        <w:t xml:space="preserve"> Evaluation of the pilot projects against the following criteria:</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rPr>
        <w:t xml:space="preserve">   </w:t>
      </w:r>
      <w:r w:rsidRPr="003C7BCF">
        <w:rPr>
          <w:i/>
          <w:color w:val="000000"/>
        </w:rPr>
        <w:t xml:space="preserve"> </w:t>
      </w:r>
      <w:proofErr w:type="gramStart"/>
      <w:r w:rsidRPr="003C7BCF">
        <w:rPr>
          <w:i/>
          <w:color w:val="000000"/>
        </w:rPr>
        <w:t>a.</w:t>
      </w:r>
      <w:r w:rsidR="00911AD7">
        <w:rPr>
          <w:i/>
          <w:color w:val="000000"/>
        </w:rPr>
        <w:t xml:space="preserve"> </w:t>
      </w:r>
      <w:r w:rsidRPr="003C7BCF">
        <w:rPr>
          <w:i/>
          <w:color w:val="000000"/>
        </w:rPr>
        <w:t xml:space="preserve"> the</w:t>
      </w:r>
      <w:proofErr w:type="gramEnd"/>
      <w:r w:rsidRPr="003C7BCF">
        <w:rPr>
          <w:i/>
          <w:color w:val="000000"/>
        </w:rPr>
        <w:t xml:space="preserve"> policy goal the pilot project would achieve;</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sz w:val="14"/>
          <w:szCs w:val="14"/>
        </w:rPr>
        <w:t xml:space="preserve">   </w:t>
      </w:r>
      <w:r w:rsidRPr="003C7BCF">
        <w:rPr>
          <w:i/>
          <w:color w:val="000000"/>
        </w:rPr>
        <w:t xml:space="preserve"> </w:t>
      </w:r>
      <w:proofErr w:type="gramStart"/>
      <w:r w:rsidRPr="003C7BCF">
        <w:rPr>
          <w:i/>
          <w:color w:val="000000"/>
        </w:rPr>
        <w:t>b.</w:t>
      </w:r>
      <w:r w:rsidR="00911AD7">
        <w:rPr>
          <w:i/>
          <w:color w:val="000000"/>
        </w:rPr>
        <w:t xml:space="preserve"> </w:t>
      </w:r>
      <w:r w:rsidRPr="003C7BCF">
        <w:rPr>
          <w:i/>
          <w:color w:val="000000"/>
        </w:rPr>
        <w:t xml:space="preserve"> the</w:t>
      </w:r>
      <w:proofErr w:type="gramEnd"/>
      <w:r w:rsidRPr="003C7BCF">
        <w:rPr>
          <w:i/>
          <w:color w:val="000000"/>
        </w:rPr>
        <w:t xml:space="preserve"> anticipated costs of the pilot project and the expected impact on the surface water management fee rates;</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sz w:val="14"/>
          <w:szCs w:val="14"/>
        </w:rPr>
        <w:t xml:space="preserve">   </w:t>
      </w:r>
      <w:r w:rsidRPr="003C7BCF">
        <w:rPr>
          <w:i/>
          <w:color w:val="000000"/>
        </w:rPr>
        <w:t xml:space="preserve"> </w:t>
      </w:r>
      <w:proofErr w:type="gramStart"/>
      <w:r w:rsidRPr="003C7BCF">
        <w:rPr>
          <w:i/>
          <w:color w:val="000000"/>
        </w:rPr>
        <w:t>c.</w:t>
      </w:r>
      <w:r w:rsidR="00911AD7">
        <w:rPr>
          <w:i/>
          <w:color w:val="000000"/>
        </w:rPr>
        <w:t xml:space="preserve"> </w:t>
      </w:r>
      <w:r w:rsidRPr="003C7BCF">
        <w:rPr>
          <w:i/>
          <w:color w:val="000000"/>
        </w:rPr>
        <w:t xml:space="preserve"> the</w:t>
      </w:r>
      <w:proofErr w:type="gramEnd"/>
      <w:r w:rsidRPr="003C7BCF">
        <w:rPr>
          <w:i/>
          <w:color w:val="000000"/>
        </w:rPr>
        <w:t xml:space="preserve"> anticipated benefits of the pilot project, including benefits to water quality and to potential customers taking advantage of the pilot project;</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sz w:val="14"/>
          <w:szCs w:val="14"/>
        </w:rPr>
        <w:t xml:space="preserve">  </w:t>
      </w:r>
      <w:r w:rsidRPr="003C7BCF">
        <w:rPr>
          <w:i/>
          <w:color w:val="000000"/>
        </w:rPr>
        <w:t xml:space="preserve"> </w:t>
      </w:r>
      <w:proofErr w:type="gramStart"/>
      <w:r w:rsidRPr="003C7BCF">
        <w:rPr>
          <w:i/>
          <w:color w:val="000000"/>
        </w:rPr>
        <w:t>d.</w:t>
      </w:r>
      <w:r w:rsidR="00911AD7">
        <w:rPr>
          <w:i/>
          <w:color w:val="000000"/>
        </w:rPr>
        <w:t xml:space="preserve"> </w:t>
      </w:r>
      <w:r w:rsidRPr="003C7BCF">
        <w:rPr>
          <w:i/>
          <w:color w:val="000000"/>
        </w:rPr>
        <w:t xml:space="preserve"> identification</w:t>
      </w:r>
      <w:proofErr w:type="gramEnd"/>
      <w:r w:rsidRPr="003C7BCF">
        <w:rPr>
          <w:i/>
          <w:color w:val="000000"/>
        </w:rPr>
        <w:t xml:space="preserve"> and evaluation of measures to evaluate the effectiveness of the project, if implemented; and</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r w:rsidR="00911AD7">
        <w:rPr>
          <w:i/>
          <w:color w:val="000000"/>
          <w:sz w:val="14"/>
          <w:szCs w:val="14"/>
        </w:rPr>
        <w:t xml:space="preserve">   </w:t>
      </w:r>
      <w:r w:rsidRPr="003C7BCF">
        <w:rPr>
          <w:i/>
          <w:color w:val="000000"/>
        </w:rPr>
        <w:t xml:space="preserve"> </w:t>
      </w:r>
      <w:proofErr w:type="gramStart"/>
      <w:r w:rsidRPr="003C7BCF">
        <w:rPr>
          <w:i/>
          <w:color w:val="000000"/>
        </w:rPr>
        <w:t>e.</w:t>
      </w:r>
      <w:r w:rsidR="00911AD7">
        <w:rPr>
          <w:i/>
          <w:color w:val="000000"/>
        </w:rPr>
        <w:t xml:space="preserve"> </w:t>
      </w:r>
      <w:r w:rsidRPr="003C7BCF">
        <w:rPr>
          <w:i/>
          <w:color w:val="000000"/>
        </w:rPr>
        <w:t xml:space="preserve"> the</w:t>
      </w:r>
      <w:proofErr w:type="gramEnd"/>
      <w:r w:rsidRPr="003C7BCF">
        <w:rPr>
          <w:i/>
          <w:color w:val="000000"/>
        </w:rPr>
        <w:t xml:space="preserve"> length of time to implement the pilot project.</w:t>
      </w:r>
    </w:p>
    <w:p w:rsidR="003C7BCF" w:rsidRPr="003C7BCF" w:rsidRDefault="003C7BCF" w:rsidP="003C7BCF">
      <w:pPr>
        <w:pStyle w:val="NormalWeb"/>
        <w:shd w:val="clear" w:color="auto" w:fill="FFFFFF"/>
        <w:spacing w:before="0" w:beforeAutospacing="0" w:after="0" w:afterAutospacing="0"/>
        <w:ind w:left="1440" w:right="720"/>
        <w:jc w:val="both"/>
        <w:rPr>
          <w:i/>
          <w:color w:val="000000"/>
          <w:sz w:val="27"/>
          <w:szCs w:val="27"/>
        </w:rPr>
      </w:pPr>
      <w:r w:rsidRPr="003C7BCF">
        <w:rPr>
          <w:i/>
          <w:color w:val="000000"/>
          <w:sz w:val="14"/>
          <w:szCs w:val="14"/>
        </w:rPr>
        <w:t>                     </w:t>
      </w:r>
      <w:proofErr w:type="gramStart"/>
      <w:r w:rsidRPr="003C7BCF">
        <w:rPr>
          <w:i/>
          <w:color w:val="000000"/>
        </w:rPr>
        <w:t>B.</w:t>
      </w:r>
      <w:r w:rsidR="00911AD7">
        <w:rPr>
          <w:i/>
          <w:color w:val="000000"/>
        </w:rPr>
        <w:t xml:space="preserve"> </w:t>
      </w:r>
      <w:r w:rsidRPr="003C7BCF">
        <w:rPr>
          <w:i/>
          <w:color w:val="000000"/>
        </w:rPr>
        <w:t xml:space="preserve"> The</w:t>
      </w:r>
      <w:proofErr w:type="gramEnd"/>
      <w:r w:rsidRPr="003C7BCF">
        <w:rPr>
          <w:i/>
          <w:color w:val="000000"/>
        </w:rPr>
        <w:t xml:space="preserve"> report and a motion accepting the report shall be transmitted to the council by August 31, 2016, in the form of a paper original and an electronic copy to the clerk of the council, who shall retain the original and provide an electronic copy to all councilmembers, the council chief of staff, the policy staff director, and the lead staff for the transportation, economy and environment committee, or its successor.</w:t>
      </w:r>
      <w:r w:rsidR="00834F22">
        <w:rPr>
          <w:i/>
          <w:color w:val="000000"/>
        </w:rPr>
        <w:t>”</w:t>
      </w:r>
    </w:p>
    <w:p w:rsidR="003C7BCF" w:rsidRDefault="003C7BCF" w:rsidP="005B478C">
      <w:pPr>
        <w:jc w:val="both"/>
        <w:rPr>
          <w:rFonts w:ascii="Arial" w:hAnsi="Arial" w:cs="Arial"/>
        </w:rPr>
      </w:pPr>
    </w:p>
    <w:p w:rsidR="00575B03" w:rsidRDefault="00575B03" w:rsidP="005B478C">
      <w:pPr>
        <w:jc w:val="both"/>
        <w:rPr>
          <w:rFonts w:ascii="Arial" w:hAnsi="Arial" w:cs="Arial"/>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3C7BCF" w:rsidRDefault="003C7BCF" w:rsidP="003C7BCF">
      <w:pPr>
        <w:jc w:val="both"/>
        <w:rPr>
          <w:rFonts w:ascii="Arial" w:hAnsi="Arial" w:cs="Arial"/>
        </w:rPr>
      </w:pPr>
      <w:r>
        <w:rPr>
          <w:rFonts w:ascii="Arial" w:hAnsi="Arial" w:cs="Arial"/>
        </w:rPr>
        <w:t>The</w:t>
      </w:r>
      <w:r w:rsidRPr="00955DFA">
        <w:rPr>
          <w:rFonts w:ascii="Arial" w:hAnsi="Arial" w:cs="Arial"/>
        </w:rPr>
        <w:t xml:space="preserve"> Executive transmitted a report and motion responding t</w:t>
      </w:r>
      <w:r>
        <w:rPr>
          <w:rFonts w:ascii="Arial" w:hAnsi="Arial" w:cs="Arial"/>
        </w:rPr>
        <w:t>o each component of the requirement in Ordinance 18257.</w:t>
      </w:r>
    </w:p>
    <w:p w:rsidR="00423395" w:rsidRDefault="00423395" w:rsidP="003C7BCF">
      <w:pPr>
        <w:jc w:val="both"/>
        <w:rPr>
          <w:rFonts w:ascii="Arial" w:hAnsi="Arial" w:cs="Arial"/>
        </w:rPr>
      </w:pPr>
    </w:p>
    <w:p w:rsidR="00423395" w:rsidRPr="00423395" w:rsidRDefault="00423395" w:rsidP="003C7BCF">
      <w:pPr>
        <w:jc w:val="both"/>
        <w:rPr>
          <w:rFonts w:ascii="Arial" w:hAnsi="Arial" w:cs="Arial"/>
          <w:b/>
        </w:rPr>
      </w:pPr>
      <w:r w:rsidRPr="00423395">
        <w:rPr>
          <w:rFonts w:ascii="Arial" w:hAnsi="Arial" w:cs="Arial"/>
          <w:b/>
        </w:rPr>
        <w:t>A. Identification of Potential Pilot Projects to Incentive the Use of LID techniques.</w:t>
      </w:r>
    </w:p>
    <w:p w:rsidR="00911AD7" w:rsidRDefault="00911AD7" w:rsidP="005B478C">
      <w:pPr>
        <w:pStyle w:val="BodyText"/>
        <w:jc w:val="both"/>
        <w:rPr>
          <w:rFonts w:ascii="Arial" w:hAnsi="Arial" w:cs="Arial"/>
          <w:i w:val="0"/>
          <w:color w:val="000000"/>
          <w:u w:val="single"/>
        </w:rPr>
      </w:pPr>
    </w:p>
    <w:p w:rsidR="00264BE1" w:rsidRPr="00834F22" w:rsidRDefault="00834F22" w:rsidP="005B478C">
      <w:pPr>
        <w:pStyle w:val="BodyText"/>
        <w:jc w:val="both"/>
        <w:rPr>
          <w:rFonts w:ascii="Arial" w:hAnsi="Arial" w:cs="Arial"/>
          <w:i w:val="0"/>
          <w:color w:val="000000"/>
          <w:u w:val="single"/>
        </w:rPr>
      </w:pPr>
      <w:r w:rsidRPr="00834F22">
        <w:rPr>
          <w:rFonts w:ascii="Arial" w:hAnsi="Arial" w:cs="Arial"/>
          <w:i w:val="0"/>
          <w:color w:val="000000"/>
          <w:u w:val="single"/>
        </w:rPr>
        <w:t>1. Identification of a minimum of five pilot projects</w:t>
      </w:r>
      <w:r>
        <w:rPr>
          <w:rFonts w:ascii="Arial" w:hAnsi="Arial" w:cs="Arial"/>
          <w:i w:val="0"/>
          <w:color w:val="000000"/>
          <w:u w:val="single"/>
        </w:rPr>
        <w:t>.</w:t>
      </w:r>
    </w:p>
    <w:p w:rsidR="00834F22" w:rsidRPr="00834F22" w:rsidRDefault="00834F22" w:rsidP="00834F22">
      <w:pPr>
        <w:jc w:val="both"/>
        <w:rPr>
          <w:rFonts w:ascii="Arial" w:hAnsi="Arial" w:cs="Arial"/>
        </w:rPr>
      </w:pPr>
    </w:p>
    <w:p w:rsidR="00834F22" w:rsidRDefault="00834F22" w:rsidP="00834F22">
      <w:pPr>
        <w:jc w:val="both"/>
        <w:rPr>
          <w:rFonts w:ascii="Arial" w:hAnsi="Arial" w:cs="Arial"/>
        </w:rPr>
      </w:pPr>
      <w:r w:rsidRPr="00834F22">
        <w:rPr>
          <w:rFonts w:ascii="Arial" w:hAnsi="Arial" w:cs="Arial"/>
        </w:rPr>
        <w:t>The r</w:t>
      </w:r>
      <w:r>
        <w:rPr>
          <w:rFonts w:ascii="Arial" w:hAnsi="Arial" w:cs="Arial"/>
        </w:rPr>
        <w:t>e</w:t>
      </w:r>
      <w:r w:rsidRPr="00834F22">
        <w:rPr>
          <w:rFonts w:ascii="Arial" w:hAnsi="Arial" w:cs="Arial"/>
        </w:rPr>
        <w:t>p</w:t>
      </w:r>
      <w:r>
        <w:rPr>
          <w:rFonts w:ascii="Arial" w:hAnsi="Arial" w:cs="Arial"/>
        </w:rPr>
        <w:t>ort identifies six potential pilot projects</w:t>
      </w:r>
      <w:r w:rsidR="0078485F">
        <w:rPr>
          <w:rFonts w:ascii="Arial" w:hAnsi="Arial" w:cs="Arial"/>
        </w:rPr>
        <w:t>. Each of these projects would retrofit an existing, developed site, to introduce LID BMPs.</w:t>
      </w:r>
      <w:r w:rsidR="00BD3DB9">
        <w:rPr>
          <w:rFonts w:ascii="Arial" w:hAnsi="Arial" w:cs="Arial"/>
        </w:rPr>
        <w:t xml:space="preserve">  Executive staff report that they looked at retrofit projects exclusively (and not new or redevelopment projects), because</w:t>
      </w:r>
      <w:r w:rsidR="00911AD7">
        <w:rPr>
          <w:rFonts w:ascii="Arial" w:hAnsi="Arial" w:cs="Arial"/>
        </w:rPr>
        <w:t>,</w:t>
      </w:r>
      <w:r w:rsidR="00BD3DB9" w:rsidRPr="00BD3DB9">
        <w:rPr>
          <w:rFonts w:ascii="Arial" w:hAnsi="Arial" w:cs="Arial"/>
        </w:rPr>
        <w:t xml:space="preserve"> “The Surface Water Design Manual already requires that LID techniques be implemented to the maximum extent feasible on new development and redevelopment projects</w:t>
      </w:r>
      <w:r w:rsidR="00911AD7">
        <w:rPr>
          <w:rFonts w:ascii="Arial" w:hAnsi="Arial" w:cs="Arial"/>
        </w:rPr>
        <w:t>.</w:t>
      </w:r>
      <w:r w:rsidR="00BD3DB9" w:rsidRPr="00BD3DB9">
        <w:rPr>
          <w:rFonts w:ascii="Arial" w:hAnsi="Arial" w:cs="Arial"/>
        </w:rPr>
        <w:t>”</w:t>
      </w:r>
      <w:r w:rsidR="00BD3DB9">
        <w:rPr>
          <w:rFonts w:ascii="Arial" w:hAnsi="Arial" w:cs="Arial"/>
        </w:rPr>
        <w:t xml:space="preserve"> The potential pilot projects include:</w:t>
      </w:r>
    </w:p>
    <w:p w:rsidR="00834F22" w:rsidRDefault="00834F22" w:rsidP="00834F22">
      <w:pPr>
        <w:jc w:val="both"/>
        <w:rPr>
          <w:rFonts w:ascii="Arial" w:hAnsi="Arial" w:cs="Arial"/>
        </w:rPr>
      </w:pPr>
    </w:p>
    <w:p w:rsidR="00834F22" w:rsidRPr="00834F22" w:rsidRDefault="00834F22" w:rsidP="00FE2E78">
      <w:pPr>
        <w:pStyle w:val="ListParagraph0"/>
        <w:keepNext/>
        <w:numPr>
          <w:ilvl w:val="0"/>
          <w:numId w:val="43"/>
        </w:numPr>
        <w:jc w:val="both"/>
        <w:rPr>
          <w:rFonts w:ascii="Arial" w:hAnsi="Arial" w:cs="Arial"/>
        </w:rPr>
      </w:pPr>
      <w:r w:rsidRPr="00834F22">
        <w:rPr>
          <w:rFonts w:ascii="Arial" w:hAnsi="Arial" w:cs="Arial"/>
        </w:rPr>
        <w:t>Vashon Grocery Store Site – Install 1830 linear feet of "Limited Infiltration" trench</w:t>
      </w:r>
    </w:p>
    <w:p w:rsidR="00834F22" w:rsidRPr="00834F22" w:rsidRDefault="00834F22" w:rsidP="00FE2E78">
      <w:pPr>
        <w:pStyle w:val="ListParagraph0"/>
        <w:keepNext/>
        <w:numPr>
          <w:ilvl w:val="0"/>
          <w:numId w:val="43"/>
        </w:numPr>
        <w:jc w:val="both"/>
        <w:rPr>
          <w:rFonts w:ascii="Arial" w:hAnsi="Arial" w:cs="Arial"/>
        </w:rPr>
      </w:pPr>
      <w:r w:rsidRPr="00834F22">
        <w:rPr>
          <w:rFonts w:ascii="Arial" w:hAnsi="Arial" w:cs="Arial"/>
        </w:rPr>
        <w:t xml:space="preserve">Enumclaw Restaurant Site – Install a 2280 square foot "Rain Garden" </w:t>
      </w:r>
    </w:p>
    <w:p w:rsidR="00834F22" w:rsidRPr="00834F22" w:rsidRDefault="00834F22" w:rsidP="00FE2E78">
      <w:pPr>
        <w:pStyle w:val="ListParagraph0"/>
        <w:keepNext/>
        <w:numPr>
          <w:ilvl w:val="0"/>
          <w:numId w:val="43"/>
        </w:numPr>
        <w:jc w:val="both"/>
        <w:rPr>
          <w:rFonts w:ascii="Arial" w:hAnsi="Arial" w:cs="Arial"/>
        </w:rPr>
      </w:pPr>
      <w:r w:rsidRPr="00834F22">
        <w:rPr>
          <w:rFonts w:ascii="Arial" w:hAnsi="Arial" w:cs="Arial"/>
        </w:rPr>
        <w:t>Rural Private Airport Site – Install 800 linear feet of "Full Infiltration" trench</w:t>
      </w:r>
    </w:p>
    <w:p w:rsidR="00834F22" w:rsidRPr="00834F22" w:rsidRDefault="00834F22" w:rsidP="00FE2E78">
      <w:pPr>
        <w:pStyle w:val="ListParagraph0"/>
        <w:keepNext/>
        <w:numPr>
          <w:ilvl w:val="0"/>
          <w:numId w:val="43"/>
        </w:numPr>
        <w:jc w:val="both"/>
        <w:rPr>
          <w:rFonts w:ascii="Arial" w:hAnsi="Arial" w:cs="Arial"/>
        </w:rPr>
      </w:pPr>
      <w:r w:rsidRPr="00834F22">
        <w:rPr>
          <w:rFonts w:ascii="Arial" w:hAnsi="Arial" w:cs="Arial"/>
        </w:rPr>
        <w:t>Rural Church site – Install 268 linear feet of "Limited Infiltration" trench</w:t>
      </w:r>
    </w:p>
    <w:p w:rsidR="00834F22" w:rsidRPr="00834F22" w:rsidRDefault="00834F22" w:rsidP="00FE2E78">
      <w:pPr>
        <w:pStyle w:val="ListParagraph0"/>
        <w:numPr>
          <w:ilvl w:val="0"/>
          <w:numId w:val="43"/>
        </w:numPr>
        <w:jc w:val="both"/>
        <w:rPr>
          <w:rFonts w:ascii="Arial" w:hAnsi="Arial" w:cs="Arial"/>
        </w:rPr>
      </w:pPr>
      <w:r w:rsidRPr="00834F22">
        <w:rPr>
          <w:rFonts w:ascii="Arial" w:hAnsi="Arial" w:cs="Arial"/>
        </w:rPr>
        <w:t xml:space="preserve">Typical </w:t>
      </w:r>
      <w:r>
        <w:rPr>
          <w:rFonts w:ascii="Arial" w:hAnsi="Arial" w:cs="Arial"/>
        </w:rPr>
        <w:t>Single-Family</w:t>
      </w:r>
      <w:r w:rsidRPr="00834F22">
        <w:rPr>
          <w:rFonts w:ascii="Arial" w:hAnsi="Arial" w:cs="Arial"/>
        </w:rPr>
        <w:t xml:space="preserve"> Residential </w:t>
      </w:r>
      <w:r>
        <w:rPr>
          <w:rFonts w:ascii="Arial" w:hAnsi="Arial" w:cs="Arial"/>
        </w:rPr>
        <w:t>–</w:t>
      </w:r>
      <w:r w:rsidRPr="00834F22">
        <w:rPr>
          <w:rFonts w:ascii="Arial" w:hAnsi="Arial" w:cs="Arial"/>
        </w:rPr>
        <w:t xml:space="preserve"> Rural – Install 91 linear feet of "Full Infiltration" trench</w:t>
      </w:r>
    </w:p>
    <w:p w:rsidR="00834F22" w:rsidRPr="00834F22" w:rsidRDefault="00834F22" w:rsidP="00FE2E78">
      <w:pPr>
        <w:pStyle w:val="ListParagraph0"/>
        <w:numPr>
          <w:ilvl w:val="0"/>
          <w:numId w:val="43"/>
        </w:numPr>
        <w:jc w:val="both"/>
        <w:rPr>
          <w:rFonts w:ascii="Arial" w:hAnsi="Arial" w:cs="Arial"/>
        </w:rPr>
      </w:pPr>
      <w:r>
        <w:rPr>
          <w:rFonts w:ascii="Arial" w:hAnsi="Arial" w:cs="Arial"/>
        </w:rPr>
        <w:t>Typical Single-Family</w:t>
      </w:r>
      <w:r w:rsidRPr="00834F22">
        <w:rPr>
          <w:rFonts w:ascii="Arial" w:hAnsi="Arial" w:cs="Arial"/>
        </w:rPr>
        <w:t xml:space="preserve"> Residential – Urban – Install 110 linear feet of “Limited Infiltration” trench</w:t>
      </w:r>
    </w:p>
    <w:p w:rsidR="00911AD7" w:rsidRDefault="00911AD7">
      <w:pPr>
        <w:rPr>
          <w:rFonts w:ascii="Arial" w:hAnsi="Arial" w:cs="Arial"/>
        </w:rPr>
      </w:pPr>
      <w:r>
        <w:rPr>
          <w:rFonts w:ascii="Arial" w:hAnsi="Arial" w:cs="Arial"/>
        </w:rPr>
        <w:br w:type="page"/>
      </w:r>
    </w:p>
    <w:p w:rsidR="00834F22" w:rsidRDefault="00834F22" w:rsidP="00834F22">
      <w:pPr>
        <w:jc w:val="both"/>
        <w:rPr>
          <w:rFonts w:ascii="Arial" w:hAnsi="Arial" w:cs="Arial"/>
        </w:rPr>
      </w:pPr>
    </w:p>
    <w:p w:rsidR="00352E9C" w:rsidRDefault="00352E9C" w:rsidP="00834F22">
      <w:pPr>
        <w:jc w:val="both"/>
        <w:rPr>
          <w:rFonts w:ascii="Arial" w:hAnsi="Arial" w:cs="Arial"/>
        </w:rPr>
      </w:pPr>
      <w:r>
        <w:rPr>
          <w:rFonts w:ascii="Arial" w:hAnsi="Arial" w:cs="Arial"/>
        </w:rPr>
        <w:t>The report describes these types of projects:</w:t>
      </w:r>
    </w:p>
    <w:p w:rsidR="00352E9C" w:rsidRDefault="00352E9C" w:rsidP="00911AD7">
      <w:pPr>
        <w:jc w:val="both"/>
        <w:rPr>
          <w:rFonts w:ascii="Arial" w:hAnsi="Arial" w:cs="Arial"/>
        </w:rPr>
      </w:pPr>
    </w:p>
    <w:p w:rsidR="00352E9C" w:rsidRDefault="00352E9C" w:rsidP="00911AD7">
      <w:pPr>
        <w:pStyle w:val="ListParagraph0"/>
        <w:numPr>
          <w:ilvl w:val="0"/>
          <w:numId w:val="44"/>
        </w:numPr>
        <w:spacing w:line="240" w:lineRule="auto"/>
        <w:ind w:right="720"/>
        <w:contextualSpacing/>
        <w:jc w:val="both"/>
        <w:rPr>
          <w:rFonts w:ascii="Arial" w:hAnsi="Arial" w:cs="Arial"/>
        </w:rPr>
      </w:pPr>
      <w:r>
        <w:rPr>
          <w:rFonts w:ascii="Arial" w:hAnsi="Arial" w:cs="Arial"/>
        </w:rPr>
        <w:t>“</w:t>
      </w:r>
      <w:r w:rsidRPr="00352E9C">
        <w:rPr>
          <w:rFonts w:ascii="Arial" w:hAnsi="Arial" w:cs="Arial"/>
        </w:rPr>
        <w:t>Full Dispersion or Full Infiltration – Full Dispersion involves preserving forest area on 65 percent or more of the site and dispersing/spreading runoff into the forest area where it is retained and infiltrated by the spongy duff on the forest floor and/or consumed by the vegetation.  Full Infiltration involves infiltrating the runoff from impervious surface via grave</w:t>
      </w:r>
      <w:r w:rsidR="00911AD7">
        <w:rPr>
          <w:rFonts w:ascii="Arial" w:hAnsi="Arial" w:cs="Arial"/>
        </w:rPr>
        <w:t xml:space="preserve">l-filled trenches or drywells. </w:t>
      </w:r>
    </w:p>
    <w:p w:rsidR="00911AD7" w:rsidRPr="00352E9C" w:rsidRDefault="00911AD7" w:rsidP="00911AD7">
      <w:pPr>
        <w:pStyle w:val="ListParagraph0"/>
        <w:spacing w:line="240" w:lineRule="auto"/>
        <w:ind w:right="720"/>
        <w:contextualSpacing/>
        <w:jc w:val="both"/>
        <w:rPr>
          <w:rFonts w:ascii="Arial" w:hAnsi="Arial" w:cs="Arial"/>
        </w:rPr>
      </w:pPr>
    </w:p>
    <w:p w:rsidR="00352E9C" w:rsidRPr="00352E9C" w:rsidRDefault="00352E9C" w:rsidP="00911AD7">
      <w:pPr>
        <w:pStyle w:val="ListParagraph0"/>
        <w:numPr>
          <w:ilvl w:val="0"/>
          <w:numId w:val="44"/>
        </w:numPr>
        <w:spacing w:line="240" w:lineRule="auto"/>
        <w:ind w:right="720"/>
        <w:contextualSpacing/>
        <w:jc w:val="both"/>
        <w:rPr>
          <w:rFonts w:ascii="Arial" w:hAnsi="Arial" w:cs="Arial"/>
        </w:rPr>
      </w:pPr>
      <w:r w:rsidRPr="00352E9C">
        <w:rPr>
          <w:rFonts w:ascii="Arial" w:hAnsi="Arial" w:cs="Arial"/>
        </w:rPr>
        <w:t xml:space="preserve">Limited Infiltration, Rain Garden (also called </w:t>
      </w:r>
      <w:proofErr w:type="spellStart"/>
      <w:r w:rsidRPr="00352E9C">
        <w:rPr>
          <w:rFonts w:ascii="Arial" w:hAnsi="Arial" w:cs="Arial"/>
        </w:rPr>
        <w:t>Bioretention</w:t>
      </w:r>
      <w:proofErr w:type="spellEnd"/>
      <w:r w:rsidRPr="00352E9C">
        <w:rPr>
          <w:rFonts w:ascii="Arial" w:hAnsi="Arial" w:cs="Arial"/>
        </w:rPr>
        <w:t>), or Permeable Pavement –</w:t>
      </w:r>
      <w:r>
        <w:rPr>
          <w:rFonts w:ascii="Arial" w:hAnsi="Arial" w:cs="Arial"/>
        </w:rPr>
        <w:t xml:space="preserve"> </w:t>
      </w:r>
      <w:r w:rsidRPr="00352E9C">
        <w:rPr>
          <w:rFonts w:ascii="Arial" w:hAnsi="Arial" w:cs="Arial"/>
        </w:rPr>
        <w:t>Limited Infiltration is like Full Infiltration, except it may be used where Full Infiltration is not feasible due to soils with low to moderate permeability Rain Gardens are small vegetated ponds that retain and infiltrate runoff.  Permeable Pavement allows stormwater to pass through the pavement into a reservoir under the pavement where it infiltrates.</w:t>
      </w:r>
      <w:r>
        <w:rPr>
          <w:rFonts w:ascii="Arial" w:hAnsi="Arial" w:cs="Arial"/>
        </w:rPr>
        <w:t>”</w:t>
      </w:r>
    </w:p>
    <w:p w:rsidR="00352E9C" w:rsidRDefault="00352E9C" w:rsidP="00834F22">
      <w:pPr>
        <w:jc w:val="both"/>
        <w:rPr>
          <w:rFonts w:ascii="Arial" w:hAnsi="Arial" w:cs="Arial"/>
        </w:rPr>
      </w:pPr>
    </w:p>
    <w:p w:rsidR="00834F22" w:rsidRDefault="00834F22" w:rsidP="00834F22">
      <w:pPr>
        <w:pStyle w:val="BodyText"/>
        <w:jc w:val="both"/>
        <w:rPr>
          <w:rFonts w:ascii="Arial" w:hAnsi="Arial" w:cs="Arial"/>
          <w:i w:val="0"/>
          <w:color w:val="000000"/>
          <w:u w:val="single"/>
        </w:rPr>
      </w:pPr>
      <w:r w:rsidRPr="00834F22">
        <w:rPr>
          <w:rFonts w:ascii="Arial" w:hAnsi="Arial" w:cs="Arial"/>
          <w:i w:val="0"/>
          <w:color w:val="000000"/>
          <w:u w:val="single"/>
        </w:rPr>
        <w:t>2. Evaluation of the pilot projects</w:t>
      </w:r>
    </w:p>
    <w:p w:rsidR="00834F22" w:rsidRDefault="00834F22" w:rsidP="00834F22">
      <w:pPr>
        <w:pStyle w:val="BodyText"/>
        <w:jc w:val="both"/>
        <w:rPr>
          <w:rFonts w:ascii="Arial" w:hAnsi="Arial" w:cs="Arial"/>
          <w:i w:val="0"/>
          <w:color w:val="000000"/>
        </w:rPr>
      </w:pPr>
    </w:p>
    <w:p w:rsidR="000E439F" w:rsidRDefault="007B2226" w:rsidP="00834F22">
      <w:pPr>
        <w:pStyle w:val="BodyText"/>
        <w:jc w:val="both"/>
        <w:rPr>
          <w:rFonts w:ascii="Arial" w:hAnsi="Arial" w:cs="Arial"/>
          <w:i w:val="0"/>
          <w:szCs w:val="24"/>
          <w:lang w:bidi="en-US"/>
        </w:rPr>
      </w:pPr>
      <w:r>
        <w:rPr>
          <w:rFonts w:ascii="Arial" w:hAnsi="Arial" w:cs="Arial"/>
          <w:i w:val="0"/>
          <w:color w:val="000000"/>
        </w:rPr>
        <w:t xml:space="preserve">For each of the potential pilot projects, the report provides information on each of the criteria identified in the report.  </w:t>
      </w:r>
      <w:r w:rsidR="00BC1CEF">
        <w:rPr>
          <w:rFonts w:ascii="Arial" w:hAnsi="Arial" w:cs="Arial"/>
          <w:i w:val="0"/>
          <w:color w:val="000000"/>
        </w:rPr>
        <w:t>The report states that all of the projects achieve the goals of King County Comprehensive Plan Policy E-495, responding to the first evaluation criteria.</w:t>
      </w:r>
      <w:r w:rsidR="00BC1CEF">
        <w:rPr>
          <w:rStyle w:val="FootnoteReference"/>
          <w:rFonts w:ascii="Arial" w:hAnsi="Arial" w:cs="Arial"/>
          <w:i w:val="0"/>
          <w:color w:val="000000"/>
        </w:rPr>
        <w:footnoteReference w:id="1"/>
      </w:r>
      <w:r w:rsidR="00BC1CEF">
        <w:rPr>
          <w:rFonts w:ascii="Arial" w:hAnsi="Arial" w:cs="Arial"/>
          <w:i w:val="0"/>
          <w:color w:val="000000"/>
        </w:rPr>
        <w:t xml:space="preserve">  Similarly, the w</w:t>
      </w:r>
      <w:r w:rsidR="00BC1CEF" w:rsidRPr="00BC1CEF">
        <w:rPr>
          <w:rFonts w:ascii="Arial" w:hAnsi="Arial" w:cs="Arial"/>
          <w:i w:val="0"/>
          <w:color w:val="000000"/>
        </w:rPr>
        <w:t xml:space="preserve">ater quality benefits </w:t>
      </w:r>
      <w:r w:rsidR="00BC1CEF">
        <w:rPr>
          <w:rFonts w:ascii="Arial" w:hAnsi="Arial" w:cs="Arial"/>
          <w:i w:val="0"/>
          <w:color w:val="000000"/>
        </w:rPr>
        <w:t xml:space="preserve">and benefits to property owners </w:t>
      </w:r>
      <w:r w:rsidR="00BC1CEF" w:rsidRPr="00BC1CEF">
        <w:rPr>
          <w:rFonts w:ascii="Arial" w:hAnsi="Arial" w:cs="Arial"/>
          <w:i w:val="0"/>
          <w:color w:val="000000"/>
        </w:rPr>
        <w:t>are</w:t>
      </w:r>
      <w:r w:rsidR="00911AD7">
        <w:rPr>
          <w:rFonts w:ascii="Arial" w:hAnsi="Arial" w:cs="Arial"/>
          <w:i w:val="0"/>
          <w:color w:val="000000"/>
        </w:rPr>
        <w:t>,</w:t>
      </w:r>
      <w:r w:rsidR="00BC1CEF" w:rsidRPr="00BC1CEF">
        <w:rPr>
          <w:rFonts w:ascii="Arial" w:hAnsi="Arial" w:cs="Arial"/>
          <w:i w:val="0"/>
          <w:color w:val="000000"/>
        </w:rPr>
        <w:t xml:space="preserve"> “</w:t>
      </w:r>
      <w:r w:rsidR="00BC1CEF" w:rsidRPr="00BC1CEF">
        <w:rPr>
          <w:rFonts w:ascii="Arial" w:hAnsi="Arial" w:cs="Arial"/>
          <w:i w:val="0"/>
          <w:szCs w:val="24"/>
          <w:lang w:bidi="en-US"/>
        </w:rPr>
        <w:t>relatively consistent across projects, with some variation between sites.  Generally, LID facilities help increase stormwater infiltration, recharge the local groundwater, and provide additional summer flow in local streams”.</w:t>
      </w:r>
      <w:r w:rsidR="00BC1CEF">
        <w:rPr>
          <w:rFonts w:ascii="Arial" w:hAnsi="Arial" w:cs="Arial"/>
          <w:i w:val="0"/>
          <w:szCs w:val="24"/>
          <w:lang w:bidi="en-US"/>
        </w:rPr>
        <w:t xml:space="preserve"> </w:t>
      </w:r>
      <w:r w:rsidR="000E439F">
        <w:rPr>
          <w:rFonts w:ascii="Arial" w:hAnsi="Arial" w:cs="Arial"/>
          <w:i w:val="0"/>
          <w:szCs w:val="24"/>
          <w:lang w:bidi="en-US"/>
        </w:rPr>
        <w:t>Further, each of the proposed projects has quantifiable performance measures, which are related to how well they function in controlling the flow of stormwater during storm events.</w:t>
      </w:r>
    </w:p>
    <w:p w:rsidR="007B2226" w:rsidRDefault="007B2226" w:rsidP="00834F22">
      <w:pPr>
        <w:pStyle w:val="BodyText"/>
        <w:jc w:val="both"/>
        <w:rPr>
          <w:rFonts w:ascii="Arial" w:hAnsi="Arial" w:cs="Arial"/>
          <w:i w:val="0"/>
          <w:color w:val="000000"/>
        </w:rPr>
      </w:pPr>
    </w:p>
    <w:tbl>
      <w:tblPr>
        <w:tblStyle w:val="TableGrid"/>
        <w:tblW w:w="0" w:type="auto"/>
        <w:jc w:val="center"/>
        <w:tblLook w:val="04A0" w:firstRow="1" w:lastRow="0" w:firstColumn="1" w:lastColumn="0" w:noHBand="0" w:noVBand="1"/>
      </w:tblPr>
      <w:tblGrid>
        <w:gridCol w:w="2724"/>
        <w:gridCol w:w="2337"/>
        <w:gridCol w:w="2924"/>
      </w:tblGrid>
      <w:tr w:rsidR="000E439F" w:rsidRPr="00FA498D" w:rsidTr="000E439F">
        <w:trPr>
          <w:jc w:val="center"/>
        </w:trPr>
        <w:tc>
          <w:tcPr>
            <w:tcW w:w="2724" w:type="dxa"/>
            <w:shd w:val="clear" w:color="auto" w:fill="000000" w:themeFill="text1"/>
          </w:tcPr>
          <w:p w:rsidR="000E439F" w:rsidRPr="00FA498D" w:rsidRDefault="000E439F" w:rsidP="00911AD7">
            <w:pPr>
              <w:pStyle w:val="BodyText"/>
              <w:spacing w:before="20" w:after="20"/>
              <w:jc w:val="both"/>
              <w:rPr>
                <w:rFonts w:ascii="Arial" w:hAnsi="Arial" w:cs="Arial"/>
                <w:i w:val="0"/>
                <w:color w:val="FFFFFF" w:themeColor="background1"/>
                <w:szCs w:val="24"/>
              </w:rPr>
            </w:pPr>
            <w:r w:rsidRPr="00FA498D">
              <w:rPr>
                <w:rFonts w:ascii="Arial" w:hAnsi="Arial" w:cs="Arial"/>
                <w:i w:val="0"/>
                <w:color w:val="FFFFFF" w:themeColor="background1"/>
                <w:szCs w:val="24"/>
              </w:rPr>
              <w:t>Project</w:t>
            </w:r>
          </w:p>
        </w:tc>
        <w:tc>
          <w:tcPr>
            <w:tcW w:w="2337" w:type="dxa"/>
            <w:shd w:val="clear" w:color="auto" w:fill="000000" w:themeFill="text1"/>
          </w:tcPr>
          <w:p w:rsidR="000E439F" w:rsidRPr="00FA498D" w:rsidRDefault="000E439F" w:rsidP="00911AD7">
            <w:pPr>
              <w:pStyle w:val="BodyText"/>
              <w:spacing w:before="20" w:after="20"/>
              <w:jc w:val="both"/>
              <w:rPr>
                <w:rFonts w:ascii="Arial" w:hAnsi="Arial" w:cs="Arial"/>
                <w:i w:val="0"/>
                <w:color w:val="FFFFFF" w:themeColor="background1"/>
                <w:szCs w:val="24"/>
              </w:rPr>
            </w:pPr>
            <w:r w:rsidRPr="00FA498D">
              <w:rPr>
                <w:rFonts w:ascii="Arial" w:hAnsi="Arial" w:cs="Arial"/>
                <w:i w:val="0"/>
                <w:color w:val="FFFFFF" w:themeColor="background1"/>
                <w:szCs w:val="24"/>
              </w:rPr>
              <w:t>Cost / Rate Impact</w:t>
            </w:r>
          </w:p>
        </w:tc>
        <w:tc>
          <w:tcPr>
            <w:tcW w:w="2924" w:type="dxa"/>
            <w:shd w:val="clear" w:color="auto" w:fill="000000" w:themeFill="text1"/>
          </w:tcPr>
          <w:p w:rsidR="000E439F" w:rsidRPr="00FA498D" w:rsidRDefault="000E439F" w:rsidP="00911AD7">
            <w:pPr>
              <w:pStyle w:val="BodyText"/>
              <w:spacing w:before="20" w:after="20"/>
              <w:jc w:val="both"/>
              <w:rPr>
                <w:rFonts w:ascii="Arial" w:hAnsi="Arial" w:cs="Arial"/>
                <w:i w:val="0"/>
                <w:color w:val="FFFFFF" w:themeColor="background1"/>
                <w:szCs w:val="24"/>
              </w:rPr>
            </w:pPr>
            <w:r w:rsidRPr="00FA498D">
              <w:rPr>
                <w:rFonts w:ascii="Arial" w:hAnsi="Arial" w:cs="Arial"/>
                <w:i w:val="0"/>
                <w:color w:val="FFFFFF" w:themeColor="background1"/>
                <w:szCs w:val="24"/>
              </w:rPr>
              <w:t>Implementation Time</w:t>
            </w:r>
          </w:p>
        </w:tc>
      </w:tr>
      <w:tr w:rsidR="000E439F" w:rsidRPr="00FA498D" w:rsidTr="00911AD7">
        <w:trPr>
          <w:jc w:val="center"/>
        </w:trPr>
        <w:tc>
          <w:tcPr>
            <w:tcW w:w="2724" w:type="dxa"/>
            <w:vAlign w:val="center"/>
          </w:tcPr>
          <w:p w:rsidR="000E439F" w:rsidRPr="00FA498D" w:rsidRDefault="000E439F" w:rsidP="00911AD7">
            <w:pPr>
              <w:pStyle w:val="BodyText"/>
              <w:spacing w:before="20" w:after="20"/>
              <w:rPr>
                <w:rFonts w:ascii="Arial" w:hAnsi="Arial" w:cs="Arial"/>
                <w:i w:val="0"/>
                <w:color w:val="000000"/>
                <w:szCs w:val="24"/>
              </w:rPr>
            </w:pPr>
            <w:r w:rsidRPr="00FA498D">
              <w:rPr>
                <w:rFonts w:ascii="Arial" w:hAnsi="Arial" w:cs="Arial"/>
                <w:szCs w:val="24"/>
              </w:rPr>
              <w:t>Vashon Grocery Store</w:t>
            </w:r>
          </w:p>
        </w:tc>
        <w:tc>
          <w:tcPr>
            <w:tcW w:w="2337" w:type="dxa"/>
            <w:vAlign w:val="center"/>
          </w:tcPr>
          <w:p w:rsidR="000E439F" w:rsidRPr="00FA498D" w:rsidRDefault="000E439F" w:rsidP="00911AD7">
            <w:pPr>
              <w:keepNext/>
              <w:spacing w:before="20" w:after="20"/>
              <w:rPr>
                <w:rFonts w:ascii="Arial" w:hAnsi="Arial" w:cs="Arial"/>
                <w:szCs w:val="24"/>
              </w:rPr>
            </w:pPr>
            <w:r w:rsidRPr="00FA498D">
              <w:rPr>
                <w:rFonts w:ascii="Arial" w:hAnsi="Arial" w:cs="Arial"/>
                <w:szCs w:val="24"/>
              </w:rPr>
              <w:t>Capital: $191,800</w:t>
            </w:r>
          </w:p>
          <w:p w:rsidR="000E439F" w:rsidRPr="00FA498D" w:rsidRDefault="000E439F" w:rsidP="00911AD7">
            <w:pPr>
              <w:keepNext/>
              <w:spacing w:before="20" w:after="20"/>
              <w:rPr>
                <w:rFonts w:ascii="Arial" w:hAnsi="Arial" w:cs="Arial"/>
                <w:szCs w:val="24"/>
              </w:rPr>
            </w:pPr>
            <w:r w:rsidRPr="00FA498D">
              <w:rPr>
                <w:rFonts w:ascii="Arial" w:hAnsi="Arial" w:cs="Arial"/>
                <w:szCs w:val="24"/>
              </w:rPr>
              <w:t>Annual: $250</w:t>
            </w:r>
          </w:p>
        </w:tc>
        <w:tc>
          <w:tcPr>
            <w:tcW w:w="2924" w:type="dxa"/>
            <w:vAlign w:val="center"/>
          </w:tcPr>
          <w:p w:rsidR="000E439F" w:rsidRPr="00FA498D" w:rsidRDefault="000E439F" w:rsidP="00911AD7">
            <w:pPr>
              <w:pStyle w:val="BodyText"/>
              <w:spacing w:before="20" w:after="20"/>
              <w:rPr>
                <w:rFonts w:ascii="Arial" w:hAnsi="Arial" w:cs="Arial"/>
                <w:i w:val="0"/>
                <w:color w:val="000000"/>
                <w:szCs w:val="24"/>
              </w:rPr>
            </w:pPr>
            <w:r>
              <w:rPr>
                <w:rFonts w:ascii="Arial" w:hAnsi="Arial" w:cs="Arial"/>
                <w:i w:val="0"/>
                <w:color w:val="000000"/>
                <w:szCs w:val="24"/>
              </w:rPr>
              <w:t>Construction: 1-2 weeks</w:t>
            </w:r>
          </w:p>
        </w:tc>
      </w:tr>
      <w:tr w:rsidR="000E439F" w:rsidRPr="00FA498D" w:rsidTr="00911AD7">
        <w:trPr>
          <w:jc w:val="center"/>
        </w:trPr>
        <w:tc>
          <w:tcPr>
            <w:tcW w:w="2724" w:type="dxa"/>
            <w:vAlign w:val="center"/>
          </w:tcPr>
          <w:p w:rsidR="000E439F" w:rsidRPr="00FA498D" w:rsidRDefault="000E439F" w:rsidP="00911AD7">
            <w:pPr>
              <w:pStyle w:val="BodyText"/>
              <w:spacing w:before="20" w:after="20"/>
              <w:rPr>
                <w:rFonts w:ascii="Arial" w:hAnsi="Arial" w:cs="Arial"/>
                <w:szCs w:val="24"/>
              </w:rPr>
            </w:pPr>
            <w:r w:rsidRPr="00FA498D">
              <w:rPr>
                <w:rFonts w:ascii="Arial" w:hAnsi="Arial" w:cs="Arial"/>
                <w:szCs w:val="24"/>
              </w:rPr>
              <w:t>Enumclaw Restaurant</w:t>
            </w:r>
          </w:p>
        </w:tc>
        <w:tc>
          <w:tcPr>
            <w:tcW w:w="2337" w:type="dxa"/>
            <w:vAlign w:val="center"/>
          </w:tcPr>
          <w:p w:rsidR="000E439F" w:rsidRPr="00FA498D" w:rsidRDefault="000E439F" w:rsidP="00911AD7">
            <w:pPr>
              <w:keepNext/>
              <w:spacing w:before="20" w:after="20"/>
              <w:rPr>
                <w:rFonts w:ascii="Arial" w:hAnsi="Arial" w:cs="Arial"/>
                <w:szCs w:val="24"/>
              </w:rPr>
            </w:pPr>
            <w:r w:rsidRPr="00FA498D">
              <w:rPr>
                <w:rFonts w:ascii="Arial" w:hAnsi="Arial" w:cs="Arial"/>
                <w:szCs w:val="24"/>
              </w:rPr>
              <w:t>Capital: $21,200</w:t>
            </w:r>
          </w:p>
          <w:p w:rsidR="000E439F" w:rsidRPr="00FA498D" w:rsidRDefault="000E439F" w:rsidP="00911AD7">
            <w:pPr>
              <w:keepNext/>
              <w:spacing w:before="20" w:after="20"/>
              <w:rPr>
                <w:rFonts w:ascii="Arial" w:hAnsi="Arial" w:cs="Arial"/>
                <w:szCs w:val="24"/>
              </w:rPr>
            </w:pPr>
            <w:r w:rsidRPr="00FA498D">
              <w:rPr>
                <w:rFonts w:ascii="Arial" w:hAnsi="Arial" w:cs="Arial"/>
                <w:szCs w:val="24"/>
              </w:rPr>
              <w:t>Annual: $200</w:t>
            </w:r>
          </w:p>
        </w:tc>
        <w:tc>
          <w:tcPr>
            <w:tcW w:w="2924" w:type="dxa"/>
            <w:vAlign w:val="center"/>
          </w:tcPr>
          <w:p w:rsidR="000E439F" w:rsidRPr="00FA498D" w:rsidRDefault="000E439F" w:rsidP="00911AD7">
            <w:pPr>
              <w:pStyle w:val="BodyText"/>
              <w:spacing w:before="20" w:after="20"/>
              <w:rPr>
                <w:rFonts w:ascii="Arial" w:hAnsi="Arial" w:cs="Arial"/>
                <w:i w:val="0"/>
                <w:color w:val="000000"/>
                <w:szCs w:val="24"/>
              </w:rPr>
            </w:pPr>
            <w:r>
              <w:rPr>
                <w:rFonts w:ascii="Arial" w:hAnsi="Arial" w:cs="Arial"/>
                <w:i w:val="0"/>
                <w:color w:val="000000"/>
                <w:szCs w:val="24"/>
              </w:rPr>
              <w:t>Construction: 2-4 days</w:t>
            </w:r>
          </w:p>
        </w:tc>
      </w:tr>
      <w:tr w:rsidR="000E439F" w:rsidRPr="00FA498D" w:rsidTr="00911AD7">
        <w:trPr>
          <w:jc w:val="center"/>
        </w:trPr>
        <w:tc>
          <w:tcPr>
            <w:tcW w:w="2724" w:type="dxa"/>
            <w:vAlign w:val="center"/>
          </w:tcPr>
          <w:p w:rsidR="000E439F" w:rsidRPr="00FA498D" w:rsidRDefault="000E439F" w:rsidP="00911AD7">
            <w:pPr>
              <w:pStyle w:val="BodyText"/>
              <w:spacing w:before="20" w:after="20"/>
              <w:rPr>
                <w:rFonts w:ascii="Arial" w:hAnsi="Arial" w:cs="Arial"/>
                <w:szCs w:val="24"/>
              </w:rPr>
            </w:pPr>
            <w:r w:rsidRPr="00FA498D">
              <w:rPr>
                <w:rFonts w:ascii="Arial" w:hAnsi="Arial" w:cs="Arial"/>
                <w:szCs w:val="24"/>
              </w:rPr>
              <w:t>Rural Private Airport</w:t>
            </w:r>
          </w:p>
        </w:tc>
        <w:tc>
          <w:tcPr>
            <w:tcW w:w="2337" w:type="dxa"/>
            <w:vAlign w:val="center"/>
          </w:tcPr>
          <w:p w:rsidR="000E439F" w:rsidRPr="00FA498D" w:rsidRDefault="000E439F" w:rsidP="00911AD7">
            <w:pPr>
              <w:keepNext/>
              <w:spacing w:before="20" w:after="20"/>
              <w:rPr>
                <w:rFonts w:ascii="Arial" w:hAnsi="Arial" w:cs="Arial"/>
                <w:szCs w:val="24"/>
              </w:rPr>
            </w:pPr>
            <w:r w:rsidRPr="00FA498D">
              <w:rPr>
                <w:rFonts w:ascii="Arial" w:hAnsi="Arial" w:cs="Arial"/>
                <w:szCs w:val="24"/>
              </w:rPr>
              <w:t>Capital: $86,500</w:t>
            </w:r>
          </w:p>
          <w:p w:rsidR="000E439F" w:rsidRPr="00FA498D" w:rsidRDefault="000E439F" w:rsidP="00911AD7">
            <w:pPr>
              <w:keepNext/>
              <w:spacing w:before="20" w:after="20"/>
              <w:rPr>
                <w:rFonts w:ascii="Arial" w:hAnsi="Arial" w:cs="Arial"/>
                <w:szCs w:val="24"/>
              </w:rPr>
            </w:pPr>
            <w:r w:rsidRPr="00FA498D">
              <w:rPr>
                <w:rFonts w:ascii="Arial" w:hAnsi="Arial" w:cs="Arial"/>
                <w:szCs w:val="24"/>
              </w:rPr>
              <w:t>Annual: $250</w:t>
            </w:r>
          </w:p>
        </w:tc>
        <w:tc>
          <w:tcPr>
            <w:tcW w:w="2924" w:type="dxa"/>
            <w:vAlign w:val="center"/>
          </w:tcPr>
          <w:p w:rsidR="000E439F" w:rsidRPr="00FA498D" w:rsidRDefault="000E439F" w:rsidP="00911AD7">
            <w:pPr>
              <w:pStyle w:val="BodyText"/>
              <w:spacing w:before="20" w:after="20"/>
              <w:rPr>
                <w:rFonts w:ascii="Arial" w:hAnsi="Arial" w:cs="Arial"/>
                <w:i w:val="0"/>
                <w:color w:val="000000"/>
                <w:szCs w:val="24"/>
              </w:rPr>
            </w:pPr>
            <w:r>
              <w:rPr>
                <w:rFonts w:ascii="Arial" w:hAnsi="Arial" w:cs="Arial"/>
                <w:i w:val="0"/>
                <w:color w:val="000000"/>
                <w:szCs w:val="24"/>
              </w:rPr>
              <w:t>Construction: 6-8 days</w:t>
            </w:r>
          </w:p>
        </w:tc>
      </w:tr>
      <w:tr w:rsidR="000E439F" w:rsidRPr="00FA498D" w:rsidTr="00911AD7">
        <w:trPr>
          <w:jc w:val="center"/>
        </w:trPr>
        <w:tc>
          <w:tcPr>
            <w:tcW w:w="2724" w:type="dxa"/>
            <w:vAlign w:val="center"/>
          </w:tcPr>
          <w:p w:rsidR="000E439F" w:rsidRPr="00FA498D" w:rsidRDefault="000E439F" w:rsidP="00911AD7">
            <w:pPr>
              <w:pStyle w:val="BodyText"/>
              <w:spacing w:before="20" w:after="20"/>
              <w:rPr>
                <w:rFonts w:ascii="Arial" w:hAnsi="Arial" w:cs="Arial"/>
                <w:szCs w:val="24"/>
              </w:rPr>
            </w:pPr>
            <w:r w:rsidRPr="00FA498D">
              <w:rPr>
                <w:rFonts w:ascii="Arial" w:hAnsi="Arial" w:cs="Arial"/>
                <w:szCs w:val="24"/>
              </w:rPr>
              <w:t>Rural Church</w:t>
            </w:r>
          </w:p>
        </w:tc>
        <w:tc>
          <w:tcPr>
            <w:tcW w:w="2337" w:type="dxa"/>
            <w:vAlign w:val="center"/>
          </w:tcPr>
          <w:p w:rsidR="000E439F" w:rsidRPr="00FA498D" w:rsidRDefault="000E439F" w:rsidP="00911AD7">
            <w:pPr>
              <w:keepNext/>
              <w:spacing w:before="20" w:after="20"/>
              <w:rPr>
                <w:rFonts w:ascii="Arial" w:hAnsi="Arial" w:cs="Arial"/>
                <w:szCs w:val="24"/>
              </w:rPr>
            </w:pPr>
            <w:r w:rsidRPr="00FA498D">
              <w:rPr>
                <w:rFonts w:ascii="Arial" w:hAnsi="Arial" w:cs="Arial"/>
                <w:szCs w:val="24"/>
              </w:rPr>
              <w:t>Capital: $35,400</w:t>
            </w:r>
          </w:p>
          <w:p w:rsidR="000E439F" w:rsidRPr="00FA498D" w:rsidRDefault="000E439F" w:rsidP="00911AD7">
            <w:pPr>
              <w:keepNext/>
              <w:spacing w:before="20" w:after="20"/>
              <w:rPr>
                <w:rFonts w:ascii="Arial" w:hAnsi="Arial" w:cs="Arial"/>
                <w:szCs w:val="24"/>
              </w:rPr>
            </w:pPr>
            <w:r w:rsidRPr="00FA498D">
              <w:rPr>
                <w:rFonts w:ascii="Arial" w:hAnsi="Arial" w:cs="Arial"/>
                <w:szCs w:val="24"/>
              </w:rPr>
              <w:t>Annual: $ 250</w:t>
            </w:r>
          </w:p>
        </w:tc>
        <w:tc>
          <w:tcPr>
            <w:tcW w:w="2924" w:type="dxa"/>
            <w:vAlign w:val="center"/>
          </w:tcPr>
          <w:p w:rsidR="000E439F" w:rsidRPr="00FA498D" w:rsidRDefault="000E439F" w:rsidP="00911AD7">
            <w:pPr>
              <w:pStyle w:val="BodyText"/>
              <w:spacing w:before="20" w:after="20"/>
              <w:rPr>
                <w:rFonts w:ascii="Arial" w:hAnsi="Arial" w:cs="Arial"/>
                <w:i w:val="0"/>
                <w:color w:val="000000"/>
                <w:szCs w:val="24"/>
              </w:rPr>
            </w:pPr>
            <w:r>
              <w:rPr>
                <w:rFonts w:ascii="Arial" w:hAnsi="Arial" w:cs="Arial"/>
                <w:i w:val="0"/>
                <w:color w:val="000000"/>
                <w:szCs w:val="24"/>
              </w:rPr>
              <w:t>Construction: 2-4 days</w:t>
            </w:r>
          </w:p>
        </w:tc>
      </w:tr>
      <w:tr w:rsidR="000E439F" w:rsidRPr="00FA498D" w:rsidTr="00911AD7">
        <w:trPr>
          <w:jc w:val="center"/>
        </w:trPr>
        <w:tc>
          <w:tcPr>
            <w:tcW w:w="2724" w:type="dxa"/>
            <w:vAlign w:val="center"/>
          </w:tcPr>
          <w:p w:rsidR="000E439F" w:rsidRPr="00FA498D" w:rsidRDefault="000E439F" w:rsidP="00911AD7">
            <w:pPr>
              <w:pStyle w:val="BodyText"/>
              <w:spacing w:before="20" w:after="20"/>
              <w:rPr>
                <w:rFonts w:ascii="Arial" w:hAnsi="Arial" w:cs="Arial"/>
                <w:szCs w:val="24"/>
              </w:rPr>
            </w:pPr>
            <w:r w:rsidRPr="00FA498D">
              <w:rPr>
                <w:rFonts w:ascii="Arial" w:hAnsi="Arial" w:cs="Arial"/>
                <w:szCs w:val="24"/>
              </w:rPr>
              <w:t>Typical SFR – Rural</w:t>
            </w:r>
          </w:p>
        </w:tc>
        <w:tc>
          <w:tcPr>
            <w:tcW w:w="2337" w:type="dxa"/>
            <w:vAlign w:val="center"/>
          </w:tcPr>
          <w:p w:rsidR="000E439F" w:rsidRPr="00FA498D" w:rsidRDefault="000E439F" w:rsidP="00911AD7">
            <w:pPr>
              <w:spacing w:before="20" w:after="20"/>
              <w:rPr>
                <w:rFonts w:ascii="Arial" w:hAnsi="Arial" w:cs="Arial"/>
                <w:szCs w:val="24"/>
              </w:rPr>
            </w:pPr>
            <w:r w:rsidRPr="00FA498D">
              <w:rPr>
                <w:rFonts w:ascii="Arial" w:hAnsi="Arial" w:cs="Arial"/>
                <w:szCs w:val="24"/>
              </w:rPr>
              <w:t>Capital: $14,600</w:t>
            </w:r>
          </w:p>
          <w:p w:rsidR="000E439F" w:rsidRPr="00FA498D" w:rsidRDefault="000E439F" w:rsidP="00911AD7">
            <w:pPr>
              <w:spacing w:before="20" w:after="20"/>
              <w:rPr>
                <w:rFonts w:ascii="Arial" w:hAnsi="Arial" w:cs="Arial"/>
                <w:szCs w:val="24"/>
              </w:rPr>
            </w:pPr>
            <w:r w:rsidRPr="00FA498D">
              <w:rPr>
                <w:rFonts w:ascii="Arial" w:hAnsi="Arial" w:cs="Arial"/>
                <w:szCs w:val="24"/>
              </w:rPr>
              <w:t>Annual: $250</w:t>
            </w:r>
          </w:p>
        </w:tc>
        <w:tc>
          <w:tcPr>
            <w:tcW w:w="2924" w:type="dxa"/>
            <w:vAlign w:val="center"/>
          </w:tcPr>
          <w:p w:rsidR="000E439F" w:rsidRPr="00FA498D" w:rsidRDefault="000E439F" w:rsidP="00911AD7">
            <w:pPr>
              <w:pStyle w:val="BodyText"/>
              <w:spacing w:before="20" w:after="20"/>
              <w:rPr>
                <w:rFonts w:ascii="Arial" w:hAnsi="Arial" w:cs="Arial"/>
                <w:i w:val="0"/>
                <w:color w:val="000000"/>
                <w:szCs w:val="24"/>
              </w:rPr>
            </w:pPr>
            <w:r>
              <w:rPr>
                <w:rFonts w:ascii="Arial" w:hAnsi="Arial" w:cs="Arial"/>
                <w:i w:val="0"/>
                <w:color w:val="000000"/>
                <w:szCs w:val="24"/>
              </w:rPr>
              <w:t>Construction: 2-4 days</w:t>
            </w:r>
          </w:p>
        </w:tc>
      </w:tr>
      <w:tr w:rsidR="000E439F" w:rsidRPr="00FA498D" w:rsidTr="00911AD7">
        <w:trPr>
          <w:jc w:val="center"/>
        </w:trPr>
        <w:tc>
          <w:tcPr>
            <w:tcW w:w="2724" w:type="dxa"/>
            <w:vAlign w:val="center"/>
          </w:tcPr>
          <w:p w:rsidR="000E439F" w:rsidRPr="00FA498D" w:rsidRDefault="000E439F" w:rsidP="00911AD7">
            <w:pPr>
              <w:pStyle w:val="BodyText"/>
              <w:spacing w:before="20" w:after="20"/>
              <w:rPr>
                <w:rFonts w:ascii="Arial" w:hAnsi="Arial" w:cs="Arial"/>
                <w:szCs w:val="24"/>
              </w:rPr>
            </w:pPr>
            <w:r w:rsidRPr="00FA498D">
              <w:rPr>
                <w:rFonts w:ascii="Arial" w:hAnsi="Arial" w:cs="Arial"/>
                <w:szCs w:val="24"/>
              </w:rPr>
              <w:t>Typical SFR – Urban</w:t>
            </w:r>
          </w:p>
        </w:tc>
        <w:tc>
          <w:tcPr>
            <w:tcW w:w="2337" w:type="dxa"/>
            <w:vAlign w:val="center"/>
          </w:tcPr>
          <w:p w:rsidR="000E439F" w:rsidRPr="00FA498D" w:rsidRDefault="000E439F" w:rsidP="00911AD7">
            <w:pPr>
              <w:spacing w:before="20" w:after="20"/>
              <w:rPr>
                <w:rFonts w:ascii="Arial" w:hAnsi="Arial" w:cs="Arial"/>
                <w:szCs w:val="24"/>
              </w:rPr>
            </w:pPr>
            <w:r w:rsidRPr="00FA498D">
              <w:rPr>
                <w:rFonts w:ascii="Arial" w:hAnsi="Arial" w:cs="Arial"/>
                <w:szCs w:val="24"/>
              </w:rPr>
              <w:t>Capital: $17,500</w:t>
            </w:r>
          </w:p>
          <w:p w:rsidR="000E439F" w:rsidRPr="00FA498D" w:rsidRDefault="000E439F" w:rsidP="00911AD7">
            <w:pPr>
              <w:spacing w:before="20" w:after="20"/>
              <w:rPr>
                <w:rFonts w:ascii="Arial" w:hAnsi="Arial" w:cs="Arial"/>
                <w:szCs w:val="24"/>
              </w:rPr>
            </w:pPr>
            <w:r w:rsidRPr="00FA498D">
              <w:rPr>
                <w:rFonts w:ascii="Arial" w:hAnsi="Arial" w:cs="Arial"/>
                <w:szCs w:val="24"/>
              </w:rPr>
              <w:t>Annual: $250</w:t>
            </w:r>
          </w:p>
        </w:tc>
        <w:tc>
          <w:tcPr>
            <w:tcW w:w="2924" w:type="dxa"/>
            <w:vAlign w:val="center"/>
          </w:tcPr>
          <w:p w:rsidR="000E439F" w:rsidRPr="00FA498D" w:rsidRDefault="000E439F" w:rsidP="00911AD7">
            <w:pPr>
              <w:pStyle w:val="BodyText"/>
              <w:spacing w:before="20" w:after="20"/>
              <w:rPr>
                <w:rFonts w:ascii="Arial" w:hAnsi="Arial" w:cs="Arial"/>
                <w:i w:val="0"/>
                <w:color w:val="000000"/>
                <w:szCs w:val="24"/>
              </w:rPr>
            </w:pPr>
            <w:r>
              <w:rPr>
                <w:rFonts w:ascii="Arial" w:hAnsi="Arial" w:cs="Arial"/>
                <w:i w:val="0"/>
                <w:color w:val="000000"/>
                <w:szCs w:val="24"/>
              </w:rPr>
              <w:t>Construction: 2-4 days</w:t>
            </w:r>
          </w:p>
        </w:tc>
      </w:tr>
    </w:tbl>
    <w:p w:rsidR="007B2226" w:rsidRDefault="007B2226" w:rsidP="00834F22">
      <w:pPr>
        <w:pStyle w:val="BodyText"/>
        <w:jc w:val="both"/>
        <w:rPr>
          <w:rFonts w:ascii="Arial" w:hAnsi="Arial" w:cs="Arial"/>
          <w:i w:val="0"/>
          <w:color w:val="000000"/>
        </w:rPr>
      </w:pPr>
    </w:p>
    <w:p w:rsidR="007B2226" w:rsidRDefault="00FA498D" w:rsidP="00834F22">
      <w:pPr>
        <w:pStyle w:val="BodyText"/>
        <w:jc w:val="both"/>
        <w:rPr>
          <w:rFonts w:ascii="Arial" w:hAnsi="Arial" w:cs="Arial"/>
          <w:i w:val="0"/>
          <w:color w:val="000000"/>
        </w:rPr>
      </w:pPr>
      <w:r>
        <w:rPr>
          <w:rFonts w:ascii="Arial" w:hAnsi="Arial" w:cs="Arial"/>
          <w:i w:val="0"/>
          <w:color w:val="000000"/>
        </w:rPr>
        <w:lastRenderedPageBreak/>
        <w:t xml:space="preserve">The report includes an evaluation of the time to recover the cost in three different scenarios: 1) under the current surface water management (SWM) rate discounts available, 2) using a 90 percent discount model (currently only available for projects that provide much greater stormwater runoff control than can be achieved by using only LID BMPs), and 3), assuming the County pay 50 percent of the cost </w:t>
      </w:r>
      <w:r w:rsidR="003867DC">
        <w:rPr>
          <w:rFonts w:ascii="Arial" w:hAnsi="Arial" w:cs="Arial"/>
          <w:i w:val="0"/>
          <w:color w:val="000000"/>
        </w:rPr>
        <w:t xml:space="preserve">of the project </w:t>
      </w:r>
      <w:r>
        <w:rPr>
          <w:rFonts w:ascii="Arial" w:hAnsi="Arial" w:cs="Arial"/>
          <w:i w:val="0"/>
          <w:color w:val="000000"/>
        </w:rPr>
        <w:t xml:space="preserve">and </w:t>
      </w:r>
      <w:r w:rsidR="003867DC">
        <w:rPr>
          <w:rFonts w:ascii="Arial" w:hAnsi="Arial" w:cs="Arial"/>
          <w:i w:val="0"/>
          <w:color w:val="000000"/>
        </w:rPr>
        <w:t xml:space="preserve">apply </w:t>
      </w:r>
      <w:r>
        <w:rPr>
          <w:rFonts w:ascii="Arial" w:hAnsi="Arial" w:cs="Arial"/>
          <w:i w:val="0"/>
          <w:color w:val="000000"/>
        </w:rPr>
        <w:t>a 90 percent discount. Only under this third scenario does the “</w:t>
      </w:r>
      <w:r w:rsidRPr="00FA498D">
        <w:rPr>
          <w:rFonts w:ascii="Arial" w:hAnsi="Arial" w:cs="Arial"/>
          <w:i w:val="0"/>
          <w:color w:val="000000"/>
        </w:rPr>
        <w:t>recovery period begins to approach a point at which it may serve as a financial incentive to a property owner”.</w:t>
      </w:r>
    </w:p>
    <w:p w:rsidR="000E439F" w:rsidRDefault="000E439F" w:rsidP="00834F22">
      <w:pPr>
        <w:pStyle w:val="BodyText"/>
        <w:jc w:val="both"/>
        <w:rPr>
          <w:rFonts w:ascii="Arial" w:hAnsi="Arial" w:cs="Arial"/>
          <w:i w:val="0"/>
          <w:color w:val="000000"/>
        </w:rPr>
      </w:pPr>
    </w:p>
    <w:p w:rsidR="000E439F" w:rsidRPr="000E439F" w:rsidRDefault="000E439F" w:rsidP="00834F22">
      <w:pPr>
        <w:pStyle w:val="BodyText"/>
        <w:jc w:val="both"/>
        <w:rPr>
          <w:rFonts w:ascii="Arial" w:hAnsi="Arial" w:cs="Arial"/>
          <w:b/>
          <w:i w:val="0"/>
          <w:color w:val="000000"/>
        </w:rPr>
      </w:pPr>
      <w:r w:rsidRPr="000E439F">
        <w:rPr>
          <w:rFonts w:ascii="Arial" w:hAnsi="Arial" w:cs="Arial"/>
          <w:b/>
          <w:i w:val="0"/>
          <w:color w:val="000000"/>
        </w:rPr>
        <w:t>Grant Program</w:t>
      </w:r>
    </w:p>
    <w:p w:rsidR="001F6BCD" w:rsidRDefault="001F6BCD" w:rsidP="00834F22">
      <w:pPr>
        <w:pStyle w:val="BodyText"/>
        <w:jc w:val="both"/>
        <w:rPr>
          <w:rFonts w:ascii="Arial" w:hAnsi="Arial" w:cs="Arial"/>
          <w:i w:val="0"/>
          <w:color w:val="000000"/>
        </w:rPr>
      </w:pPr>
      <w:r>
        <w:rPr>
          <w:rFonts w:ascii="Arial" w:hAnsi="Arial" w:cs="Arial"/>
          <w:i w:val="0"/>
          <w:color w:val="000000"/>
        </w:rPr>
        <w:t xml:space="preserve">The County has a grant program in place for non-residential </w:t>
      </w:r>
      <w:r w:rsidR="000E439F">
        <w:rPr>
          <w:rFonts w:ascii="Arial" w:hAnsi="Arial" w:cs="Arial"/>
          <w:i w:val="0"/>
          <w:color w:val="000000"/>
        </w:rPr>
        <w:t>properties that</w:t>
      </w:r>
      <w:r>
        <w:rPr>
          <w:rFonts w:ascii="Arial" w:hAnsi="Arial" w:cs="Arial"/>
          <w:i w:val="0"/>
          <w:color w:val="000000"/>
        </w:rPr>
        <w:t xml:space="preserve"> would pay up to $20,000 to convert impervious surface to pervious surfa</w:t>
      </w:r>
      <w:r w:rsidRPr="001F6BCD">
        <w:rPr>
          <w:rFonts w:ascii="Arial" w:hAnsi="Arial" w:cs="Arial"/>
          <w:i w:val="0"/>
          <w:color w:val="000000"/>
        </w:rPr>
        <w:t>ce.  Since the program was created in 2001, no property owner has applied for funding.  The report states that “</w:t>
      </w:r>
      <w:r w:rsidRPr="001F6BCD">
        <w:rPr>
          <w:rFonts w:ascii="Arial" w:hAnsi="Arial" w:cs="Arial"/>
          <w:i w:val="0"/>
          <w:szCs w:val="24"/>
        </w:rPr>
        <w:t xml:space="preserve">staff believe that a higher grant cap and a greater degree of cost share would spur more interest in an expanded grant program”.  The report states that the 2017/2018 </w:t>
      </w:r>
      <w:r>
        <w:rPr>
          <w:rFonts w:ascii="Arial" w:hAnsi="Arial" w:cs="Arial"/>
          <w:i w:val="0"/>
          <w:szCs w:val="24"/>
        </w:rPr>
        <w:t xml:space="preserve">biennial budget proposal for Surface Water Management will include a </w:t>
      </w:r>
      <w:r w:rsidR="000E439F" w:rsidRPr="000E439F">
        <w:rPr>
          <w:rFonts w:ascii="Arial" w:hAnsi="Arial" w:cs="Arial"/>
          <w:i w:val="0"/>
          <w:szCs w:val="24"/>
        </w:rPr>
        <w:t xml:space="preserve">$250,000 </w:t>
      </w:r>
      <w:r>
        <w:rPr>
          <w:rFonts w:ascii="Arial" w:hAnsi="Arial" w:cs="Arial"/>
          <w:i w:val="0"/>
          <w:szCs w:val="24"/>
        </w:rPr>
        <w:t xml:space="preserve">pilot program </w:t>
      </w:r>
      <w:r w:rsidR="000E439F">
        <w:rPr>
          <w:rFonts w:ascii="Arial" w:hAnsi="Arial" w:cs="Arial"/>
          <w:i w:val="0"/>
          <w:szCs w:val="24"/>
        </w:rPr>
        <w:t xml:space="preserve">for cost sharing stormwater retrofit projects, </w:t>
      </w:r>
      <w:r>
        <w:rPr>
          <w:rFonts w:ascii="Arial" w:hAnsi="Arial" w:cs="Arial"/>
          <w:i w:val="0"/>
          <w:szCs w:val="24"/>
        </w:rPr>
        <w:t>focusing on these six properties, to “</w:t>
      </w:r>
      <w:r w:rsidRPr="000E439F">
        <w:rPr>
          <w:rFonts w:ascii="Arial" w:hAnsi="Arial" w:cs="Arial"/>
          <w:i w:val="0"/>
          <w:szCs w:val="24"/>
        </w:rPr>
        <w:t>assess at what level of participation of cost-share we can successfully incentivize investments in LID Technology”.</w:t>
      </w:r>
      <w:r w:rsidR="000E439F" w:rsidRPr="000E439F">
        <w:rPr>
          <w:rFonts w:ascii="Arial" w:hAnsi="Arial" w:cs="Arial"/>
          <w:i w:val="0"/>
          <w:szCs w:val="24"/>
        </w:rPr>
        <w:t xml:space="preserve"> </w:t>
      </w:r>
    </w:p>
    <w:p w:rsidR="007B2226" w:rsidRDefault="007B2226" w:rsidP="00834F22">
      <w:pPr>
        <w:pStyle w:val="BodyText"/>
        <w:jc w:val="both"/>
        <w:rPr>
          <w:rFonts w:ascii="Arial" w:hAnsi="Arial" w:cs="Arial"/>
          <w:i w:val="0"/>
          <w:color w:val="000000"/>
        </w:rPr>
      </w:pPr>
    </w:p>
    <w:p w:rsidR="000E439F" w:rsidRDefault="000E439F" w:rsidP="00834F22">
      <w:pPr>
        <w:pStyle w:val="BodyText"/>
        <w:jc w:val="both"/>
        <w:rPr>
          <w:rFonts w:ascii="Arial" w:hAnsi="Arial" w:cs="Arial"/>
          <w:i w:val="0"/>
          <w:color w:val="000000"/>
        </w:rPr>
      </w:pPr>
      <w:r>
        <w:rPr>
          <w:rFonts w:ascii="Arial" w:hAnsi="Arial" w:cs="Arial"/>
          <w:i w:val="0"/>
          <w:color w:val="000000"/>
        </w:rPr>
        <w:t xml:space="preserve">The report states that this pilot grant program would begin in the first quarter of 2017, and run through the biennium.  If successful, the report states that a revised grant program would be launched in the next biennium (in 2019), pending Council approval of </w:t>
      </w:r>
      <w:r w:rsidR="00BD3DB9">
        <w:rPr>
          <w:rFonts w:ascii="Arial" w:hAnsi="Arial" w:cs="Arial"/>
          <w:i w:val="0"/>
          <w:color w:val="000000"/>
        </w:rPr>
        <w:t>a</w:t>
      </w:r>
      <w:r>
        <w:rPr>
          <w:rFonts w:ascii="Arial" w:hAnsi="Arial" w:cs="Arial"/>
          <w:i w:val="0"/>
          <w:color w:val="000000"/>
        </w:rPr>
        <w:t xml:space="preserve"> budget proposal</w:t>
      </w:r>
      <w:r w:rsidR="00BD3DB9">
        <w:rPr>
          <w:rFonts w:ascii="Arial" w:hAnsi="Arial" w:cs="Arial"/>
          <w:i w:val="0"/>
          <w:color w:val="000000"/>
        </w:rPr>
        <w:t xml:space="preserve"> and program requirements</w:t>
      </w:r>
      <w:r>
        <w:rPr>
          <w:rFonts w:ascii="Arial" w:hAnsi="Arial" w:cs="Arial"/>
          <w:i w:val="0"/>
          <w:color w:val="000000"/>
        </w:rPr>
        <w:t>.</w:t>
      </w:r>
    </w:p>
    <w:p w:rsidR="000E439F" w:rsidRDefault="000E439F" w:rsidP="00834F22">
      <w:pPr>
        <w:pStyle w:val="BodyText"/>
        <w:jc w:val="both"/>
        <w:rPr>
          <w:rFonts w:ascii="Arial" w:hAnsi="Arial" w:cs="Arial"/>
          <w:i w:val="0"/>
          <w:color w:val="000000"/>
        </w:rPr>
      </w:pPr>
    </w:p>
    <w:p w:rsidR="000E439F" w:rsidRPr="000E439F" w:rsidRDefault="000E439F" w:rsidP="00834F22">
      <w:pPr>
        <w:pStyle w:val="BodyText"/>
        <w:jc w:val="both"/>
        <w:rPr>
          <w:rFonts w:ascii="Arial" w:hAnsi="Arial" w:cs="Arial"/>
          <w:b/>
          <w:i w:val="0"/>
          <w:color w:val="000000"/>
        </w:rPr>
      </w:pPr>
      <w:r w:rsidRPr="000E439F">
        <w:rPr>
          <w:rFonts w:ascii="Arial" w:hAnsi="Arial" w:cs="Arial"/>
          <w:b/>
          <w:i w:val="0"/>
          <w:color w:val="000000"/>
        </w:rPr>
        <w:t>2017</w:t>
      </w:r>
      <w:r w:rsidR="0073229A">
        <w:rPr>
          <w:rFonts w:ascii="Arial" w:hAnsi="Arial" w:cs="Arial"/>
          <w:b/>
          <w:i w:val="0"/>
          <w:color w:val="000000"/>
        </w:rPr>
        <w:t>-</w:t>
      </w:r>
      <w:r w:rsidRPr="000E439F">
        <w:rPr>
          <w:rFonts w:ascii="Arial" w:hAnsi="Arial" w:cs="Arial"/>
          <w:b/>
          <w:i w:val="0"/>
          <w:color w:val="000000"/>
        </w:rPr>
        <w:t>2018 Biennial Budget</w:t>
      </w:r>
    </w:p>
    <w:p w:rsidR="000E439F" w:rsidRDefault="000E439F" w:rsidP="00834F22">
      <w:pPr>
        <w:pStyle w:val="BodyText"/>
        <w:jc w:val="both"/>
        <w:rPr>
          <w:rFonts w:ascii="Arial" w:hAnsi="Arial" w:cs="Arial"/>
          <w:i w:val="0"/>
          <w:color w:val="000000"/>
        </w:rPr>
      </w:pPr>
      <w:r>
        <w:rPr>
          <w:rFonts w:ascii="Arial" w:hAnsi="Arial" w:cs="Arial"/>
          <w:i w:val="0"/>
          <w:color w:val="000000"/>
        </w:rPr>
        <w:t xml:space="preserve">The Council adopted </w:t>
      </w:r>
      <w:r w:rsidR="007F65AB">
        <w:rPr>
          <w:rFonts w:ascii="Arial" w:hAnsi="Arial" w:cs="Arial"/>
          <w:i w:val="0"/>
          <w:color w:val="000000"/>
        </w:rPr>
        <w:t>the 2017</w:t>
      </w:r>
      <w:r w:rsidR="0073229A">
        <w:rPr>
          <w:rFonts w:ascii="Arial" w:hAnsi="Arial" w:cs="Arial"/>
          <w:i w:val="0"/>
          <w:color w:val="000000"/>
        </w:rPr>
        <w:t>-</w:t>
      </w:r>
      <w:r w:rsidR="007F65AB">
        <w:rPr>
          <w:rFonts w:ascii="Arial" w:hAnsi="Arial" w:cs="Arial"/>
          <w:i w:val="0"/>
          <w:color w:val="000000"/>
        </w:rPr>
        <w:t>2018 Biennial Budget</w:t>
      </w:r>
      <w:r w:rsidR="007F65AB">
        <w:rPr>
          <w:rStyle w:val="FootnoteReference"/>
          <w:rFonts w:ascii="Arial" w:hAnsi="Arial" w:cs="Arial"/>
          <w:i w:val="0"/>
          <w:color w:val="000000"/>
        </w:rPr>
        <w:footnoteReference w:id="2"/>
      </w:r>
      <w:r w:rsidR="007F65AB">
        <w:rPr>
          <w:rFonts w:ascii="Arial" w:hAnsi="Arial" w:cs="Arial"/>
          <w:i w:val="0"/>
          <w:color w:val="000000"/>
        </w:rPr>
        <w:t xml:space="preserve"> on November 14, 2016.</w:t>
      </w:r>
      <w:r w:rsidR="00057A95">
        <w:rPr>
          <w:rFonts w:ascii="Arial" w:hAnsi="Arial" w:cs="Arial"/>
          <w:i w:val="0"/>
          <w:color w:val="000000"/>
        </w:rPr>
        <w:t xml:space="preserve">  One of the revenue ordinances to</w:t>
      </w:r>
      <w:bookmarkStart w:id="0" w:name="_GoBack"/>
      <w:bookmarkEnd w:id="0"/>
      <w:r w:rsidR="00057A95">
        <w:rPr>
          <w:rFonts w:ascii="Arial" w:hAnsi="Arial" w:cs="Arial"/>
          <w:i w:val="0"/>
          <w:color w:val="000000"/>
        </w:rPr>
        <w:t xml:space="preserve"> implement the budget was Ordinance 18401, which adopted new SWM fees for all properties within unincorporated King County.  The SWM fees proposed by the Executive, and the budget for SWM, anticipated the grant program identified by this report.</w:t>
      </w:r>
    </w:p>
    <w:p w:rsidR="00057A95" w:rsidRDefault="00057A95" w:rsidP="00834F22">
      <w:pPr>
        <w:pStyle w:val="BodyText"/>
        <w:jc w:val="both"/>
        <w:rPr>
          <w:rFonts w:ascii="Arial" w:hAnsi="Arial" w:cs="Arial"/>
          <w:i w:val="0"/>
          <w:color w:val="000000"/>
        </w:rPr>
      </w:pPr>
    </w:p>
    <w:p w:rsidR="00057A95" w:rsidRDefault="00057A95" w:rsidP="00834F22">
      <w:pPr>
        <w:pStyle w:val="BodyText"/>
        <w:jc w:val="both"/>
        <w:rPr>
          <w:rFonts w:ascii="Arial" w:hAnsi="Arial" w:cs="Arial"/>
          <w:i w:val="0"/>
          <w:color w:val="000000"/>
        </w:rPr>
      </w:pPr>
      <w:r>
        <w:rPr>
          <w:rFonts w:ascii="Arial" w:hAnsi="Arial" w:cs="Arial"/>
          <w:i w:val="0"/>
          <w:color w:val="000000"/>
        </w:rPr>
        <w:t>The SWM fee increase proposed by the Executive was reduced by Council (from a 50 increase to a 40 percent increase for a single-family residential parcel). As a result, the budget for SWM will need to be reduced by $2</w:t>
      </w:r>
      <w:r w:rsidR="007702A0">
        <w:rPr>
          <w:rFonts w:ascii="Arial" w:hAnsi="Arial" w:cs="Arial"/>
          <w:i w:val="0"/>
          <w:color w:val="000000"/>
        </w:rPr>
        <w:t>.2</w:t>
      </w:r>
      <w:r>
        <w:rPr>
          <w:rFonts w:ascii="Arial" w:hAnsi="Arial" w:cs="Arial"/>
          <w:i w:val="0"/>
          <w:color w:val="000000"/>
        </w:rPr>
        <w:t xml:space="preserve"> million over the biennium. </w:t>
      </w:r>
      <w:r w:rsidR="00514453">
        <w:rPr>
          <w:rFonts w:ascii="Arial" w:hAnsi="Arial" w:cs="Arial"/>
          <w:i w:val="0"/>
          <w:color w:val="000000"/>
        </w:rPr>
        <w:t>Of this, $1.2 million was unallocated in the budget</w:t>
      </w:r>
      <w:r w:rsidR="00BD3DB9">
        <w:rPr>
          <w:rFonts w:ascii="Arial" w:hAnsi="Arial" w:cs="Arial"/>
          <w:i w:val="0"/>
          <w:color w:val="000000"/>
        </w:rPr>
        <w:t>. Executive staff report that the grant program is still intended to be funded at the level proposed in the budget, of $250,000 for the biennium.</w:t>
      </w:r>
    </w:p>
    <w:p w:rsidR="000E439F" w:rsidRPr="00834F22" w:rsidRDefault="000E439F" w:rsidP="00834F22">
      <w:pPr>
        <w:pStyle w:val="BodyText"/>
        <w:jc w:val="both"/>
        <w:rPr>
          <w:rFonts w:ascii="Arial" w:hAnsi="Arial" w:cs="Arial"/>
          <w:i w:val="0"/>
          <w:color w:val="000000"/>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201</w:t>
      </w:r>
      <w:r w:rsidR="003F6FA5">
        <w:rPr>
          <w:rFonts w:ascii="Arial" w:hAnsi="Arial" w:cs="Arial"/>
          <w:i w:val="0"/>
          <w:szCs w:val="24"/>
        </w:rPr>
        <w:t>6-0471 with attachments</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rsidR="00C521D8" w:rsidRPr="003F6FA5" w:rsidRDefault="00C521D8" w:rsidP="005B478C">
      <w:pPr>
        <w:pStyle w:val="BodyText"/>
        <w:jc w:val="both"/>
        <w:rPr>
          <w:rFonts w:ascii="Arial" w:hAnsi="Arial" w:cs="Arial"/>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1C4B19" w:rsidRPr="003F6FA5" w:rsidRDefault="003F6FA5" w:rsidP="003F2D79">
      <w:pPr>
        <w:pStyle w:val="ListParagraph0"/>
        <w:numPr>
          <w:ilvl w:val="0"/>
          <w:numId w:val="42"/>
        </w:numPr>
        <w:jc w:val="both"/>
        <w:rPr>
          <w:rFonts w:ascii="Arial" w:hAnsi="Arial" w:cs="Arial"/>
        </w:rPr>
      </w:pPr>
      <w:r w:rsidRPr="003F6FA5">
        <w:rPr>
          <w:rFonts w:ascii="Arial" w:hAnsi="Arial" w:cs="Arial"/>
        </w:rPr>
        <w:t>John Taylor</w:t>
      </w:r>
      <w:r w:rsidR="00C521D8" w:rsidRPr="003F6FA5">
        <w:rPr>
          <w:rFonts w:ascii="Arial" w:hAnsi="Arial" w:cs="Arial"/>
        </w:rPr>
        <w:t xml:space="preserve">, </w:t>
      </w:r>
      <w:r w:rsidRPr="003F6FA5">
        <w:rPr>
          <w:rFonts w:ascii="Arial" w:hAnsi="Arial" w:cs="Arial"/>
        </w:rPr>
        <w:t>Acting Division Director</w:t>
      </w:r>
      <w:r w:rsidR="00C521D8" w:rsidRPr="003F6FA5">
        <w:rPr>
          <w:rFonts w:ascii="Arial" w:hAnsi="Arial" w:cs="Arial"/>
        </w:rPr>
        <w:t xml:space="preserve">, </w:t>
      </w:r>
      <w:r w:rsidRPr="003F6FA5">
        <w:rPr>
          <w:rFonts w:ascii="Arial" w:hAnsi="Arial" w:cs="Arial"/>
        </w:rPr>
        <w:t>Water and Land Resources, DNRP</w:t>
      </w:r>
    </w:p>
    <w:sectPr w:rsidR="001C4B19" w:rsidRPr="003F6FA5"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BC1CEF" w:rsidRPr="00911AD7" w:rsidRDefault="00BC1CEF" w:rsidP="00BC1CEF">
      <w:pPr>
        <w:autoSpaceDE w:val="0"/>
        <w:autoSpaceDN w:val="0"/>
        <w:adjustRightInd w:val="0"/>
        <w:rPr>
          <w:rFonts w:ascii="Arial" w:hAnsi="Arial" w:cs="Arial"/>
          <w:sz w:val="20"/>
        </w:rPr>
      </w:pPr>
      <w:r w:rsidRPr="00911AD7">
        <w:rPr>
          <w:rStyle w:val="FootnoteReference"/>
          <w:rFonts w:ascii="Arial" w:hAnsi="Arial" w:cs="Arial"/>
          <w:sz w:val="20"/>
        </w:rPr>
        <w:footnoteRef/>
      </w:r>
      <w:r w:rsidRPr="00911AD7">
        <w:rPr>
          <w:rFonts w:ascii="Arial" w:hAnsi="Arial" w:cs="Arial"/>
          <w:sz w:val="20"/>
        </w:rPr>
        <w:t xml:space="preserve"> In the adopted 2012 KCCP: </w:t>
      </w:r>
      <w:r w:rsidR="0078485F" w:rsidRPr="00911AD7">
        <w:rPr>
          <w:rFonts w:ascii="Arial" w:hAnsi="Arial" w:cs="Arial"/>
          <w:sz w:val="20"/>
        </w:rPr>
        <w:t>“</w:t>
      </w:r>
      <w:r w:rsidRPr="00911AD7">
        <w:rPr>
          <w:rFonts w:ascii="Arial" w:hAnsi="Arial" w:cs="Arial"/>
          <w:bCs/>
          <w:sz w:val="20"/>
        </w:rPr>
        <w:t>E-495 King County should protect groundwater recharge quantity by promoting low impact development and other methods that infiltrate runoff where site conditions permit and where pollution source controls and stormwater treatment can prevent potential groundwater contamination.</w:t>
      </w:r>
      <w:r w:rsidR="0078485F" w:rsidRPr="00911AD7">
        <w:rPr>
          <w:rFonts w:ascii="Arial" w:hAnsi="Arial" w:cs="Arial"/>
          <w:bCs/>
          <w:sz w:val="20"/>
        </w:rPr>
        <w:t>”</w:t>
      </w:r>
    </w:p>
  </w:footnote>
  <w:footnote w:id="2">
    <w:p w:rsidR="007F65AB" w:rsidRPr="00911AD7" w:rsidRDefault="007F65AB">
      <w:pPr>
        <w:pStyle w:val="FootnoteText"/>
        <w:rPr>
          <w:rFonts w:ascii="Arial" w:hAnsi="Arial" w:cs="Arial"/>
        </w:rPr>
      </w:pPr>
      <w:r w:rsidRPr="00911AD7">
        <w:rPr>
          <w:rStyle w:val="FootnoteReference"/>
          <w:rFonts w:ascii="Arial" w:hAnsi="Arial" w:cs="Arial"/>
        </w:rPr>
        <w:footnoteRef/>
      </w:r>
      <w:r w:rsidRPr="00911AD7">
        <w:rPr>
          <w:rFonts w:ascii="Arial" w:hAnsi="Arial" w:cs="Arial"/>
        </w:rPr>
        <w:t xml:space="preserve"> </w:t>
      </w:r>
      <w:r w:rsidR="00057A95" w:rsidRPr="00911AD7">
        <w:rPr>
          <w:rFonts w:ascii="Arial" w:hAnsi="Arial" w:cs="Arial"/>
        </w:rPr>
        <w:t>Ordinance 18409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01281"/>
    <w:multiLevelType w:val="hybridMultilevel"/>
    <w:tmpl w:val="2EA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8A317D"/>
    <w:multiLevelType w:val="hybridMultilevel"/>
    <w:tmpl w:val="7DF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4"/>
  </w:num>
  <w:num w:numId="4">
    <w:abstractNumId w:val="43"/>
  </w:num>
  <w:num w:numId="5">
    <w:abstractNumId w:val="40"/>
  </w:num>
  <w:num w:numId="6">
    <w:abstractNumId w:val="15"/>
  </w:num>
  <w:num w:numId="7">
    <w:abstractNumId w:val="41"/>
  </w:num>
  <w:num w:numId="8">
    <w:abstractNumId w:val="17"/>
  </w:num>
  <w:num w:numId="9">
    <w:abstractNumId w:val="3"/>
  </w:num>
  <w:num w:numId="10">
    <w:abstractNumId w:val="42"/>
  </w:num>
  <w:num w:numId="11">
    <w:abstractNumId w:val="2"/>
  </w:num>
  <w:num w:numId="12">
    <w:abstractNumId w:val="20"/>
  </w:num>
  <w:num w:numId="13">
    <w:abstractNumId w:val="23"/>
  </w:num>
  <w:num w:numId="14">
    <w:abstractNumId w:val="19"/>
  </w:num>
  <w:num w:numId="15">
    <w:abstractNumId w:val="25"/>
  </w:num>
  <w:num w:numId="16">
    <w:abstractNumId w:val="18"/>
  </w:num>
  <w:num w:numId="17">
    <w:abstractNumId w:val="35"/>
  </w:num>
  <w:num w:numId="18">
    <w:abstractNumId w:val="24"/>
  </w:num>
  <w:num w:numId="19">
    <w:abstractNumId w:val="31"/>
  </w:num>
  <w:num w:numId="20">
    <w:abstractNumId w:val="26"/>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2"/>
  </w:num>
  <w:num w:numId="28">
    <w:abstractNumId w:val="11"/>
  </w:num>
  <w:num w:numId="29">
    <w:abstractNumId w:val="28"/>
  </w:num>
  <w:num w:numId="30">
    <w:abstractNumId w:val="1"/>
  </w:num>
  <w:num w:numId="31">
    <w:abstractNumId w:val="33"/>
  </w:num>
  <w:num w:numId="32">
    <w:abstractNumId w:val="36"/>
  </w:num>
  <w:num w:numId="33">
    <w:abstractNumId w:val="16"/>
  </w:num>
  <w:num w:numId="34">
    <w:abstractNumId w:val="13"/>
  </w:num>
  <w:num w:numId="35">
    <w:abstractNumId w:val="8"/>
  </w:num>
  <w:num w:numId="36">
    <w:abstractNumId w:val="27"/>
  </w:num>
  <w:num w:numId="37">
    <w:abstractNumId w:val="37"/>
  </w:num>
  <w:num w:numId="38">
    <w:abstractNumId w:val="21"/>
  </w:num>
  <w:num w:numId="39">
    <w:abstractNumId w:val="32"/>
  </w:num>
  <w:num w:numId="40">
    <w:abstractNumId w:val="29"/>
  </w:num>
  <w:num w:numId="41">
    <w:abstractNumId w:val="38"/>
  </w:num>
  <w:num w:numId="42">
    <w:abstractNumId w:val="34"/>
  </w:num>
  <w:num w:numId="43">
    <w:abstractNumId w:val="4"/>
  </w:num>
  <w:num w:numId="4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57A95"/>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39F"/>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B35"/>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1F6BCD"/>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094"/>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1AB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2E9C"/>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7DC"/>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C7BCF"/>
    <w:rsid w:val="003D06D2"/>
    <w:rsid w:val="003D24A2"/>
    <w:rsid w:val="003D3E56"/>
    <w:rsid w:val="003D7347"/>
    <w:rsid w:val="003E0A75"/>
    <w:rsid w:val="003E2957"/>
    <w:rsid w:val="003E32E3"/>
    <w:rsid w:val="003E52FC"/>
    <w:rsid w:val="003E54B1"/>
    <w:rsid w:val="003F252B"/>
    <w:rsid w:val="003F3805"/>
    <w:rsid w:val="003F635B"/>
    <w:rsid w:val="003F6FA5"/>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395"/>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4453"/>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2934"/>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229A"/>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2A0"/>
    <w:rsid w:val="00771486"/>
    <w:rsid w:val="00772135"/>
    <w:rsid w:val="00772261"/>
    <w:rsid w:val="00773139"/>
    <w:rsid w:val="00773149"/>
    <w:rsid w:val="00774989"/>
    <w:rsid w:val="00774CF8"/>
    <w:rsid w:val="007814FF"/>
    <w:rsid w:val="0078206A"/>
    <w:rsid w:val="00782F7C"/>
    <w:rsid w:val="007836C0"/>
    <w:rsid w:val="00784160"/>
    <w:rsid w:val="0078485F"/>
    <w:rsid w:val="00790106"/>
    <w:rsid w:val="00790D5F"/>
    <w:rsid w:val="00791045"/>
    <w:rsid w:val="00795056"/>
    <w:rsid w:val="00797DDB"/>
    <w:rsid w:val="007A0645"/>
    <w:rsid w:val="007A0F27"/>
    <w:rsid w:val="007B1136"/>
    <w:rsid w:val="007B222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65AB"/>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F22"/>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1AD7"/>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1CEF"/>
    <w:rsid w:val="00BC369B"/>
    <w:rsid w:val="00BC4875"/>
    <w:rsid w:val="00BC5120"/>
    <w:rsid w:val="00BD004A"/>
    <w:rsid w:val="00BD1F11"/>
    <w:rsid w:val="00BD2360"/>
    <w:rsid w:val="00BD24E9"/>
    <w:rsid w:val="00BD2A49"/>
    <w:rsid w:val="00BD3DB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498D"/>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2E78"/>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6A88BE-BE6B-4FEE-B2CA-23444373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link w:val="ListParagraphChar"/>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0"/>
    <w:uiPriority w:val="34"/>
    <w:rsid w:val="00352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2167355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DCE1-C4D9-46FE-92E0-BF769808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19</cp:revision>
  <cp:lastPrinted>2015-03-13T15:09:00Z</cp:lastPrinted>
  <dcterms:created xsi:type="dcterms:W3CDTF">2016-11-18T16:11:00Z</dcterms:created>
  <dcterms:modified xsi:type="dcterms:W3CDTF">2016-11-30T16:31:00Z</dcterms:modified>
</cp:coreProperties>
</file>