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E6379" w14:textId="77777777" w:rsidR="003201AC" w:rsidRPr="00A46A5D" w:rsidRDefault="003201AC" w:rsidP="003201AC">
      <w:pPr>
        <w:pStyle w:val="Heading2"/>
        <w:rPr>
          <w:b w:val="0"/>
          <w:sz w:val="24"/>
          <w:u w:val="none"/>
        </w:rPr>
      </w:pPr>
    </w:p>
    <w:p w14:paraId="7B8ACC6E" w14:textId="77777777" w:rsidR="003201AC" w:rsidRPr="00F71F8C" w:rsidRDefault="003201AC" w:rsidP="003201AC">
      <w:pPr>
        <w:pStyle w:val="Heading2"/>
        <w:rPr>
          <w:rFonts w:ascii="Arial" w:hAnsi="Arial" w:cs="Arial"/>
          <w:sz w:val="24"/>
        </w:rPr>
      </w:pPr>
      <w:r w:rsidRPr="00F71F8C">
        <w:rPr>
          <w:rFonts w:ascii="Arial" w:hAnsi="Arial" w:cs="Arial"/>
          <w:sz w:val="24"/>
        </w:rPr>
        <w:t>STAFF REPORT</w:t>
      </w:r>
    </w:p>
    <w:p w14:paraId="16D19000" w14:textId="77777777" w:rsidR="003201AC" w:rsidRPr="00F3508D" w:rsidRDefault="003201AC" w:rsidP="003201AC">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3201AC" w:rsidRPr="009349D6" w14:paraId="3B1FAA0A" w14:textId="77777777" w:rsidTr="003116FA">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08E032E" w14:textId="77777777" w:rsidR="003201AC" w:rsidRPr="009349D6" w:rsidRDefault="003201AC" w:rsidP="003116FA">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631CB182" w14:textId="1EF512AA" w:rsidR="003201AC" w:rsidRPr="009349D6" w:rsidRDefault="00562740" w:rsidP="003116FA">
            <w:pPr>
              <w:spacing w:before="40" w:after="40"/>
              <w:rPr>
                <w:rFonts w:ascii="Arial" w:hAnsi="Arial" w:cs="Arial"/>
              </w:rPr>
            </w:pPr>
            <w:r>
              <w:rPr>
                <w:rFonts w:ascii="Arial" w:hAnsi="Arial" w:cs="Arial"/>
              </w:rPr>
              <w:t>11</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5ED2B21A" w14:textId="77777777" w:rsidR="003201AC" w:rsidRPr="009349D6" w:rsidRDefault="003201AC" w:rsidP="003116FA">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40767A3" w14:textId="77777777" w:rsidR="003201AC" w:rsidRPr="009349D6" w:rsidRDefault="00DE765C" w:rsidP="003116FA">
            <w:pPr>
              <w:spacing w:before="40" w:after="40"/>
              <w:rPr>
                <w:rFonts w:ascii="Arial" w:hAnsi="Arial" w:cs="Arial"/>
              </w:rPr>
            </w:pPr>
            <w:r>
              <w:rPr>
                <w:rFonts w:ascii="Arial" w:hAnsi="Arial" w:cs="Arial"/>
              </w:rPr>
              <w:t>Mike Reed</w:t>
            </w:r>
          </w:p>
        </w:tc>
      </w:tr>
      <w:tr w:rsidR="003201AC" w:rsidRPr="009349D6" w14:paraId="313C1CFA" w14:textId="77777777" w:rsidTr="003116FA">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CB0298" w14:textId="77777777" w:rsidR="003201AC" w:rsidRPr="009349D6" w:rsidRDefault="003201AC" w:rsidP="003116FA">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2F2F6D91" w14:textId="77777777" w:rsidR="003201AC" w:rsidRPr="009349D6" w:rsidRDefault="00DE765C" w:rsidP="003116FA">
            <w:pPr>
              <w:spacing w:before="40" w:after="40"/>
              <w:rPr>
                <w:rFonts w:ascii="Arial" w:hAnsi="Arial" w:cs="Arial"/>
              </w:rPr>
            </w:pPr>
            <w:r>
              <w:rPr>
                <w:rFonts w:ascii="Arial" w:hAnsi="Arial" w:cs="Arial"/>
              </w:rPr>
              <w:t>2016-0386</w:t>
            </w:r>
          </w:p>
        </w:tc>
        <w:tc>
          <w:tcPr>
            <w:tcW w:w="1170" w:type="dxa"/>
            <w:tcBorders>
              <w:top w:val="single" w:sz="4" w:space="0" w:color="auto"/>
              <w:left w:val="single" w:sz="4" w:space="0" w:color="auto"/>
              <w:bottom w:val="single" w:sz="4" w:space="0" w:color="auto"/>
              <w:right w:val="single" w:sz="4" w:space="0" w:color="auto"/>
            </w:tcBorders>
            <w:vAlign w:val="center"/>
          </w:tcPr>
          <w:p w14:paraId="498B202D" w14:textId="77777777" w:rsidR="003201AC" w:rsidRPr="009349D6" w:rsidRDefault="003201AC" w:rsidP="003116FA">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95E49A4" w14:textId="77777777" w:rsidR="003201AC" w:rsidRPr="009349D6" w:rsidRDefault="00DE765C" w:rsidP="003116FA">
            <w:pPr>
              <w:spacing w:before="40" w:after="40"/>
              <w:rPr>
                <w:rFonts w:ascii="Arial" w:hAnsi="Arial" w:cs="Arial"/>
              </w:rPr>
            </w:pPr>
            <w:r>
              <w:rPr>
                <w:rFonts w:ascii="Arial" w:hAnsi="Arial" w:cs="Arial"/>
              </w:rPr>
              <w:t>August 24, 2016</w:t>
            </w:r>
          </w:p>
        </w:tc>
      </w:tr>
    </w:tbl>
    <w:p w14:paraId="6A307B29" w14:textId="77777777" w:rsidR="003201AC" w:rsidRPr="009864F8" w:rsidRDefault="003201AC" w:rsidP="003201AC">
      <w:pPr>
        <w:rPr>
          <w:rFonts w:ascii="Arial" w:hAnsi="Arial" w:cs="Arial"/>
          <w:b/>
          <w:smallCaps/>
          <w:szCs w:val="24"/>
          <w:u w:val="single"/>
        </w:rPr>
      </w:pPr>
    </w:p>
    <w:p w14:paraId="60F1B3A7" w14:textId="77777777" w:rsidR="003201AC" w:rsidRDefault="003201AC" w:rsidP="00320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szCs w:val="24"/>
        </w:rPr>
      </w:pPr>
      <w:r w:rsidRPr="00046D57">
        <w:rPr>
          <w:rFonts w:ascii="Arial" w:hAnsi="Arial" w:cs="Arial"/>
          <w:b/>
          <w:szCs w:val="24"/>
          <w:u w:val="single"/>
        </w:rPr>
        <w:t>SUBJECT</w:t>
      </w:r>
      <w:r w:rsidRPr="00046D57">
        <w:rPr>
          <w:rFonts w:ascii="Arial" w:hAnsi="Arial" w:cs="Arial"/>
          <w:b/>
          <w:szCs w:val="24"/>
        </w:rPr>
        <w:t>:</w:t>
      </w:r>
      <w:r>
        <w:rPr>
          <w:rFonts w:ascii="Arial" w:hAnsi="Arial" w:cs="Arial"/>
          <w:b/>
          <w:szCs w:val="24"/>
        </w:rPr>
        <w:t xml:space="preserve">  </w:t>
      </w:r>
    </w:p>
    <w:p w14:paraId="3385ECC1" w14:textId="77777777" w:rsidR="003201AC" w:rsidRDefault="003201AC" w:rsidP="00320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szCs w:val="24"/>
        </w:rPr>
      </w:pPr>
    </w:p>
    <w:p w14:paraId="33D86ED9" w14:textId="77777777" w:rsidR="003201AC" w:rsidRPr="00046D57" w:rsidRDefault="003201AC" w:rsidP="00320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szCs w:val="24"/>
        </w:rPr>
      </w:pPr>
      <w:r w:rsidRPr="00046D57">
        <w:rPr>
          <w:rFonts w:ascii="Arial" w:hAnsi="Arial" w:cs="Arial"/>
          <w:szCs w:val="24"/>
        </w:rPr>
        <w:t>AN ORDINANCE setting</w:t>
      </w:r>
      <w:r>
        <w:rPr>
          <w:rFonts w:ascii="Arial" w:hAnsi="Arial" w:cs="Arial"/>
          <w:szCs w:val="24"/>
        </w:rPr>
        <w:t xml:space="preserve"> solid waste</w:t>
      </w:r>
      <w:r w:rsidRPr="00046D57">
        <w:rPr>
          <w:rFonts w:ascii="Arial" w:hAnsi="Arial" w:cs="Arial"/>
          <w:szCs w:val="24"/>
        </w:rPr>
        <w:t xml:space="preserve"> rate</w:t>
      </w:r>
      <w:r>
        <w:rPr>
          <w:rFonts w:ascii="Arial" w:hAnsi="Arial" w:cs="Arial"/>
          <w:szCs w:val="24"/>
        </w:rPr>
        <w:t>s</w:t>
      </w:r>
      <w:r w:rsidRPr="00046D57">
        <w:rPr>
          <w:rFonts w:ascii="Arial" w:hAnsi="Arial" w:cs="Arial"/>
          <w:szCs w:val="24"/>
        </w:rPr>
        <w:t xml:space="preserve"> for </w:t>
      </w:r>
      <w:r>
        <w:rPr>
          <w:rFonts w:ascii="Arial" w:hAnsi="Arial" w:cs="Arial"/>
          <w:szCs w:val="24"/>
        </w:rPr>
        <w:t>2017-2018.</w:t>
      </w:r>
    </w:p>
    <w:p w14:paraId="1121404B" w14:textId="77777777" w:rsidR="003201AC" w:rsidRPr="00046D57" w:rsidRDefault="003201AC" w:rsidP="003201AC">
      <w:pPr>
        <w:pStyle w:val="Courier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szCs w:val="24"/>
        </w:rPr>
      </w:pPr>
    </w:p>
    <w:p w14:paraId="43AC3F55" w14:textId="77777777" w:rsidR="003201AC" w:rsidRDefault="003201AC" w:rsidP="003201AC">
      <w:pPr>
        <w:jc w:val="both"/>
        <w:rPr>
          <w:rFonts w:ascii="Arial" w:hAnsi="Arial" w:cs="Arial"/>
          <w:szCs w:val="24"/>
        </w:rPr>
      </w:pPr>
      <w:r w:rsidRPr="00046D57">
        <w:rPr>
          <w:rFonts w:ascii="Arial" w:hAnsi="Arial" w:cs="Arial"/>
          <w:b/>
          <w:szCs w:val="24"/>
          <w:u w:val="single"/>
        </w:rPr>
        <w:t>SUMMARY</w:t>
      </w:r>
      <w:r w:rsidRPr="00046D57">
        <w:rPr>
          <w:rFonts w:ascii="Arial" w:hAnsi="Arial" w:cs="Arial"/>
          <w:b/>
          <w:szCs w:val="24"/>
        </w:rPr>
        <w:t>:</w:t>
      </w:r>
      <w:r w:rsidRPr="00046D57">
        <w:rPr>
          <w:rFonts w:ascii="Arial" w:hAnsi="Arial" w:cs="Arial"/>
          <w:szCs w:val="24"/>
        </w:rPr>
        <w:t xml:space="preserve">  </w:t>
      </w:r>
    </w:p>
    <w:p w14:paraId="420681A9" w14:textId="77777777" w:rsidR="003201AC" w:rsidRDefault="003201AC" w:rsidP="003201AC">
      <w:pPr>
        <w:jc w:val="both"/>
        <w:rPr>
          <w:rFonts w:ascii="Arial" w:hAnsi="Arial" w:cs="Arial"/>
          <w:szCs w:val="24"/>
        </w:rPr>
      </w:pPr>
    </w:p>
    <w:p w14:paraId="0EA90BCF" w14:textId="45C78443" w:rsidR="003201AC" w:rsidRDefault="003201AC" w:rsidP="003201AC">
      <w:pPr>
        <w:jc w:val="both"/>
        <w:rPr>
          <w:rFonts w:ascii="Arial" w:hAnsi="Arial" w:cs="Arial"/>
          <w:szCs w:val="24"/>
        </w:rPr>
      </w:pPr>
      <w:r w:rsidRPr="00046D57">
        <w:rPr>
          <w:rFonts w:ascii="Arial" w:hAnsi="Arial" w:cs="Arial"/>
          <w:szCs w:val="24"/>
        </w:rPr>
        <w:t>This proposed ordinance</w:t>
      </w:r>
      <w:r>
        <w:rPr>
          <w:rFonts w:ascii="Arial" w:hAnsi="Arial" w:cs="Arial"/>
          <w:szCs w:val="24"/>
        </w:rPr>
        <w:t xml:space="preserve"> as transmitted by the Executive would set</w:t>
      </w:r>
      <w:r w:rsidRPr="00046D57">
        <w:rPr>
          <w:rFonts w:ascii="Arial" w:hAnsi="Arial" w:cs="Arial"/>
          <w:szCs w:val="24"/>
        </w:rPr>
        <w:t xml:space="preserve"> the 20</w:t>
      </w:r>
      <w:r>
        <w:rPr>
          <w:rFonts w:ascii="Arial" w:hAnsi="Arial" w:cs="Arial"/>
          <w:szCs w:val="24"/>
        </w:rPr>
        <w:t>17-2018</w:t>
      </w:r>
      <w:r w:rsidRPr="00046D57">
        <w:rPr>
          <w:rFonts w:ascii="Arial" w:hAnsi="Arial" w:cs="Arial"/>
          <w:szCs w:val="24"/>
        </w:rPr>
        <w:t xml:space="preserve"> </w:t>
      </w:r>
      <w:r w:rsidRPr="00F53873">
        <w:rPr>
          <w:rFonts w:ascii="Arial" w:hAnsi="Arial" w:cs="Arial"/>
          <w:szCs w:val="24"/>
        </w:rPr>
        <w:t>Basic Fee</w:t>
      </w:r>
      <w:r>
        <w:rPr>
          <w:rFonts w:ascii="Arial" w:hAnsi="Arial" w:cs="Arial"/>
          <w:szCs w:val="24"/>
        </w:rPr>
        <w:t xml:space="preserve"> for solid waste disposal at $137.75, up 1</w:t>
      </w:r>
      <w:r w:rsidR="00BD021A">
        <w:rPr>
          <w:rFonts w:ascii="Arial" w:hAnsi="Arial" w:cs="Arial"/>
          <w:szCs w:val="24"/>
        </w:rPr>
        <w:t>4.6</w:t>
      </w:r>
      <w:r>
        <w:rPr>
          <w:rFonts w:ascii="Arial" w:hAnsi="Arial" w:cs="Arial"/>
          <w:szCs w:val="24"/>
        </w:rPr>
        <w:t xml:space="preserve">% from the current rate of $121.75.  Increases are also proposed to the </w:t>
      </w:r>
      <w:r w:rsidR="001C6D77">
        <w:rPr>
          <w:rFonts w:ascii="Arial" w:hAnsi="Arial" w:cs="Arial"/>
          <w:szCs w:val="24"/>
        </w:rPr>
        <w:t>self-haul minimum fee</w:t>
      </w:r>
      <w:r w:rsidR="0072448B">
        <w:rPr>
          <w:rFonts w:ascii="Arial" w:hAnsi="Arial" w:cs="Arial"/>
          <w:szCs w:val="24"/>
        </w:rPr>
        <w:t>—</w:t>
      </w:r>
      <w:r w:rsidR="001C6D77">
        <w:rPr>
          <w:rFonts w:ascii="Arial" w:hAnsi="Arial" w:cs="Arial"/>
          <w:szCs w:val="24"/>
        </w:rPr>
        <w:t>up</w:t>
      </w:r>
      <w:r w:rsidR="0072448B">
        <w:rPr>
          <w:rFonts w:ascii="Arial" w:hAnsi="Arial" w:cs="Arial"/>
          <w:szCs w:val="24"/>
        </w:rPr>
        <w:t xml:space="preserve"> from the current $19.22 per entry to 22.08 per entry, a 14.8% increase.  Other increases include the </w:t>
      </w:r>
      <w:r>
        <w:rPr>
          <w:rFonts w:ascii="Arial" w:hAnsi="Arial" w:cs="Arial"/>
          <w:szCs w:val="24"/>
        </w:rPr>
        <w:t xml:space="preserve">Regional Direct Fee—up 13% to $117/ton; the Special Waste Fee—up 14% to $165/ton, and the Special Waste Extra Handling Fee, up 10% to $193/ton.    </w:t>
      </w:r>
    </w:p>
    <w:p w14:paraId="0636CEC2" w14:textId="77777777" w:rsidR="003201AC" w:rsidRDefault="003201AC" w:rsidP="003201AC">
      <w:pPr>
        <w:jc w:val="both"/>
        <w:rPr>
          <w:rFonts w:ascii="Arial" w:hAnsi="Arial" w:cs="Arial"/>
          <w:szCs w:val="24"/>
        </w:rPr>
      </w:pPr>
    </w:p>
    <w:p w14:paraId="7FA691AF" w14:textId="511C564D" w:rsidR="003201AC" w:rsidRDefault="003201AC" w:rsidP="003201AC">
      <w:pPr>
        <w:jc w:val="both"/>
        <w:rPr>
          <w:rFonts w:ascii="Arial" w:hAnsi="Arial" w:cs="Arial"/>
          <w:szCs w:val="24"/>
        </w:rPr>
      </w:pPr>
      <w:r>
        <w:rPr>
          <w:rFonts w:ascii="Arial" w:hAnsi="Arial" w:cs="Arial"/>
          <w:szCs w:val="24"/>
        </w:rPr>
        <w:t xml:space="preserve">The previous rate increase was approved by Council in 2012, for the 2013-2014 period; a projected 2015-2016 rate increase was deferred, in light of challenging economic conditions and a number of related fiscal developments.  Since the last rate increase, most of the participating cities in the regional solid waste system have executed extended agreements committing them to the system through 2040; the county has deferred plans for the construction of a Northeast station; and participants have discussed plans to manage service demand to avoid short term station </w:t>
      </w:r>
      <w:r w:rsidR="003629C2">
        <w:rPr>
          <w:rFonts w:ascii="Arial" w:hAnsi="Arial" w:cs="Arial"/>
          <w:szCs w:val="24"/>
        </w:rPr>
        <w:t>queueing</w:t>
      </w:r>
      <w:r>
        <w:rPr>
          <w:rFonts w:ascii="Arial" w:hAnsi="Arial" w:cs="Arial"/>
          <w:szCs w:val="24"/>
        </w:rPr>
        <w:t xml:space="preserve"> challenges. The 2010 Cedar Hills Site Development Plan is proceeding, with remaining disposal</w:t>
      </w:r>
      <w:r w:rsidR="00096C94">
        <w:rPr>
          <w:rFonts w:ascii="Arial" w:hAnsi="Arial" w:cs="Arial"/>
          <w:szCs w:val="24"/>
        </w:rPr>
        <w:t xml:space="preserve"> cells being developed for use.</w:t>
      </w:r>
      <w:r>
        <w:rPr>
          <w:rFonts w:ascii="Arial" w:hAnsi="Arial" w:cs="Arial"/>
          <w:szCs w:val="24"/>
        </w:rPr>
        <w:t xml:space="preserve">  Tonnage appears to be returning slowly, though levels remain substantially below pre-recession levels</w:t>
      </w:r>
      <w:r w:rsidR="0072448B">
        <w:rPr>
          <w:rFonts w:ascii="Arial" w:hAnsi="Arial" w:cs="Arial"/>
          <w:szCs w:val="24"/>
        </w:rPr>
        <w:t>, and a tonnage decline is anticipated for the coming biennium</w:t>
      </w:r>
      <w:r>
        <w:rPr>
          <w:rFonts w:ascii="Arial" w:hAnsi="Arial" w:cs="Arial"/>
          <w:szCs w:val="24"/>
        </w:rPr>
        <w:t xml:space="preserve">.  The new </w:t>
      </w:r>
      <w:proofErr w:type="spellStart"/>
      <w:r>
        <w:rPr>
          <w:rFonts w:ascii="Arial" w:hAnsi="Arial" w:cs="Arial"/>
          <w:szCs w:val="24"/>
        </w:rPr>
        <w:t>Factoria</w:t>
      </w:r>
      <w:proofErr w:type="spellEnd"/>
      <w:r>
        <w:rPr>
          <w:rFonts w:ascii="Arial" w:hAnsi="Arial" w:cs="Arial"/>
          <w:szCs w:val="24"/>
        </w:rPr>
        <w:t xml:space="preserve"> Recycling and Transfer Station is open and operating, though the hazardous waste building has not yet been completed.  </w:t>
      </w:r>
    </w:p>
    <w:p w14:paraId="342FE308" w14:textId="77777777" w:rsidR="003201AC" w:rsidRDefault="003201AC" w:rsidP="003201AC">
      <w:pPr>
        <w:pStyle w:val="Flush1CS1"/>
        <w:tabs>
          <w:tab w:val="left" w:pos="720"/>
          <w:tab w:val="decimal" w:pos="7200"/>
        </w:tabs>
        <w:jc w:val="both"/>
        <w:rPr>
          <w:rFonts w:ascii="Arial" w:hAnsi="Arial" w:cs="Arial"/>
          <w:b/>
          <w:szCs w:val="24"/>
          <w:u w:val="single"/>
        </w:rPr>
      </w:pPr>
    </w:p>
    <w:p w14:paraId="2C257882" w14:textId="77777777" w:rsidR="003201AC" w:rsidRPr="00046D57" w:rsidRDefault="003201AC" w:rsidP="003201AC">
      <w:pPr>
        <w:pStyle w:val="Flush1CS1"/>
        <w:tabs>
          <w:tab w:val="left" w:pos="720"/>
          <w:tab w:val="decimal" w:pos="7200"/>
        </w:tabs>
        <w:jc w:val="both"/>
        <w:rPr>
          <w:rFonts w:ascii="Arial" w:hAnsi="Arial" w:cs="Arial"/>
          <w:b/>
          <w:szCs w:val="24"/>
          <w:u w:val="single"/>
        </w:rPr>
      </w:pPr>
      <w:r w:rsidRPr="00046D57">
        <w:rPr>
          <w:rFonts w:ascii="Arial" w:hAnsi="Arial" w:cs="Arial"/>
          <w:b/>
          <w:szCs w:val="24"/>
          <w:u w:val="single"/>
        </w:rPr>
        <w:t>BACKGROUND:</w:t>
      </w:r>
    </w:p>
    <w:p w14:paraId="348CDB75" w14:textId="77777777" w:rsidR="003201AC" w:rsidRDefault="003201AC" w:rsidP="003201AC">
      <w:pPr>
        <w:jc w:val="both"/>
        <w:rPr>
          <w:rFonts w:ascii="Arial" w:hAnsi="Arial" w:cs="Arial"/>
        </w:rPr>
      </w:pPr>
    </w:p>
    <w:p w14:paraId="1ACBF53E" w14:textId="77777777" w:rsidR="003201AC" w:rsidRDefault="003201AC" w:rsidP="003201AC">
      <w:pPr>
        <w:jc w:val="both"/>
        <w:rPr>
          <w:rFonts w:ascii="Arial" w:hAnsi="Arial" w:cs="Arial"/>
          <w:b/>
          <w:u w:val="single"/>
        </w:rPr>
      </w:pPr>
      <w:r>
        <w:rPr>
          <w:rFonts w:ascii="Arial" w:hAnsi="Arial" w:cs="Arial"/>
          <w:b/>
          <w:u w:val="single"/>
        </w:rPr>
        <w:t>The Regional Solid Waste System</w:t>
      </w:r>
    </w:p>
    <w:p w14:paraId="1D8C07EB" w14:textId="77777777" w:rsidR="003201AC" w:rsidRDefault="003201AC" w:rsidP="003201AC">
      <w:pPr>
        <w:pStyle w:val="CommentText"/>
        <w:jc w:val="both"/>
        <w:rPr>
          <w:rFonts w:ascii="Arial" w:hAnsi="Arial" w:cs="Arial"/>
          <w:sz w:val="24"/>
          <w:szCs w:val="24"/>
        </w:rPr>
      </w:pPr>
      <w:r>
        <w:rPr>
          <w:rFonts w:ascii="Arial" w:hAnsi="Arial" w:cs="Arial"/>
          <w:sz w:val="24"/>
          <w:szCs w:val="24"/>
        </w:rPr>
        <w:t xml:space="preserve">The regional solid waste system is a cooperative, integrated system, with participation by 37 cities, solid waste haulers, and the County.  </w:t>
      </w:r>
      <w:r w:rsidRPr="00A26049">
        <w:rPr>
          <w:rFonts w:ascii="Arial" w:hAnsi="Arial" w:cs="Arial"/>
          <w:sz w:val="24"/>
          <w:szCs w:val="24"/>
        </w:rPr>
        <w:t xml:space="preserve">King County receives solid waste at its </w:t>
      </w:r>
      <w:r>
        <w:rPr>
          <w:rFonts w:ascii="Arial" w:hAnsi="Arial" w:cs="Arial"/>
          <w:sz w:val="24"/>
          <w:szCs w:val="24"/>
        </w:rPr>
        <w:t>eight</w:t>
      </w:r>
      <w:r w:rsidRPr="00A26049">
        <w:rPr>
          <w:rFonts w:ascii="Arial" w:hAnsi="Arial" w:cs="Arial"/>
          <w:sz w:val="24"/>
          <w:szCs w:val="24"/>
        </w:rPr>
        <w:t xml:space="preserve"> transfer stations </w:t>
      </w:r>
      <w:r>
        <w:rPr>
          <w:rFonts w:ascii="Arial" w:hAnsi="Arial" w:cs="Arial"/>
          <w:sz w:val="24"/>
          <w:szCs w:val="24"/>
        </w:rPr>
        <w:t xml:space="preserve">and two drop boxes </w:t>
      </w:r>
      <w:r w:rsidRPr="00A26049">
        <w:rPr>
          <w:rFonts w:ascii="Arial" w:hAnsi="Arial" w:cs="Arial"/>
          <w:sz w:val="24"/>
          <w:szCs w:val="24"/>
        </w:rPr>
        <w:t xml:space="preserve">from solid waste haulers, who collect it </w:t>
      </w:r>
      <w:r>
        <w:rPr>
          <w:rFonts w:ascii="Arial" w:hAnsi="Arial" w:cs="Arial"/>
          <w:sz w:val="24"/>
          <w:szCs w:val="24"/>
        </w:rPr>
        <w:t>curbside</w:t>
      </w:r>
      <w:r w:rsidRPr="00A26049">
        <w:rPr>
          <w:rFonts w:ascii="Arial" w:hAnsi="Arial" w:cs="Arial"/>
          <w:sz w:val="24"/>
          <w:szCs w:val="24"/>
        </w:rPr>
        <w:t xml:space="preserve"> from households in cities and in the unincorporated area</w:t>
      </w:r>
      <w:r>
        <w:rPr>
          <w:rFonts w:ascii="Arial" w:hAnsi="Arial" w:cs="Arial"/>
          <w:sz w:val="24"/>
          <w:szCs w:val="24"/>
        </w:rPr>
        <w:t xml:space="preserve">.  Cities manage solid waste </w:t>
      </w:r>
      <w:r>
        <w:rPr>
          <w:rFonts w:ascii="Arial" w:hAnsi="Arial" w:cs="Arial"/>
          <w:sz w:val="24"/>
          <w:szCs w:val="24"/>
        </w:rPr>
        <w:lastRenderedPageBreak/>
        <w:t>disposal within their jurisdictions, and contract with solid waste haulers, to provide service within the city</w:t>
      </w:r>
      <w:r>
        <w:rPr>
          <w:rStyle w:val="FootnoteReference"/>
          <w:rFonts w:ascii="Arial" w:hAnsi="Arial" w:cs="Arial"/>
          <w:sz w:val="24"/>
          <w:szCs w:val="24"/>
        </w:rPr>
        <w:footnoteReference w:id="1"/>
      </w:r>
      <w:r>
        <w:rPr>
          <w:rFonts w:ascii="Arial" w:hAnsi="Arial" w:cs="Arial"/>
          <w:sz w:val="24"/>
          <w:szCs w:val="24"/>
        </w:rPr>
        <w:t>.</w:t>
      </w:r>
    </w:p>
    <w:p w14:paraId="20188549" w14:textId="77777777" w:rsidR="003201AC" w:rsidRDefault="003201AC" w:rsidP="003201AC">
      <w:pPr>
        <w:pStyle w:val="CommentText"/>
        <w:jc w:val="both"/>
        <w:rPr>
          <w:rFonts w:ascii="Arial" w:hAnsi="Arial" w:cs="Arial"/>
          <w:sz w:val="24"/>
          <w:szCs w:val="24"/>
        </w:rPr>
      </w:pPr>
    </w:p>
    <w:p w14:paraId="67BDFCDC" w14:textId="77777777" w:rsidR="003201AC" w:rsidRDefault="003201AC" w:rsidP="003201AC">
      <w:pPr>
        <w:jc w:val="both"/>
        <w:rPr>
          <w:rFonts w:ascii="Arial" w:hAnsi="Arial" w:cs="Arial"/>
          <w:szCs w:val="24"/>
        </w:rPr>
      </w:pPr>
      <w:r>
        <w:rPr>
          <w:rFonts w:ascii="Arial" w:hAnsi="Arial" w:cs="Arial"/>
          <w:szCs w:val="24"/>
        </w:rPr>
        <w:t xml:space="preserve">Since the 1960s, the County has operated this network of transfer stations and drop boxes, now collectively receiving and processing over </w:t>
      </w:r>
      <w:r w:rsidR="005D48EA">
        <w:rPr>
          <w:rFonts w:ascii="Arial" w:hAnsi="Arial" w:cs="Arial"/>
          <w:szCs w:val="24"/>
        </w:rPr>
        <w:t xml:space="preserve">800,000 </w:t>
      </w:r>
      <w:r>
        <w:rPr>
          <w:rFonts w:ascii="Arial" w:hAnsi="Arial" w:cs="Arial"/>
          <w:szCs w:val="24"/>
        </w:rPr>
        <w:t>tons of mixed municipal solid waste annually. These transfer stations, as well as drop boxes serving more remote locations, are distributed throughout the region, as shown on the graphic below:</w:t>
      </w:r>
    </w:p>
    <w:p w14:paraId="7E9A7EBA" w14:textId="77777777" w:rsidR="003201AC" w:rsidRDefault="003201AC" w:rsidP="003201AC">
      <w:pPr>
        <w:jc w:val="both"/>
        <w:rPr>
          <w:rFonts w:ascii="Arial" w:hAnsi="Arial" w:cs="Arial"/>
          <w:szCs w:val="24"/>
        </w:rPr>
      </w:pPr>
    </w:p>
    <w:p w14:paraId="07FC9A9D" w14:textId="77777777" w:rsidR="003201AC" w:rsidRDefault="003201AC" w:rsidP="003201AC">
      <w:pPr>
        <w:jc w:val="center"/>
        <w:rPr>
          <w:rFonts w:ascii="Arial" w:hAnsi="Arial" w:cs="Arial"/>
          <w:szCs w:val="24"/>
        </w:rPr>
      </w:pPr>
      <w:r w:rsidRPr="00067C31">
        <w:rPr>
          <w:rFonts w:ascii="Arial" w:hAnsi="Arial" w:cs="Arial"/>
          <w:noProof/>
          <w:szCs w:val="24"/>
        </w:rPr>
        <w:drawing>
          <wp:inline distT="0" distB="0" distL="0" distR="0" wp14:anchorId="7CC72045" wp14:editId="7E2DF624">
            <wp:extent cx="3904615" cy="5082540"/>
            <wp:effectExtent l="0" t="0" r="635" b="3810"/>
            <wp:docPr id="1" name="Picture 1" descr="figur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5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4615" cy="5082540"/>
                    </a:xfrm>
                    <a:prstGeom prst="rect">
                      <a:avLst/>
                    </a:prstGeom>
                    <a:noFill/>
                    <a:ln>
                      <a:noFill/>
                    </a:ln>
                  </pic:spPr>
                </pic:pic>
              </a:graphicData>
            </a:graphic>
          </wp:inline>
        </w:drawing>
      </w:r>
    </w:p>
    <w:p w14:paraId="00C42206" w14:textId="77777777" w:rsidR="003201AC" w:rsidRDefault="003201AC" w:rsidP="003201AC">
      <w:pPr>
        <w:pStyle w:val="CommentText"/>
        <w:jc w:val="both"/>
        <w:rPr>
          <w:rFonts w:ascii="Arial" w:hAnsi="Arial" w:cs="Arial"/>
          <w:sz w:val="24"/>
          <w:szCs w:val="24"/>
        </w:rPr>
      </w:pPr>
    </w:p>
    <w:p w14:paraId="7F5A015D" w14:textId="77777777" w:rsidR="003201AC" w:rsidRDefault="003201AC" w:rsidP="003201AC">
      <w:pPr>
        <w:pStyle w:val="CommentText"/>
        <w:jc w:val="both"/>
        <w:rPr>
          <w:rFonts w:ascii="Arial" w:hAnsi="Arial" w:cs="Arial"/>
          <w:sz w:val="24"/>
          <w:szCs w:val="24"/>
        </w:rPr>
      </w:pPr>
      <w:r>
        <w:rPr>
          <w:rFonts w:ascii="Arial" w:hAnsi="Arial" w:cs="Arial"/>
          <w:sz w:val="24"/>
          <w:szCs w:val="24"/>
        </w:rPr>
        <w:t>A basic fee</w:t>
      </w:r>
      <w:r w:rsidRPr="00A26049">
        <w:rPr>
          <w:rFonts w:ascii="Arial" w:hAnsi="Arial" w:cs="Arial"/>
          <w:sz w:val="24"/>
          <w:szCs w:val="24"/>
        </w:rPr>
        <w:t xml:space="preserve"> is charged to discharge waste at the transfer stations.</w:t>
      </w:r>
      <w:r>
        <w:rPr>
          <w:rFonts w:ascii="Arial" w:hAnsi="Arial" w:cs="Arial"/>
          <w:sz w:val="24"/>
          <w:szCs w:val="24"/>
        </w:rPr>
        <w:t xml:space="preserve">  The fee has</w:t>
      </w:r>
      <w:r w:rsidRPr="00A26049">
        <w:rPr>
          <w:rFonts w:ascii="Arial" w:hAnsi="Arial" w:cs="Arial"/>
          <w:sz w:val="24"/>
          <w:szCs w:val="24"/>
        </w:rPr>
        <w:t xml:space="preserve"> b</w:t>
      </w:r>
      <w:r>
        <w:rPr>
          <w:rFonts w:ascii="Arial" w:hAnsi="Arial" w:cs="Arial"/>
          <w:sz w:val="24"/>
          <w:szCs w:val="24"/>
        </w:rPr>
        <w:t xml:space="preserve">een set at $120.17 per ton of waste since 2013.  The proposed rate for 2017-2018 is $137.75.    The basic fee and other rates are developed based on a rate study entitled </w:t>
      </w:r>
      <w:r w:rsidRPr="00D756E3">
        <w:rPr>
          <w:rFonts w:ascii="Arial" w:hAnsi="Arial" w:cs="Arial"/>
          <w:sz w:val="24"/>
          <w:szCs w:val="24"/>
          <w:u w:val="single"/>
        </w:rPr>
        <w:t xml:space="preserve">Executive Proposed Solid Waste Disposal Fees for </w:t>
      </w:r>
      <w:r>
        <w:rPr>
          <w:rFonts w:ascii="Arial" w:hAnsi="Arial" w:cs="Arial"/>
          <w:sz w:val="24"/>
          <w:szCs w:val="24"/>
          <w:u w:val="single"/>
        </w:rPr>
        <w:t>2017-2018</w:t>
      </w:r>
      <w:r>
        <w:rPr>
          <w:rFonts w:ascii="Arial" w:hAnsi="Arial" w:cs="Arial"/>
          <w:sz w:val="24"/>
          <w:szCs w:val="24"/>
        </w:rPr>
        <w:t xml:space="preserve"> </w:t>
      </w:r>
      <w:r w:rsidR="00BD021A">
        <w:rPr>
          <w:rFonts w:ascii="Arial" w:hAnsi="Arial" w:cs="Arial"/>
          <w:sz w:val="24"/>
          <w:szCs w:val="24"/>
        </w:rPr>
        <w:t xml:space="preserve">(“rate study”) </w:t>
      </w:r>
      <w:r>
        <w:rPr>
          <w:rFonts w:ascii="Arial" w:hAnsi="Arial" w:cs="Arial"/>
          <w:sz w:val="24"/>
          <w:szCs w:val="24"/>
        </w:rPr>
        <w:t>(Attachment A to Proposed Ordinance 2016-0386).</w:t>
      </w:r>
    </w:p>
    <w:p w14:paraId="3AF34E0A" w14:textId="77777777" w:rsidR="003201AC" w:rsidRDefault="003201AC" w:rsidP="003201AC">
      <w:pPr>
        <w:pStyle w:val="CommentText"/>
        <w:jc w:val="both"/>
        <w:rPr>
          <w:rFonts w:ascii="Arial" w:hAnsi="Arial" w:cs="Arial"/>
          <w:sz w:val="24"/>
          <w:szCs w:val="24"/>
        </w:rPr>
      </w:pPr>
    </w:p>
    <w:p w14:paraId="2305A163" w14:textId="77777777" w:rsidR="003201AC" w:rsidRPr="007B1B1A" w:rsidRDefault="003201AC" w:rsidP="003201AC">
      <w:pPr>
        <w:pStyle w:val="CommentText"/>
        <w:jc w:val="both"/>
        <w:rPr>
          <w:rFonts w:ascii="Arial" w:hAnsi="Arial" w:cs="Arial"/>
          <w:sz w:val="24"/>
          <w:szCs w:val="24"/>
        </w:rPr>
      </w:pPr>
      <w:r>
        <w:rPr>
          <w:rFonts w:ascii="Arial" w:hAnsi="Arial" w:cs="Arial"/>
          <w:sz w:val="24"/>
          <w:szCs w:val="24"/>
        </w:rPr>
        <w:t>T</w:t>
      </w:r>
      <w:r w:rsidRPr="00A26049">
        <w:rPr>
          <w:rFonts w:ascii="Arial" w:hAnsi="Arial" w:cs="Arial"/>
          <w:sz w:val="24"/>
          <w:szCs w:val="24"/>
        </w:rPr>
        <w:t xml:space="preserve">he </w:t>
      </w:r>
      <w:r>
        <w:rPr>
          <w:rFonts w:ascii="Arial" w:hAnsi="Arial" w:cs="Arial"/>
          <w:sz w:val="24"/>
          <w:szCs w:val="24"/>
        </w:rPr>
        <w:t>transfer stations and drop boxes</w:t>
      </w:r>
      <w:r w:rsidRPr="00A26049">
        <w:rPr>
          <w:rFonts w:ascii="Arial" w:hAnsi="Arial" w:cs="Arial"/>
          <w:sz w:val="24"/>
          <w:szCs w:val="24"/>
        </w:rPr>
        <w:t xml:space="preserve"> </w:t>
      </w:r>
      <w:r>
        <w:rPr>
          <w:rFonts w:ascii="Arial" w:hAnsi="Arial" w:cs="Arial"/>
          <w:sz w:val="24"/>
          <w:szCs w:val="24"/>
        </w:rPr>
        <w:t>also accept waste delivery from self-haulers</w:t>
      </w:r>
      <w:r w:rsidRPr="00A26049">
        <w:rPr>
          <w:rFonts w:ascii="Arial" w:hAnsi="Arial" w:cs="Arial"/>
          <w:sz w:val="24"/>
          <w:szCs w:val="24"/>
        </w:rPr>
        <w:t xml:space="preserve">—residents </w:t>
      </w:r>
      <w:r>
        <w:rPr>
          <w:rFonts w:ascii="Arial" w:hAnsi="Arial" w:cs="Arial"/>
          <w:sz w:val="24"/>
          <w:szCs w:val="24"/>
        </w:rPr>
        <w:t xml:space="preserve">and small businesses </w:t>
      </w:r>
      <w:r w:rsidRPr="00A26049">
        <w:rPr>
          <w:rFonts w:ascii="Arial" w:hAnsi="Arial" w:cs="Arial"/>
          <w:sz w:val="24"/>
          <w:szCs w:val="24"/>
        </w:rPr>
        <w:t>who accumulate</w:t>
      </w:r>
      <w:r>
        <w:rPr>
          <w:rFonts w:ascii="Arial" w:hAnsi="Arial" w:cs="Arial"/>
          <w:sz w:val="24"/>
          <w:szCs w:val="24"/>
        </w:rPr>
        <w:t xml:space="preserve"> small </w:t>
      </w:r>
      <w:r w:rsidRPr="00A26049">
        <w:rPr>
          <w:rFonts w:ascii="Arial" w:hAnsi="Arial" w:cs="Arial"/>
          <w:sz w:val="24"/>
          <w:szCs w:val="24"/>
        </w:rPr>
        <w:t xml:space="preserve">loads of garbage and </w:t>
      </w:r>
      <w:r>
        <w:rPr>
          <w:rFonts w:ascii="Arial" w:hAnsi="Arial" w:cs="Arial"/>
          <w:sz w:val="24"/>
          <w:szCs w:val="24"/>
        </w:rPr>
        <w:t xml:space="preserve">deliver it to </w:t>
      </w:r>
      <w:r>
        <w:rPr>
          <w:rFonts w:ascii="Arial" w:hAnsi="Arial" w:cs="Arial"/>
          <w:sz w:val="24"/>
          <w:szCs w:val="24"/>
        </w:rPr>
        <w:lastRenderedPageBreak/>
        <w:t>transfer stations or drop boxes for disposal. The current rate of $19.22 per carload is proposed to increase to $22.08 per carload (tax and Moderate Risk Waste fee are added).</w:t>
      </w:r>
    </w:p>
    <w:p w14:paraId="2A0D1EF2" w14:textId="77777777" w:rsidR="003201AC" w:rsidRDefault="003201AC" w:rsidP="003201AC">
      <w:pPr>
        <w:pStyle w:val="CommentText"/>
        <w:jc w:val="both"/>
        <w:rPr>
          <w:rFonts w:ascii="Arial" w:hAnsi="Arial" w:cs="Arial"/>
          <w:sz w:val="24"/>
          <w:szCs w:val="24"/>
        </w:rPr>
      </w:pPr>
    </w:p>
    <w:p w14:paraId="5468E46F" w14:textId="77777777" w:rsidR="003201AC" w:rsidRDefault="003201AC" w:rsidP="003201AC">
      <w:pPr>
        <w:jc w:val="both"/>
        <w:rPr>
          <w:rFonts w:ascii="Arial" w:hAnsi="Arial" w:cs="Arial"/>
          <w:szCs w:val="24"/>
        </w:rPr>
      </w:pPr>
      <w:r w:rsidRPr="00A26049">
        <w:rPr>
          <w:rFonts w:ascii="Arial" w:hAnsi="Arial" w:cs="Arial"/>
          <w:szCs w:val="24"/>
        </w:rPr>
        <w:t xml:space="preserve">The Transfer System network receives and </w:t>
      </w:r>
      <w:r>
        <w:rPr>
          <w:rFonts w:ascii="Arial" w:hAnsi="Arial" w:cs="Arial"/>
          <w:szCs w:val="24"/>
        </w:rPr>
        <w:t>consolidates</w:t>
      </w:r>
      <w:r w:rsidRPr="00A26049">
        <w:rPr>
          <w:rFonts w:ascii="Arial" w:hAnsi="Arial" w:cs="Arial"/>
          <w:szCs w:val="24"/>
        </w:rPr>
        <w:t xml:space="preserve"> these waste loads, </w:t>
      </w:r>
      <w:r>
        <w:rPr>
          <w:rFonts w:ascii="Arial" w:hAnsi="Arial" w:cs="Arial"/>
          <w:szCs w:val="24"/>
        </w:rPr>
        <w:t>transfers</w:t>
      </w:r>
      <w:r w:rsidRPr="00A26049">
        <w:rPr>
          <w:rFonts w:ascii="Arial" w:hAnsi="Arial" w:cs="Arial"/>
          <w:szCs w:val="24"/>
        </w:rPr>
        <w:t xml:space="preserve"> them onto t</w:t>
      </w:r>
      <w:r>
        <w:rPr>
          <w:rFonts w:ascii="Arial" w:hAnsi="Arial" w:cs="Arial"/>
          <w:szCs w:val="24"/>
        </w:rPr>
        <w:t>railers</w:t>
      </w:r>
      <w:r w:rsidRPr="00A26049">
        <w:rPr>
          <w:rFonts w:ascii="Arial" w:hAnsi="Arial" w:cs="Arial"/>
          <w:szCs w:val="24"/>
        </w:rPr>
        <w:t xml:space="preserve"> and transports them </w:t>
      </w:r>
      <w:r>
        <w:rPr>
          <w:rFonts w:ascii="Arial" w:hAnsi="Arial" w:cs="Arial"/>
          <w:szCs w:val="24"/>
        </w:rPr>
        <w:t xml:space="preserve">by truck </w:t>
      </w:r>
      <w:r w:rsidRPr="00A26049">
        <w:rPr>
          <w:rFonts w:ascii="Arial" w:hAnsi="Arial" w:cs="Arial"/>
          <w:szCs w:val="24"/>
        </w:rPr>
        <w:t>to the Cedar Hills Re</w:t>
      </w:r>
      <w:r>
        <w:rPr>
          <w:rFonts w:ascii="Arial" w:hAnsi="Arial" w:cs="Arial"/>
          <w:szCs w:val="24"/>
        </w:rPr>
        <w:t xml:space="preserve">gional Landfill, a 920 acre facility located in Maple Valley, about 20 miles southeast of Seattle.  The landfill is owned by King County.  A rental fee is paid for its use for landfill purposes by the Solid Waste Fund to the County’s General Fund.  The site has been operating as a landfill since 1965.  In 2010, the Council acted to modify the facility’s Site Development Plan, resulting in the expansion of landfill capacity by 56 acres thereby extending its useful life from 2018 to 2025. The opening of a new “Area 8” will begin during this rate period.  The Division has undertaken an update of the Site Development Plan, which is expected to recommend strategies for further extending the life of the landfill.  The results of this review can have significant fiscal impacts:  disposal at the Landfill is considered significantly less expensive than available alternatives, so the Council has approved policy to maximize the life of the landfill.  Additionally, the Division, as required by federal law, is accumulating funding in the Landfill Reserve Fund for monitoring and maintaining the landfill for a minimum 30-year period following its closure.  The date of that closure has implications for the amount of time available to accumulate the needed monitoring/maintenance funding—a later closure date results in lesser annual amounts needed to achieve funding targets.   </w:t>
      </w:r>
    </w:p>
    <w:p w14:paraId="57104AD8" w14:textId="77777777" w:rsidR="003201AC" w:rsidRDefault="003201AC" w:rsidP="003201AC">
      <w:pPr>
        <w:pStyle w:val="CommentText"/>
        <w:jc w:val="both"/>
        <w:rPr>
          <w:rFonts w:ascii="Arial" w:hAnsi="Arial" w:cs="Arial"/>
          <w:sz w:val="24"/>
          <w:szCs w:val="24"/>
        </w:rPr>
      </w:pPr>
    </w:p>
    <w:p w14:paraId="2714161D" w14:textId="77777777" w:rsidR="003201AC" w:rsidRDefault="003201AC" w:rsidP="003201AC">
      <w:pPr>
        <w:pStyle w:val="CommentText"/>
        <w:jc w:val="both"/>
        <w:rPr>
          <w:rFonts w:ascii="Arial" w:hAnsi="Arial" w:cs="Arial"/>
          <w:sz w:val="24"/>
          <w:szCs w:val="24"/>
        </w:rPr>
      </w:pPr>
      <w:r>
        <w:rPr>
          <w:rFonts w:ascii="Arial" w:hAnsi="Arial" w:cs="Arial"/>
          <w:sz w:val="24"/>
          <w:szCs w:val="24"/>
        </w:rPr>
        <w:t>W</w:t>
      </w:r>
      <w:r w:rsidRPr="00A26049">
        <w:rPr>
          <w:rFonts w:ascii="Arial" w:hAnsi="Arial" w:cs="Arial"/>
          <w:sz w:val="24"/>
          <w:szCs w:val="24"/>
        </w:rPr>
        <w:t xml:space="preserve">aste </w:t>
      </w:r>
      <w:r>
        <w:rPr>
          <w:rFonts w:ascii="Arial" w:hAnsi="Arial" w:cs="Arial"/>
          <w:sz w:val="24"/>
          <w:szCs w:val="24"/>
        </w:rPr>
        <w:t xml:space="preserve">delivered from transfer stations to Cedar Hills </w:t>
      </w:r>
      <w:r w:rsidRPr="00A26049">
        <w:rPr>
          <w:rFonts w:ascii="Arial" w:hAnsi="Arial" w:cs="Arial"/>
          <w:sz w:val="24"/>
          <w:szCs w:val="24"/>
        </w:rPr>
        <w:t xml:space="preserve">is buried in “cells”—multi-acre </w:t>
      </w:r>
      <w:r>
        <w:rPr>
          <w:rFonts w:ascii="Arial" w:hAnsi="Arial" w:cs="Arial"/>
          <w:sz w:val="24"/>
          <w:szCs w:val="24"/>
        </w:rPr>
        <w:t xml:space="preserve">disposal </w:t>
      </w:r>
      <w:r w:rsidRPr="00A26049">
        <w:rPr>
          <w:rFonts w:ascii="Arial" w:hAnsi="Arial" w:cs="Arial"/>
          <w:sz w:val="24"/>
          <w:szCs w:val="24"/>
        </w:rPr>
        <w:t xml:space="preserve">areas that are engineered to hold the waste </w:t>
      </w:r>
      <w:r>
        <w:rPr>
          <w:rFonts w:ascii="Arial" w:hAnsi="Arial" w:cs="Arial"/>
          <w:sz w:val="24"/>
          <w:szCs w:val="24"/>
        </w:rPr>
        <w:t>permanently</w:t>
      </w:r>
      <w:r w:rsidRPr="00A26049">
        <w:rPr>
          <w:rFonts w:ascii="Arial" w:hAnsi="Arial" w:cs="Arial"/>
          <w:sz w:val="24"/>
          <w:szCs w:val="24"/>
        </w:rPr>
        <w:t xml:space="preserve"> while managing the accumulated volumes to assure that leachate runoff and methane gas are appropriately captured and </w:t>
      </w:r>
      <w:r>
        <w:rPr>
          <w:rFonts w:ascii="Arial" w:hAnsi="Arial" w:cs="Arial"/>
          <w:sz w:val="24"/>
          <w:szCs w:val="24"/>
        </w:rPr>
        <w:t>addressed</w:t>
      </w:r>
      <w:r w:rsidRPr="00A26049">
        <w:rPr>
          <w:rFonts w:ascii="Arial" w:hAnsi="Arial" w:cs="Arial"/>
          <w:sz w:val="24"/>
          <w:szCs w:val="24"/>
        </w:rPr>
        <w:t xml:space="preserve">.  A limited number of waste haulers deliver waste directly to Cedar Hills; they pay a “regional direct” rate </w:t>
      </w:r>
      <w:r>
        <w:rPr>
          <w:rFonts w:ascii="Arial" w:hAnsi="Arial" w:cs="Arial"/>
          <w:sz w:val="24"/>
          <w:szCs w:val="24"/>
        </w:rPr>
        <w:t xml:space="preserve">which is currently $103.50 </w:t>
      </w:r>
      <w:r w:rsidRPr="00A26049">
        <w:rPr>
          <w:rFonts w:ascii="Arial" w:hAnsi="Arial" w:cs="Arial"/>
          <w:sz w:val="24"/>
          <w:szCs w:val="24"/>
        </w:rPr>
        <w:t>per ton</w:t>
      </w:r>
      <w:r>
        <w:rPr>
          <w:rFonts w:ascii="Arial" w:hAnsi="Arial" w:cs="Arial"/>
          <w:sz w:val="24"/>
          <w:szCs w:val="24"/>
        </w:rPr>
        <w:t xml:space="preserve"> and proposed to be raised to $117 per ton</w:t>
      </w:r>
      <w:r w:rsidRPr="00A26049">
        <w:rPr>
          <w:rFonts w:ascii="Arial" w:hAnsi="Arial" w:cs="Arial"/>
          <w:sz w:val="24"/>
          <w:szCs w:val="24"/>
        </w:rPr>
        <w:t xml:space="preserve">. </w:t>
      </w:r>
    </w:p>
    <w:p w14:paraId="48A1219D" w14:textId="77777777" w:rsidR="003201AC" w:rsidRDefault="003201AC" w:rsidP="003201AC">
      <w:pPr>
        <w:jc w:val="both"/>
        <w:rPr>
          <w:rFonts w:ascii="Arial" w:hAnsi="Arial" w:cs="Arial"/>
          <w:b/>
          <w:szCs w:val="24"/>
          <w:u w:val="single"/>
        </w:rPr>
      </w:pPr>
    </w:p>
    <w:p w14:paraId="68935E06" w14:textId="77777777" w:rsidR="003201AC" w:rsidRDefault="003201AC" w:rsidP="003201AC">
      <w:pPr>
        <w:jc w:val="both"/>
        <w:rPr>
          <w:rFonts w:ascii="Arial" w:hAnsi="Arial" w:cs="Arial"/>
          <w:b/>
          <w:szCs w:val="24"/>
          <w:u w:val="single"/>
        </w:rPr>
      </w:pPr>
      <w:r w:rsidRPr="008C754A">
        <w:rPr>
          <w:rFonts w:ascii="Arial" w:hAnsi="Arial" w:cs="Arial"/>
          <w:b/>
          <w:szCs w:val="24"/>
          <w:u w:val="single"/>
        </w:rPr>
        <w:t>Transfer Station Network Upgrade</w:t>
      </w:r>
    </w:p>
    <w:p w14:paraId="788AEBC9" w14:textId="77777777" w:rsidR="003201AC" w:rsidRDefault="003201AC" w:rsidP="003201AC">
      <w:pPr>
        <w:jc w:val="both"/>
        <w:rPr>
          <w:rFonts w:ascii="Arial" w:hAnsi="Arial" w:cs="Arial"/>
          <w:b/>
          <w:szCs w:val="24"/>
          <w:u w:val="single"/>
        </w:rPr>
      </w:pPr>
    </w:p>
    <w:p w14:paraId="04847589" w14:textId="77777777" w:rsidR="003201AC" w:rsidRDefault="003201AC" w:rsidP="003201AC">
      <w:pPr>
        <w:jc w:val="both"/>
        <w:rPr>
          <w:rFonts w:ascii="Arial" w:hAnsi="Arial" w:cs="Arial"/>
          <w:szCs w:val="24"/>
        </w:rPr>
      </w:pPr>
      <w:r>
        <w:rPr>
          <w:rFonts w:ascii="Arial" w:hAnsi="Arial" w:cs="Arial"/>
          <w:szCs w:val="24"/>
        </w:rPr>
        <w:t xml:space="preserve">The County has been working to upgrade the transfer network since the 2007 approval of the Solid Waste Transfer and Waste Management Plan, which provided for: </w:t>
      </w:r>
    </w:p>
    <w:p w14:paraId="689DB174" w14:textId="77777777" w:rsidR="003201AC" w:rsidRDefault="003201AC" w:rsidP="003201AC">
      <w:pPr>
        <w:pStyle w:val="ListParagraph"/>
        <w:numPr>
          <w:ilvl w:val="0"/>
          <w:numId w:val="3"/>
        </w:numPr>
        <w:spacing w:line="240" w:lineRule="auto"/>
        <w:jc w:val="both"/>
        <w:rPr>
          <w:rFonts w:ascii="Arial" w:hAnsi="Arial" w:cs="Arial"/>
        </w:rPr>
      </w:pPr>
      <w:r>
        <w:rPr>
          <w:rFonts w:ascii="Arial" w:hAnsi="Arial" w:cs="Arial"/>
        </w:rPr>
        <w:t xml:space="preserve">Upgrading the Bow Lake and </w:t>
      </w:r>
      <w:proofErr w:type="spellStart"/>
      <w:r>
        <w:rPr>
          <w:rFonts w:ascii="Arial" w:hAnsi="Arial" w:cs="Arial"/>
        </w:rPr>
        <w:t>Factoria</w:t>
      </w:r>
      <w:proofErr w:type="spellEnd"/>
      <w:r>
        <w:rPr>
          <w:rFonts w:ascii="Arial" w:hAnsi="Arial" w:cs="Arial"/>
        </w:rPr>
        <w:t xml:space="preserve"> transfer stations in place;</w:t>
      </w:r>
    </w:p>
    <w:p w14:paraId="04ADA12F" w14:textId="77777777" w:rsidR="003201AC" w:rsidRDefault="003201AC" w:rsidP="003201AC">
      <w:pPr>
        <w:pStyle w:val="ListParagraph"/>
        <w:numPr>
          <w:ilvl w:val="0"/>
          <w:numId w:val="3"/>
        </w:numPr>
        <w:spacing w:line="240" w:lineRule="auto"/>
        <w:jc w:val="both"/>
        <w:rPr>
          <w:rFonts w:ascii="Arial" w:hAnsi="Arial" w:cs="Arial"/>
        </w:rPr>
      </w:pPr>
      <w:r>
        <w:rPr>
          <w:rFonts w:ascii="Arial" w:hAnsi="Arial" w:cs="Arial"/>
        </w:rPr>
        <w:t>Replacing the Algona station with a new Southwest Recycling and Transfer Station at a site to be determined;</w:t>
      </w:r>
    </w:p>
    <w:p w14:paraId="140D4D16" w14:textId="77777777" w:rsidR="003201AC" w:rsidRDefault="003201AC" w:rsidP="003201AC">
      <w:pPr>
        <w:pStyle w:val="ListParagraph"/>
        <w:numPr>
          <w:ilvl w:val="0"/>
          <w:numId w:val="3"/>
        </w:numPr>
        <w:spacing w:line="240" w:lineRule="auto"/>
        <w:jc w:val="both"/>
        <w:rPr>
          <w:rFonts w:ascii="Arial" w:hAnsi="Arial" w:cs="Arial"/>
        </w:rPr>
      </w:pPr>
      <w:r>
        <w:rPr>
          <w:rFonts w:ascii="Arial" w:hAnsi="Arial" w:cs="Arial"/>
        </w:rPr>
        <w:t>Replacing the Houghton station with a new Northeast Recycling and Transfer Station at a site to be determined;</w:t>
      </w:r>
    </w:p>
    <w:p w14:paraId="5D5303A1" w14:textId="77777777" w:rsidR="003201AC" w:rsidRPr="000A74F1" w:rsidRDefault="003201AC" w:rsidP="003201AC">
      <w:pPr>
        <w:pStyle w:val="ListParagraph"/>
        <w:numPr>
          <w:ilvl w:val="0"/>
          <w:numId w:val="3"/>
        </w:numPr>
        <w:spacing w:line="240" w:lineRule="auto"/>
        <w:jc w:val="both"/>
        <w:rPr>
          <w:rFonts w:ascii="Arial" w:hAnsi="Arial" w:cs="Arial"/>
        </w:rPr>
      </w:pPr>
      <w:r w:rsidRPr="000A74F1">
        <w:rPr>
          <w:rFonts w:ascii="Arial" w:hAnsi="Arial" w:cs="Arial"/>
        </w:rPr>
        <w:t>Closing the Renton Transfer Station; and</w:t>
      </w:r>
    </w:p>
    <w:p w14:paraId="54BF31FF" w14:textId="77777777" w:rsidR="003201AC" w:rsidRDefault="003201AC" w:rsidP="003201AC">
      <w:pPr>
        <w:pStyle w:val="ListParagraph"/>
        <w:numPr>
          <w:ilvl w:val="0"/>
          <w:numId w:val="3"/>
        </w:numPr>
        <w:spacing w:line="240" w:lineRule="auto"/>
        <w:jc w:val="both"/>
        <w:rPr>
          <w:rFonts w:ascii="Arial" w:hAnsi="Arial" w:cs="Arial"/>
        </w:rPr>
      </w:pPr>
      <w:r>
        <w:rPr>
          <w:rFonts w:ascii="Arial" w:hAnsi="Arial" w:cs="Arial"/>
        </w:rPr>
        <w:t xml:space="preserve">Retaining the Shoreline, Enumclaw and Vashon Recycling and Transfer Stations, which had been recently upgraded or constructed.  </w:t>
      </w:r>
    </w:p>
    <w:p w14:paraId="45EDDCCD" w14:textId="77777777" w:rsidR="003201AC" w:rsidRDefault="003201AC" w:rsidP="003201AC">
      <w:pPr>
        <w:jc w:val="both"/>
        <w:rPr>
          <w:rFonts w:ascii="Arial" w:hAnsi="Arial" w:cs="Arial"/>
          <w:szCs w:val="24"/>
        </w:rPr>
      </w:pPr>
    </w:p>
    <w:p w14:paraId="513C8428" w14:textId="77777777" w:rsidR="003201AC" w:rsidRDefault="003201AC" w:rsidP="003201AC">
      <w:pPr>
        <w:jc w:val="both"/>
        <w:rPr>
          <w:rFonts w:ascii="Arial" w:hAnsi="Arial" w:cs="Arial"/>
          <w:b/>
          <w:szCs w:val="24"/>
          <w:u w:val="single"/>
        </w:rPr>
      </w:pPr>
      <w:r w:rsidRPr="007B1B1A">
        <w:rPr>
          <w:rFonts w:ascii="Arial" w:hAnsi="Arial" w:cs="Arial"/>
          <w:b/>
          <w:szCs w:val="24"/>
          <w:u w:val="single"/>
        </w:rPr>
        <w:t>System Developments Impacting Rates</w:t>
      </w:r>
    </w:p>
    <w:p w14:paraId="19A6CAA6" w14:textId="77777777" w:rsidR="00605524" w:rsidRPr="007B1B1A" w:rsidRDefault="00605524" w:rsidP="003201AC">
      <w:pPr>
        <w:jc w:val="both"/>
        <w:rPr>
          <w:rFonts w:ascii="Arial" w:hAnsi="Arial" w:cs="Arial"/>
          <w:b/>
          <w:szCs w:val="24"/>
          <w:u w:val="single"/>
        </w:rPr>
      </w:pPr>
    </w:p>
    <w:p w14:paraId="2EB90D29" w14:textId="09E4797B" w:rsidR="003201AC" w:rsidRDefault="003201AC" w:rsidP="003201AC">
      <w:pPr>
        <w:jc w:val="both"/>
        <w:rPr>
          <w:rFonts w:ascii="Arial" w:hAnsi="Arial" w:cs="Arial"/>
          <w:szCs w:val="24"/>
        </w:rPr>
      </w:pPr>
      <w:r>
        <w:rPr>
          <w:rFonts w:ascii="Arial" w:hAnsi="Arial" w:cs="Arial"/>
          <w:szCs w:val="24"/>
        </w:rPr>
        <w:t xml:space="preserve">Since the 2012 approval of 2013-2014 rates, there has been extensive discussion of the proposed system upgrade.   In noting a substantial drop in the volumes of tonnage being processed through the system—as well as decreases in future tonnage projections—the Council directed review of the proposed transfer system buildout.  That review process focused on the proposed new Northeast transfer station.   The resulting report addressed </w:t>
      </w:r>
      <w:r>
        <w:rPr>
          <w:rFonts w:ascii="Arial" w:hAnsi="Arial" w:cs="Arial"/>
          <w:szCs w:val="24"/>
        </w:rPr>
        <w:lastRenderedPageBreak/>
        <w:t xml:space="preserve">potential options, including deferral of a new Northeast station, but noted potentially extensive </w:t>
      </w:r>
      <w:r w:rsidR="003629C2">
        <w:rPr>
          <w:rFonts w:ascii="Arial" w:hAnsi="Arial" w:cs="Arial"/>
          <w:szCs w:val="24"/>
        </w:rPr>
        <w:t>queueing</w:t>
      </w:r>
      <w:r>
        <w:rPr>
          <w:rFonts w:ascii="Arial" w:hAnsi="Arial" w:cs="Arial"/>
          <w:szCs w:val="24"/>
        </w:rPr>
        <w:t xml:space="preserve"> at the </w:t>
      </w:r>
      <w:proofErr w:type="spellStart"/>
      <w:r>
        <w:rPr>
          <w:rFonts w:ascii="Arial" w:hAnsi="Arial" w:cs="Arial"/>
          <w:szCs w:val="24"/>
        </w:rPr>
        <w:t>Factoria</w:t>
      </w:r>
      <w:proofErr w:type="spellEnd"/>
      <w:r>
        <w:rPr>
          <w:rFonts w:ascii="Arial" w:hAnsi="Arial" w:cs="Arial"/>
          <w:szCs w:val="24"/>
        </w:rPr>
        <w:t xml:space="preserve"> Recycling and Transfer Station if the Houghton Transfer Station, located in Kirkland, were closed and not replaced.  The northeast service area is currently served by the Houghton Transfer Station, which processes about 160,000 tons annually.  The Solid Waste Transfer and Waste Management Plan proposed closure of the Houghton station upon availability of replacement capacity; interim communications have focused on a closure date in the 2021-2023 period.  </w:t>
      </w:r>
    </w:p>
    <w:p w14:paraId="0C3AA2FB" w14:textId="77777777" w:rsidR="003201AC" w:rsidRDefault="003201AC" w:rsidP="003201AC">
      <w:pPr>
        <w:jc w:val="both"/>
        <w:rPr>
          <w:rFonts w:ascii="Arial" w:hAnsi="Arial" w:cs="Arial"/>
          <w:szCs w:val="24"/>
        </w:rPr>
      </w:pPr>
    </w:p>
    <w:p w14:paraId="408B3CCB" w14:textId="77777777" w:rsidR="003201AC" w:rsidRDefault="003201AC" w:rsidP="003201AC">
      <w:pPr>
        <w:jc w:val="both"/>
        <w:rPr>
          <w:rFonts w:ascii="Arial" w:hAnsi="Arial" w:cs="Arial"/>
          <w:szCs w:val="24"/>
        </w:rPr>
      </w:pPr>
      <w:r>
        <w:rPr>
          <w:rFonts w:ascii="Arial" w:hAnsi="Arial" w:cs="Arial"/>
          <w:szCs w:val="24"/>
        </w:rPr>
        <w:t>It is noted that the City of Be</w:t>
      </w:r>
      <w:r w:rsidR="00605524">
        <w:rPr>
          <w:rFonts w:ascii="Arial" w:hAnsi="Arial" w:cs="Arial"/>
          <w:szCs w:val="24"/>
        </w:rPr>
        <w:t xml:space="preserve">llevue, which generates about 8 to </w:t>
      </w:r>
      <w:r>
        <w:rPr>
          <w:rFonts w:ascii="Arial" w:hAnsi="Arial" w:cs="Arial"/>
          <w:szCs w:val="24"/>
        </w:rPr>
        <w:t xml:space="preserve">10% of the annual system tonnage, has indicated plans to leave the system in 2028, at the end of the current </w:t>
      </w:r>
      <w:proofErr w:type="spellStart"/>
      <w:r>
        <w:rPr>
          <w:rFonts w:ascii="Arial" w:hAnsi="Arial" w:cs="Arial"/>
          <w:szCs w:val="24"/>
        </w:rPr>
        <w:t>interlocal</w:t>
      </w:r>
      <w:proofErr w:type="spellEnd"/>
      <w:r>
        <w:rPr>
          <w:rFonts w:ascii="Arial" w:hAnsi="Arial" w:cs="Arial"/>
          <w:szCs w:val="24"/>
        </w:rPr>
        <w:t xml:space="preserve"> agreement—removing about 60</w:t>
      </w:r>
      <w:r w:rsidR="00605524">
        <w:rPr>
          <w:rFonts w:ascii="Arial" w:hAnsi="Arial" w:cs="Arial"/>
          <w:szCs w:val="24"/>
        </w:rPr>
        <w:t>,000</w:t>
      </w:r>
      <w:r>
        <w:rPr>
          <w:rFonts w:ascii="Arial" w:hAnsi="Arial" w:cs="Arial"/>
          <w:szCs w:val="24"/>
        </w:rPr>
        <w:t xml:space="preserve">-70,000 tons from the Northeast King County portion of the system.  </w:t>
      </w:r>
    </w:p>
    <w:p w14:paraId="38A807C5" w14:textId="77777777" w:rsidR="00605524" w:rsidRDefault="00605524" w:rsidP="003201AC">
      <w:pPr>
        <w:jc w:val="both"/>
        <w:rPr>
          <w:rFonts w:ascii="Arial" w:hAnsi="Arial" w:cs="Arial"/>
          <w:szCs w:val="24"/>
        </w:rPr>
      </w:pPr>
    </w:p>
    <w:p w14:paraId="213EEA1C" w14:textId="77777777" w:rsidR="003201AC" w:rsidRDefault="003201AC" w:rsidP="003201AC">
      <w:pPr>
        <w:jc w:val="both"/>
        <w:rPr>
          <w:rFonts w:ascii="Arial" w:hAnsi="Arial" w:cs="Arial"/>
          <w:szCs w:val="24"/>
        </w:rPr>
      </w:pPr>
      <w:r>
        <w:rPr>
          <w:rFonts w:ascii="Arial" w:hAnsi="Arial" w:cs="Arial"/>
          <w:szCs w:val="24"/>
        </w:rPr>
        <w:t xml:space="preserve">As a result of that initial review, Council recommended further review of the potential for strategies to manage the self-haul customer demand at the </w:t>
      </w:r>
      <w:proofErr w:type="spellStart"/>
      <w:r>
        <w:rPr>
          <w:rFonts w:ascii="Arial" w:hAnsi="Arial" w:cs="Arial"/>
          <w:szCs w:val="24"/>
        </w:rPr>
        <w:t>Factoria</w:t>
      </w:r>
      <w:proofErr w:type="spellEnd"/>
      <w:r>
        <w:rPr>
          <w:rFonts w:ascii="Arial" w:hAnsi="Arial" w:cs="Arial"/>
          <w:szCs w:val="24"/>
        </w:rPr>
        <w:t xml:space="preserve"> station, using techniques such as extended station hours, peak hour fee increases, bulky item collection, and similar strategies.   The current rate proposal includes funding and staffing for testing a “demand management” pilot project.  </w:t>
      </w:r>
    </w:p>
    <w:p w14:paraId="05A7E9F9" w14:textId="77777777" w:rsidR="003201AC" w:rsidRDefault="003201AC" w:rsidP="003201AC">
      <w:pPr>
        <w:jc w:val="both"/>
        <w:rPr>
          <w:rFonts w:ascii="Arial" w:hAnsi="Arial" w:cs="Arial"/>
          <w:szCs w:val="24"/>
        </w:rPr>
      </w:pPr>
    </w:p>
    <w:p w14:paraId="15C7B8F8" w14:textId="77777777" w:rsidR="003201AC" w:rsidRDefault="003201AC" w:rsidP="003201AC">
      <w:pPr>
        <w:jc w:val="both"/>
        <w:rPr>
          <w:rFonts w:ascii="Arial" w:hAnsi="Arial" w:cs="Arial"/>
          <w:szCs w:val="24"/>
        </w:rPr>
      </w:pPr>
      <w:r>
        <w:rPr>
          <w:rFonts w:ascii="Arial" w:hAnsi="Arial" w:cs="Arial"/>
          <w:szCs w:val="24"/>
        </w:rPr>
        <w:t xml:space="preserve">Since the Council’s 2012 consideration of the 2013-2014 rate proposal, most participant cities have signed extended and revised </w:t>
      </w:r>
      <w:proofErr w:type="spellStart"/>
      <w:r>
        <w:rPr>
          <w:rFonts w:ascii="Arial" w:hAnsi="Arial" w:cs="Arial"/>
          <w:szCs w:val="24"/>
        </w:rPr>
        <w:t>interlocal</w:t>
      </w:r>
      <w:proofErr w:type="spellEnd"/>
      <w:r>
        <w:rPr>
          <w:rFonts w:ascii="Arial" w:hAnsi="Arial" w:cs="Arial"/>
          <w:szCs w:val="24"/>
        </w:rPr>
        <w:t xml:space="preserve"> agreements committing them to the system through 2040, allowing for bond repayment terms extending over a longer period, and therefore at a more modest periodic rate.  All of the transfer stations rebuilt or replaced through the upgrade process are expected to have life spans of at least 30 – 40 years.  </w:t>
      </w:r>
    </w:p>
    <w:p w14:paraId="2A0FCED2" w14:textId="77777777" w:rsidR="003201AC" w:rsidRDefault="003201AC" w:rsidP="003201AC">
      <w:pPr>
        <w:jc w:val="both"/>
        <w:rPr>
          <w:rFonts w:ascii="Arial" w:hAnsi="Arial" w:cs="Arial"/>
          <w:szCs w:val="24"/>
        </w:rPr>
      </w:pPr>
    </w:p>
    <w:p w14:paraId="3B7E2821" w14:textId="77777777" w:rsidR="003201AC" w:rsidRDefault="003201AC" w:rsidP="003201AC">
      <w:pPr>
        <w:pStyle w:val="ListParagraph"/>
        <w:ind w:left="0"/>
        <w:jc w:val="both"/>
        <w:rPr>
          <w:rFonts w:ascii="Arial" w:hAnsi="Arial" w:cs="Arial"/>
        </w:rPr>
      </w:pPr>
      <w:r>
        <w:rPr>
          <w:rFonts w:ascii="Arial" w:hAnsi="Arial" w:cs="Arial"/>
        </w:rPr>
        <w:t>Major system direction is established by the Comprehensive Solid Waste Management Plan.  The last completed plan was prepared in 2001.  An ongoing joint planning effort, involving the Solid Waste Division, the Metropolitan Solid Waste Advisory Committee, and the Solid Waste Advisory Committee, has approached, but not completed, an updated plan.</w:t>
      </w:r>
    </w:p>
    <w:p w14:paraId="71D64BA8" w14:textId="77777777" w:rsidR="003201AC" w:rsidRDefault="003201AC" w:rsidP="003201AC">
      <w:pPr>
        <w:pStyle w:val="ListParagraph"/>
        <w:ind w:left="0"/>
        <w:jc w:val="both"/>
        <w:rPr>
          <w:rFonts w:ascii="Arial" w:hAnsi="Arial" w:cs="Arial"/>
        </w:rPr>
      </w:pPr>
    </w:p>
    <w:p w14:paraId="45216BC9" w14:textId="77777777" w:rsidR="003201AC" w:rsidRPr="007B1B1A" w:rsidRDefault="003201AC" w:rsidP="003201AC">
      <w:pPr>
        <w:pStyle w:val="ListParagraph"/>
        <w:ind w:left="0"/>
        <w:jc w:val="both"/>
        <w:rPr>
          <w:rFonts w:ascii="Arial" w:hAnsi="Arial" w:cs="Arial"/>
          <w:b/>
          <w:u w:val="single"/>
        </w:rPr>
      </w:pPr>
      <w:r w:rsidRPr="007B1B1A">
        <w:rPr>
          <w:rFonts w:ascii="Arial" w:hAnsi="Arial" w:cs="Arial"/>
          <w:b/>
          <w:u w:val="single"/>
        </w:rPr>
        <w:t>Schedule of Proposed Fees</w:t>
      </w:r>
    </w:p>
    <w:p w14:paraId="2E30CC52" w14:textId="77777777" w:rsidR="003201AC" w:rsidRDefault="003201AC" w:rsidP="003201AC">
      <w:pPr>
        <w:pStyle w:val="ListParagraph"/>
        <w:ind w:left="0"/>
        <w:jc w:val="both"/>
        <w:rPr>
          <w:rFonts w:ascii="Arial" w:hAnsi="Arial" w:cs="Arial"/>
        </w:rPr>
      </w:pPr>
    </w:p>
    <w:p w14:paraId="211B3883" w14:textId="77777777" w:rsidR="003201AC" w:rsidRDefault="003201AC" w:rsidP="003201AC">
      <w:pPr>
        <w:pStyle w:val="ListParagraph"/>
        <w:ind w:left="0"/>
        <w:jc w:val="both"/>
        <w:rPr>
          <w:rFonts w:ascii="Arial" w:hAnsi="Arial" w:cs="Arial"/>
        </w:rPr>
      </w:pPr>
      <w:r>
        <w:rPr>
          <w:rFonts w:ascii="Arial" w:hAnsi="Arial" w:cs="Arial"/>
        </w:rPr>
        <w:t>Below are the existing and proposed fees recommended by Proposed Ordinance 2016-</w:t>
      </w:r>
      <w:proofErr w:type="gramStart"/>
      <w:r>
        <w:rPr>
          <w:rFonts w:ascii="Arial" w:hAnsi="Arial" w:cs="Arial"/>
        </w:rPr>
        <w:t>0386.</w:t>
      </w:r>
      <w:proofErr w:type="gramEnd"/>
    </w:p>
    <w:p w14:paraId="2C53C173" w14:textId="77777777" w:rsidR="003201AC" w:rsidRDefault="003201AC" w:rsidP="003201AC">
      <w:pPr>
        <w:pStyle w:val="ListParagraph"/>
        <w:ind w:left="0"/>
        <w:jc w:val="both"/>
        <w:rPr>
          <w:rFonts w:ascii="Arial" w:hAnsi="Arial" w:cs="Arial"/>
        </w:rPr>
      </w:pPr>
    </w:p>
    <w:p w14:paraId="243113AC" w14:textId="1D152ACB" w:rsidR="003201AC" w:rsidRDefault="003201AC" w:rsidP="003201AC">
      <w:pPr>
        <w:pStyle w:val="ListParagraph"/>
        <w:jc w:val="both"/>
        <w:rPr>
          <w:rFonts w:ascii="Arial" w:hAnsi="Arial" w:cs="Arial"/>
        </w:rPr>
      </w:pPr>
      <w:r>
        <w:rPr>
          <w:rFonts w:ascii="Arial" w:hAnsi="Arial" w:cs="Arial"/>
        </w:rPr>
        <w:t>Passenger cars</w:t>
      </w:r>
      <w:r>
        <w:rPr>
          <w:rFonts w:ascii="Arial" w:hAnsi="Arial" w:cs="Arial"/>
        </w:rPr>
        <w:tab/>
      </w:r>
      <w:r>
        <w:rPr>
          <w:rFonts w:ascii="Arial" w:hAnsi="Arial" w:cs="Arial"/>
        </w:rPr>
        <w:tab/>
      </w:r>
      <w:r w:rsidRPr="007B1B1A">
        <w:rPr>
          <w:rFonts w:ascii="Arial" w:hAnsi="Arial" w:cs="Arial"/>
          <w:strike/>
        </w:rPr>
        <w:t>$19.22</w:t>
      </w:r>
      <w:r>
        <w:rPr>
          <w:rFonts w:ascii="Arial" w:hAnsi="Arial" w:cs="Arial"/>
        </w:rPr>
        <w:t xml:space="preserve"> $22.08 per entry</w:t>
      </w:r>
      <w:r w:rsidR="00423E6A">
        <w:rPr>
          <w:rFonts w:ascii="Arial" w:hAnsi="Arial" w:cs="Arial"/>
        </w:rPr>
        <w:t xml:space="preserve"> (</w:t>
      </w:r>
      <w:r w:rsidR="003629C2">
        <w:rPr>
          <w:rFonts w:ascii="Arial" w:hAnsi="Arial" w:cs="Arial"/>
        </w:rPr>
        <w:t>14.8</w:t>
      </w:r>
      <w:r w:rsidR="00423E6A">
        <w:rPr>
          <w:rFonts w:ascii="Arial" w:hAnsi="Arial" w:cs="Arial"/>
        </w:rPr>
        <w:t>% increase)</w:t>
      </w:r>
    </w:p>
    <w:p w14:paraId="09CC7E7C" w14:textId="78359217" w:rsidR="003201AC" w:rsidRDefault="003201AC" w:rsidP="003201AC">
      <w:pPr>
        <w:pStyle w:val="ListParagraph"/>
        <w:jc w:val="both"/>
        <w:rPr>
          <w:rFonts w:ascii="Arial" w:hAnsi="Arial" w:cs="Arial"/>
        </w:rPr>
      </w:pPr>
      <w:r>
        <w:rPr>
          <w:rFonts w:ascii="Arial" w:hAnsi="Arial" w:cs="Arial"/>
        </w:rPr>
        <w:t>Other Vehicles</w:t>
      </w:r>
      <w:r>
        <w:rPr>
          <w:rFonts w:ascii="Arial" w:hAnsi="Arial" w:cs="Arial"/>
        </w:rPr>
        <w:tab/>
      </w:r>
      <w:r>
        <w:rPr>
          <w:rFonts w:ascii="Arial" w:hAnsi="Arial" w:cs="Arial"/>
        </w:rPr>
        <w:tab/>
      </w:r>
      <w:r w:rsidRPr="007B1B1A">
        <w:rPr>
          <w:rFonts w:ascii="Arial" w:hAnsi="Arial" w:cs="Arial"/>
          <w:strike/>
        </w:rPr>
        <w:t>$</w:t>
      </w:r>
      <w:proofErr w:type="gramStart"/>
      <w:r w:rsidRPr="007B1B1A">
        <w:rPr>
          <w:rFonts w:ascii="Arial" w:hAnsi="Arial" w:cs="Arial"/>
          <w:strike/>
        </w:rPr>
        <w:t>120.17</w:t>
      </w:r>
      <w:r>
        <w:rPr>
          <w:rFonts w:ascii="Arial" w:hAnsi="Arial" w:cs="Arial"/>
        </w:rPr>
        <w:t xml:space="preserve">  $</w:t>
      </w:r>
      <w:proofErr w:type="gramEnd"/>
      <w:r>
        <w:rPr>
          <w:rFonts w:ascii="Arial" w:hAnsi="Arial" w:cs="Arial"/>
        </w:rPr>
        <w:t>137.75 per ton</w:t>
      </w:r>
      <w:r w:rsidR="003629C2">
        <w:rPr>
          <w:rFonts w:ascii="Arial" w:hAnsi="Arial" w:cs="Arial"/>
        </w:rPr>
        <w:t xml:space="preserve"> (14.6% increase)</w:t>
      </w:r>
    </w:p>
    <w:p w14:paraId="051D1C17" w14:textId="5FF614F9" w:rsidR="003201AC" w:rsidRDefault="003201AC" w:rsidP="003201AC">
      <w:pPr>
        <w:pStyle w:val="ListParagraph"/>
        <w:jc w:val="both"/>
        <w:rPr>
          <w:rFonts w:ascii="Arial" w:hAnsi="Arial" w:cs="Arial"/>
        </w:rPr>
      </w:pPr>
      <w:r>
        <w:rPr>
          <w:rFonts w:ascii="Arial" w:hAnsi="Arial" w:cs="Arial"/>
        </w:rPr>
        <w:t>Charitable organizations</w:t>
      </w:r>
      <w:r>
        <w:rPr>
          <w:rFonts w:ascii="Arial" w:hAnsi="Arial" w:cs="Arial"/>
        </w:rPr>
        <w:tab/>
      </w:r>
      <w:r w:rsidRPr="007B1B1A">
        <w:rPr>
          <w:rFonts w:ascii="Arial" w:hAnsi="Arial" w:cs="Arial"/>
          <w:strike/>
        </w:rPr>
        <w:t>$</w:t>
      </w:r>
      <w:proofErr w:type="gramStart"/>
      <w:r w:rsidRPr="007B1B1A">
        <w:rPr>
          <w:rFonts w:ascii="Arial" w:hAnsi="Arial" w:cs="Arial"/>
          <w:strike/>
        </w:rPr>
        <w:t>92.55</w:t>
      </w:r>
      <w:r>
        <w:rPr>
          <w:rFonts w:ascii="Arial" w:hAnsi="Arial" w:cs="Arial"/>
        </w:rPr>
        <w:t xml:space="preserve">  $</w:t>
      </w:r>
      <w:proofErr w:type="gramEnd"/>
      <w:r>
        <w:rPr>
          <w:rFonts w:ascii="Arial" w:hAnsi="Arial" w:cs="Arial"/>
        </w:rPr>
        <w:t>106.07 per ton</w:t>
      </w:r>
      <w:r w:rsidR="003629C2">
        <w:rPr>
          <w:rFonts w:ascii="Arial" w:hAnsi="Arial" w:cs="Arial"/>
        </w:rPr>
        <w:t xml:space="preserve"> (14.6% increase)</w:t>
      </w:r>
    </w:p>
    <w:p w14:paraId="48CB44F1" w14:textId="62809EC9" w:rsidR="003201AC" w:rsidRDefault="003201AC" w:rsidP="003201AC">
      <w:pPr>
        <w:pStyle w:val="ListParagraph"/>
        <w:jc w:val="both"/>
        <w:rPr>
          <w:rFonts w:ascii="Arial" w:hAnsi="Arial" w:cs="Arial"/>
        </w:rPr>
      </w:pPr>
      <w:r>
        <w:rPr>
          <w:rFonts w:ascii="Arial" w:hAnsi="Arial" w:cs="Arial"/>
        </w:rPr>
        <w:t xml:space="preserve">Minimum </w:t>
      </w:r>
      <w:r>
        <w:rPr>
          <w:rFonts w:ascii="Arial" w:hAnsi="Arial" w:cs="Arial"/>
        </w:rPr>
        <w:tab/>
      </w:r>
      <w:r>
        <w:rPr>
          <w:rFonts w:ascii="Arial" w:hAnsi="Arial" w:cs="Arial"/>
        </w:rPr>
        <w:tab/>
      </w:r>
      <w:r>
        <w:rPr>
          <w:rFonts w:ascii="Arial" w:hAnsi="Arial" w:cs="Arial"/>
        </w:rPr>
        <w:tab/>
      </w:r>
      <w:r w:rsidRPr="007B1B1A">
        <w:rPr>
          <w:rFonts w:ascii="Arial" w:hAnsi="Arial" w:cs="Arial"/>
          <w:strike/>
        </w:rPr>
        <w:t>$</w:t>
      </w:r>
      <w:proofErr w:type="gramStart"/>
      <w:r w:rsidRPr="007B1B1A">
        <w:rPr>
          <w:rFonts w:ascii="Arial" w:hAnsi="Arial" w:cs="Arial"/>
          <w:strike/>
        </w:rPr>
        <w:t>19.22</w:t>
      </w:r>
      <w:r>
        <w:rPr>
          <w:rFonts w:ascii="Arial" w:hAnsi="Arial" w:cs="Arial"/>
        </w:rPr>
        <w:t xml:space="preserve">  $</w:t>
      </w:r>
      <w:proofErr w:type="gramEnd"/>
      <w:r>
        <w:rPr>
          <w:rFonts w:ascii="Arial" w:hAnsi="Arial" w:cs="Arial"/>
        </w:rPr>
        <w:t>22.08 per vehicle</w:t>
      </w:r>
      <w:r w:rsidR="003629C2">
        <w:rPr>
          <w:rFonts w:ascii="Arial" w:hAnsi="Arial" w:cs="Arial"/>
        </w:rPr>
        <w:t xml:space="preserve">  (14.8% increase)</w:t>
      </w:r>
    </w:p>
    <w:p w14:paraId="3920C04C" w14:textId="7E8F7FAD" w:rsidR="003201AC" w:rsidRDefault="003201AC" w:rsidP="003201AC">
      <w:pPr>
        <w:pStyle w:val="ListParagraph"/>
        <w:jc w:val="both"/>
        <w:rPr>
          <w:rFonts w:ascii="Arial" w:hAnsi="Arial" w:cs="Arial"/>
        </w:rPr>
      </w:pPr>
      <w:r>
        <w:rPr>
          <w:rFonts w:ascii="Arial" w:hAnsi="Arial" w:cs="Arial"/>
        </w:rPr>
        <w:t>Charitable organizations</w:t>
      </w:r>
      <w:r>
        <w:rPr>
          <w:rFonts w:ascii="Arial" w:hAnsi="Arial" w:cs="Arial"/>
        </w:rPr>
        <w:tab/>
      </w:r>
      <w:r w:rsidRPr="007B1B1A">
        <w:rPr>
          <w:rFonts w:ascii="Arial" w:hAnsi="Arial" w:cs="Arial"/>
          <w:strike/>
        </w:rPr>
        <w:t>$</w:t>
      </w:r>
      <w:proofErr w:type="gramStart"/>
      <w:r w:rsidRPr="007B1B1A">
        <w:rPr>
          <w:rFonts w:ascii="Arial" w:hAnsi="Arial" w:cs="Arial"/>
          <w:strike/>
        </w:rPr>
        <w:t>15.08</w:t>
      </w:r>
      <w:r>
        <w:rPr>
          <w:rFonts w:ascii="Arial" w:hAnsi="Arial" w:cs="Arial"/>
        </w:rPr>
        <w:t xml:space="preserve">  $</w:t>
      </w:r>
      <w:proofErr w:type="gramEnd"/>
      <w:r>
        <w:rPr>
          <w:rFonts w:ascii="Arial" w:hAnsi="Arial" w:cs="Arial"/>
        </w:rPr>
        <w:t>16.97 per entry</w:t>
      </w:r>
      <w:r w:rsidR="003629C2">
        <w:rPr>
          <w:rFonts w:ascii="Arial" w:hAnsi="Arial" w:cs="Arial"/>
        </w:rPr>
        <w:t xml:space="preserve"> (12.5% increase)</w:t>
      </w:r>
    </w:p>
    <w:p w14:paraId="387DE8EB" w14:textId="77777777" w:rsidR="003201AC" w:rsidRDefault="003201AC" w:rsidP="003201AC">
      <w:pPr>
        <w:pStyle w:val="ListParagraph"/>
        <w:ind w:left="0"/>
        <w:jc w:val="both"/>
        <w:rPr>
          <w:rFonts w:ascii="Arial" w:hAnsi="Arial" w:cs="Arial"/>
        </w:rPr>
      </w:pPr>
    </w:p>
    <w:p w14:paraId="515D59E2" w14:textId="77777777" w:rsidR="003201AC" w:rsidRPr="007B1B1A" w:rsidRDefault="003201AC" w:rsidP="003201AC">
      <w:pPr>
        <w:pStyle w:val="ListParagraph"/>
        <w:ind w:left="0"/>
        <w:jc w:val="both"/>
        <w:rPr>
          <w:rFonts w:ascii="Arial" w:hAnsi="Arial" w:cs="Arial"/>
          <w:u w:val="single"/>
        </w:rPr>
      </w:pPr>
      <w:r w:rsidRPr="007B1B1A">
        <w:rPr>
          <w:rFonts w:ascii="Arial" w:hAnsi="Arial" w:cs="Arial"/>
          <w:u w:val="single"/>
        </w:rPr>
        <w:t xml:space="preserve">Solid Waste Facilities </w:t>
      </w:r>
      <w:proofErr w:type="gramStart"/>
      <w:r w:rsidRPr="007B1B1A">
        <w:rPr>
          <w:rFonts w:ascii="Arial" w:hAnsi="Arial" w:cs="Arial"/>
          <w:u w:val="single"/>
        </w:rPr>
        <w:t>Without</w:t>
      </w:r>
      <w:proofErr w:type="gramEnd"/>
      <w:r w:rsidRPr="007B1B1A">
        <w:rPr>
          <w:rFonts w:ascii="Arial" w:hAnsi="Arial" w:cs="Arial"/>
          <w:u w:val="single"/>
        </w:rPr>
        <w:t xml:space="preserve"> Scales</w:t>
      </w:r>
    </w:p>
    <w:p w14:paraId="054E1D21" w14:textId="77777777" w:rsidR="003201AC" w:rsidRDefault="003201AC" w:rsidP="003201AC">
      <w:pPr>
        <w:pStyle w:val="ListParagraph"/>
        <w:ind w:left="0"/>
        <w:jc w:val="both"/>
        <w:rPr>
          <w:rFonts w:ascii="Arial" w:hAnsi="Arial" w:cs="Arial"/>
        </w:rPr>
      </w:pPr>
    </w:p>
    <w:p w14:paraId="20C02F4A" w14:textId="1AE034C1" w:rsidR="003201AC" w:rsidRDefault="003201AC" w:rsidP="003201AC">
      <w:pPr>
        <w:pStyle w:val="ListParagraph"/>
        <w:jc w:val="both"/>
        <w:rPr>
          <w:rFonts w:ascii="Arial" w:hAnsi="Arial" w:cs="Arial"/>
        </w:rPr>
      </w:pPr>
      <w:r>
        <w:rPr>
          <w:rFonts w:ascii="Arial" w:hAnsi="Arial" w:cs="Arial"/>
        </w:rPr>
        <w:t>Compacted wastes</w:t>
      </w:r>
      <w:r>
        <w:rPr>
          <w:rFonts w:ascii="Arial" w:hAnsi="Arial" w:cs="Arial"/>
        </w:rPr>
        <w:tab/>
      </w:r>
      <w:r>
        <w:rPr>
          <w:rFonts w:ascii="Arial" w:hAnsi="Arial" w:cs="Arial"/>
        </w:rPr>
        <w:tab/>
      </w:r>
      <w:r w:rsidRPr="007B1B1A">
        <w:rPr>
          <w:rFonts w:ascii="Arial" w:hAnsi="Arial" w:cs="Arial"/>
          <w:strike/>
        </w:rPr>
        <w:t>$</w:t>
      </w:r>
      <w:proofErr w:type="gramStart"/>
      <w:r w:rsidRPr="007B1B1A">
        <w:rPr>
          <w:rFonts w:ascii="Arial" w:hAnsi="Arial" w:cs="Arial"/>
          <w:strike/>
        </w:rPr>
        <w:t>35.31</w:t>
      </w:r>
      <w:r>
        <w:rPr>
          <w:rFonts w:ascii="Arial" w:hAnsi="Arial" w:cs="Arial"/>
        </w:rPr>
        <w:t xml:space="preserve">  $</w:t>
      </w:r>
      <w:proofErr w:type="gramEnd"/>
      <w:r>
        <w:rPr>
          <w:rFonts w:ascii="Arial" w:hAnsi="Arial" w:cs="Arial"/>
        </w:rPr>
        <w:t>39.95 per cubic yard</w:t>
      </w:r>
      <w:r w:rsidR="003629C2">
        <w:rPr>
          <w:rFonts w:ascii="Arial" w:hAnsi="Arial" w:cs="Arial"/>
        </w:rPr>
        <w:t xml:space="preserve">  (13.1% increase)</w:t>
      </w:r>
    </w:p>
    <w:p w14:paraId="07E2FB7C" w14:textId="3FD04DA1" w:rsidR="003201AC" w:rsidRDefault="003201AC" w:rsidP="003201AC">
      <w:pPr>
        <w:pStyle w:val="ListParagraph"/>
        <w:jc w:val="both"/>
        <w:rPr>
          <w:rFonts w:ascii="Arial" w:hAnsi="Arial" w:cs="Arial"/>
        </w:rPr>
      </w:pPr>
      <w:proofErr w:type="spellStart"/>
      <w:r>
        <w:rPr>
          <w:rFonts w:ascii="Arial" w:hAnsi="Arial" w:cs="Arial"/>
        </w:rPr>
        <w:t>Uncompacted</w:t>
      </w:r>
      <w:proofErr w:type="spellEnd"/>
      <w:r>
        <w:rPr>
          <w:rFonts w:ascii="Arial" w:hAnsi="Arial" w:cs="Arial"/>
        </w:rPr>
        <w:t xml:space="preserve"> wastes</w:t>
      </w:r>
      <w:r>
        <w:rPr>
          <w:rFonts w:ascii="Arial" w:hAnsi="Arial" w:cs="Arial"/>
        </w:rPr>
        <w:tab/>
      </w:r>
      <w:r w:rsidRPr="007B1B1A">
        <w:rPr>
          <w:rFonts w:ascii="Arial" w:hAnsi="Arial" w:cs="Arial"/>
          <w:strike/>
        </w:rPr>
        <w:t>$</w:t>
      </w:r>
      <w:proofErr w:type="gramStart"/>
      <w:r w:rsidRPr="007B1B1A">
        <w:rPr>
          <w:rFonts w:ascii="Arial" w:hAnsi="Arial" w:cs="Arial"/>
          <w:strike/>
        </w:rPr>
        <w:t>20.70</w:t>
      </w:r>
      <w:r>
        <w:rPr>
          <w:rFonts w:ascii="Arial" w:hAnsi="Arial" w:cs="Arial"/>
        </w:rPr>
        <w:t xml:space="preserve">  $</w:t>
      </w:r>
      <w:proofErr w:type="gramEnd"/>
      <w:r>
        <w:rPr>
          <w:rFonts w:ascii="Arial" w:hAnsi="Arial" w:cs="Arial"/>
        </w:rPr>
        <w:t xml:space="preserve">23.42 per cubic </w:t>
      </w:r>
      <w:r w:rsidR="0072448B">
        <w:rPr>
          <w:rFonts w:ascii="Arial" w:hAnsi="Arial" w:cs="Arial"/>
        </w:rPr>
        <w:t>yard (</w:t>
      </w:r>
      <w:r w:rsidR="003629C2">
        <w:rPr>
          <w:rFonts w:ascii="Arial" w:hAnsi="Arial" w:cs="Arial"/>
        </w:rPr>
        <w:t>13.1% increase)</w:t>
      </w:r>
    </w:p>
    <w:p w14:paraId="29D6701B" w14:textId="40DD4B23" w:rsidR="003201AC" w:rsidRDefault="003201AC" w:rsidP="003201AC">
      <w:pPr>
        <w:pStyle w:val="ListParagraph"/>
        <w:jc w:val="both"/>
        <w:rPr>
          <w:rFonts w:ascii="Arial" w:hAnsi="Arial" w:cs="Arial"/>
        </w:rPr>
      </w:pPr>
      <w:r>
        <w:rPr>
          <w:rFonts w:ascii="Arial" w:hAnsi="Arial" w:cs="Arial"/>
        </w:rPr>
        <w:lastRenderedPageBreak/>
        <w:t>Minimum charge</w:t>
      </w:r>
      <w:r>
        <w:rPr>
          <w:rFonts w:ascii="Arial" w:hAnsi="Arial" w:cs="Arial"/>
        </w:rPr>
        <w:tab/>
      </w:r>
      <w:r>
        <w:rPr>
          <w:rFonts w:ascii="Arial" w:hAnsi="Arial" w:cs="Arial"/>
        </w:rPr>
        <w:tab/>
      </w:r>
      <w:r w:rsidRPr="007B1B1A">
        <w:rPr>
          <w:rFonts w:ascii="Arial" w:hAnsi="Arial" w:cs="Arial"/>
          <w:strike/>
        </w:rPr>
        <w:t>$</w:t>
      </w:r>
      <w:proofErr w:type="gramStart"/>
      <w:r w:rsidRPr="007B1B1A">
        <w:rPr>
          <w:rFonts w:ascii="Arial" w:hAnsi="Arial" w:cs="Arial"/>
          <w:strike/>
        </w:rPr>
        <w:t>19.67</w:t>
      </w:r>
      <w:r>
        <w:rPr>
          <w:rFonts w:ascii="Arial" w:hAnsi="Arial" w:cs="Arial"/>
        </w:rPr>
        <w:t xml:space="preserve">  $</w:t>
      </w:r>
      <w:proofErr w:type="gramEnd"/>
      <w:r>
        <w:rPr>
          <w:rFonts w:ascii="Arial" w:hAnsi="Arial" w:cs="Arial"/>
        </w:rPr>
        <w:t xml:space="preserve">22.08 per </w:t>
      </w:r>
      <w:r w:rsidR="0072448B">
        <w:rPr>
          <w:rFonts w:ascii="Arial" w:hAnsi="Arial" w:cs="Arial"/>
        </w:rPr>
        <w:t>vehicle (</w:t>
      </w:r>
      <w:r w:rsidR="003629C2">
        <w:rPr>
          <w:rFonts w:ascii="Arial" w:hAnsi="Arial" w:cs="Arial"/>
        </w:rPr>
        <w:t>14.8% increase)</w:t>
      </w:r>
    </w:p>
    <w:p w14:paraId="22978E28" w14:textId="77777777" w:rsidR="003201AC" w:rsidRDefault="003201AC" w:rsidP="003201AC">
      <w:pPr>
        <w:pStyle w:val="ListParagraph"/>
        <w:ind w:left="0"/>
        <w:jc w:val="both"/>
        <w:rPr>
          <w:rFonts w:ascii="Arial" w:hAnsi="Arial" w:cs="Arial"/>
        </w:rPr>
      </w:pPr>
    </w:p>
    <w:p w14:paraId="2B355FE9" w14:textId="77777777" w:rsidR="003201AC" w:rsidRPr="007B1B1A" w:rsidRDefault="003201AC" w:rsidP="003201AC">
      <w:pPr>
        <w:pStyle w:val="ListParagraph"/>
        <w:ind w:left="0"/>
        <w:jc w:val="both"/>
        <w:rPr>
          <w:rFonts w:ascii="Arial" w:hAnsi="Arial" w:cs="Arial"/>
          <w:u w:val="single"/>
        </w:rPr>
      </w:pPr>
      <w:r w:rsidRPr="007B1B1A">
        <w:rPr>
          <w:rFonts w:ascii="Arial" w:hAnsi="Arial" w:cs="Arial"/>
          <w:u w:val="single"/>
        </w:rPr>
        <w:t xml:space="preserve">Cedar </w:t>
      </w:r>
      <w:proofErr w:type="spellStart"/>
      <w:r w:rsidRPr="007B1B1A">
        <w:rPr>
          <w:rFonts w:ascii="Arial" w:hAnsi="Arial" w:cs="Arial"/>
          <w:u w:val="single"/>
        </w:rPr>
        <w:t>Hlls</w:t>
      </w:r>
      <w:proofErr w:type="spellEnd"/>
      <w:r w:rsidRPr="007B1B1A">
        <w:rPr>
          <w:rFonts w:ascii="Arial" w:hAnsi="Arial" w:cs="Arial"/>
          <w:u w:val="single"/>
        </w:rPr>
        <w:t xml:space="preserve"> disposal</w:t>
      </w:r>
    </w:p>
    <w:p w14:paraId="39AD3D25" w14:textId="77777777" w:rsidR="003201AC" w:rsidRDefault="003201AC" w:rsidP="003201AC">
      <w:pPr>
        <w:pStyle w:val="ListParagraph"/>
        <w:ind w:left="0"/>
        <w:jc w:val="both"/>
        <w:rPr>
          <w:rFonts w:ascii="Arial" w:hAnsi="Arial" w:cs="Arial"/>
        </w:rPr>
      </w:pPr>
    </w:p>
    <w:p w14:paraId="460F8391" w14:textId="69B523B9" w:rsidR="003201AC" w:rsidRDefault="003201AC" w:rsidP="003201AC">
      <w:pPr>
        <w:pStyle w:val="ListParagraph"/>
        <w:jc w:val="both"/>
        <w:rPr>
          <w:rFonts w:ascii="Arial" w:hAnsi="Arial" w:cs="Arial"/>
        </w:rPr>
      </w:pPr>
      <w:r>
        <w:rPr>
          <w:rFonts w:ascii="Arial" w:hAnsi="Arial" w:cs="Arial"/>
        </w:rPr>
        <w:t xml:space="preserve">Regional Direct </w:t>
      </w:r>
      <w:r>
        <w:rPr>
          <w:rFonts w:ascii="Arial" w:hAnsi="Arial" w:cs="Arial"/>
        </w:rPr>
        <w:tab/>
      </w:r>
      <w:r>
        <w:rPr>
          <w:rFonts w:ascii="Arial" w:hAnsi="Arial" w:cs="Arial"/>
        </w:rPr>
        <w:tab/>
      </w:r>
      <w:r w:rsidRPr="007B1B1A">
        <w:rPr>
          <w:rFonts w:ascii="Arial" w:hAnsi="Arial" w:cs="Arial"/>
          <w:strike/>
        </w:rPr>
        <w:t>$</w:t>
      </w:r>
      <w:proofErr w:type="gramStart"/>
      <w:r w:rsidRPr="007B1B1A">
        <w:rPr>
          <w:rFonts w:ascii="Arial" w:hAnsi="Arial" w:cs="Arial"/>
          <w:strike/>
        </w:rPr>
        <w:t>103.50</w:t>
      </w:r>
      <w:r>
        <w:rPr>
          <w:rFonts w:ascii="Arial" w:hAnsi="Arial" w:cs="Arial"/>
        </w:rPr>
        <w:t xml:space="preserve">  $</w:t>
      </w:r>
      <w:proofErr w:type="gramEnd"/>
      <w:r>
        <w:rPr>
          <w:rFonts w:ascii="Arial" w:hAnsi="Arial" w:cs="Arial"/>
        </w:rPr>
        <w:t>117.00 per ton</w:t>
      </w:r>
      <w:r w:rsidR="003629C2">
        <w:rPr>
          <w:rFonts w:ascii="Arial" w:hAnsi="Arial" w:cs="Arial"/>
        </w:rPr>
        <w:t xml:space="preserve">  (13% increase)</w:t>
      </w:r>
    </w:p>
    <w:p w14:paraId="5C372452" w14:textId="021DF1DF" w:rsidR="003201AC" w:rsidRDefault="003201AC" w:rsidP="003201AC">
      <w:pPr>
        <w:pStyle w:val="ListParagraph"/>
        <w:jc w:val="both"/>
        <w:rPr>
          <w:rFonts w:ascii="Arial" w:hAnsi="Arial" w:cs="Arial"/>
        </w:rPr>
      </w:pPr>
      <w:r>
        <w:rPr>
          <w:rFonts w:ascii="Arial" w:hAnsi="Arial" w:cs="Arial"/>
        </w:rPr>
        <w:t>Other vehicles</w:t>
      </w:r>
      <w:r>
        <w:rPr>
          <w:rFonts w:ascii="Arial" w:hAnsi="Arial" w:cs="Arial"/>
        </w:rPr>
        <w:tab/>
      </w:r>
      <w:r>
        <w:rPr>
          <w:rFonts w:ascii="Arial" w:hAnsi="Arial" w:cs="Arial"/>
        </w:rPr>
        <w:tab/>
      </w:r>
      <w:r w:rsidRPr="007B1B1A">
        <w:rPr>
          <w:rFonts w:ascii="Arial" w:hAnsi="Arial" w:cs="Arial"/>
          <w:strike/>
        </w:rPr>
        <w:t>$</w:t>
      </w:r>
      <w:proofErr w:type="gramStart"/>
      <w:r w:rsidRPr="007B1B1A">
        <w:rPr>
          <w:rFonts w:ascii="Arial" w:hAnsi="Arial" w:cs="Arial"/>
          <w:strike/>
        </w:rPr>
        <w:t>121.75</w:t>
      </w:r>
      <w:r>
        <w:rPr>
          <w:rFonts w:ascii="Arial" w:hAnsi="Arial" w:cs="Arial"/>
        </w:rPr>
        <w:t xml:space="preserve">  $</w:t>
      </w:r>
      <w:proofErr w:type="gramEnd"/>
      <w:r>
        <w:rPr>
          <w:rFonts w:ascii="Arial" w:hAnsi="Arial" w:cs="Arial"/>
        </w:rPr>
        <w:t>137.75 per ton</w:t>
      </w:r>
      <w:r w:rsidR="003629C2">
        <w:rPr>
          <w:rFonts w:ascii="Arial" w:hAnsi="Arial" w:cs="Arial"/>
        </w:rPr>
        <w:t xml:space="preserve">  (14.6% increase)</w:t>
      </w:r>
    </w:p>
    <w:p w14:paraId="4A79450A" w14:textId="77777777" w:rsidR="003201AC" w:rsidRDefault="003201AC" w:rsidP="003201AC">
      <w:pPr>
        <w:pStyle w:val="ListParagraph"/>
        <w:ind w:left="0"/>
        <w:jc w:val="both"/>
        <w:rPr>
          <w:rFonts w:ascii="Arial" w:hAnsi="Arial" w:cs="Arial"/>
        </w:rPr>
      </w:pPr>
    </w:p>
    <w:p w14:paraId="295A7603" w14:textId="77777777" w:rsidR="003201AC" w:rsidRPr="007B1B1A" w:rsidRDefault="003201AC" w:rsidP="003201AC">
      <w:pPr>
        <w:pStyle w:val="ListParagraph"/>
        <w:ind w:left="0"/>
        <w:jc w:val="both"/>
        <w:rPr>
          <w:rFonts w:ascii="Arial" w:hAnsi="Arial" w:cs="Arial"/>
          <w:u w:val="single"/>
        </w:rPr>
      </w:pPr>
      <w:r w:rsidRPr="007B1B1A">
        <w:rPr>
          <w:rFonts w:ascii="Arial" w:hAnsi="Arial" w:cs="Arial"/>
          <w:u w:val="single"/>
        </w:rPr>
        <w:t>Special Waste</w:t>
      </w:r>
    </w:p>
    <w:p w14:paraId="0E6E21B7" w14:textId="77777777" w:rsidR="003201AC" w:rsidRDefault="003201AC" w:rsidP="003201AC">
      <w:pPr>
        <w:pStyle w:val="ListParagraph"/>
        <w:ind w:left="0"/>
        <w:jc w:val="both"/>
        <w:rPr>
          <w:rFonts w:ascii="Arial" w:hAnsi="Arial" w:cs="Arial"/>
        </w:rPr>
      </w:pPr>
    </w:p>
    <w:p w14:paraId="32102E0B" w14:textId="2532C1C1" w:rsidR="003201AC" w:rsidRDefault="003201AC" w:rsidP="003201AC">
      <w:pPr>
        <w:pStyle w:val="ListParagraph"/>
        <w:jc w:val="both"/>
        <w:rPr>
          <w:rFonts w:ascii="Arial" w:hAnsi="Arial" w:cs="Arial"/>
        </w:rPr>
      </w:pPr>
      <w:r>
        <w:rPr>
          <w:rFonts w:ascii="Arial" w:hAnsi="Arial" w:cs="Arial"/>
        </w:rPr>
        <w:t>Special Waste fee</w:t>
      </w:r>
      <w:r>
        <w:rPr>
          <w:rFonts w:ascii="Arial" w:hAnsi="Arial" w:cs="Arial"/>
        </w:rPr>
        <w:tab/>
      </w:r>
      <w:r>
        <w:rPr>
          <w:rFonts w:ascii="Arial" w:hAnsi="Arial" w:cs="Arial"/>
        </w:rPr>
        <w:tab/>
      </w:r>
      <w:r w:rsidRPr="007B1B1A">
        <w:rPr>
          <w:rFonts w:ascii="Arial" w:hAnsi="Arial" w:cs="Arial"/>
          <w:strike/>
        </w:rPr>
        <w:t>$</w:t>
      </w:r>
      <w:proofErr w:type="gramStart"/>
      <w:r w:rsidRPr="007B1B1A">
        <w:rPr>
          <w:rFonts w:ascii="Arial" w:hAnsi="Arial" w:cs="Arial"/>
          <w:strike/>
        </w:rPr>
        <w:t>145.00</w:t>
      </w:r>
      <w:r>
        <w:rPr>
          <w:rFonts w:ascii="Arial" w:hAnsi="Arial" w:cs="Arial"/>
        </w:rPr>
        <w:t xml:space="preserve">  $</w:t>
      </w:r>
      <w:proofErr w:type="gramEnd"/>
      <w:r>
        <w:rPr>
          <w:rFonts w:ascii="Arial" w:hAnsi="Arial" w:cs="Arial"/>
        </w:rPr>
        <w:t>165.00 per ton</w:t>
      </w:r>
      <w:r w:rsidR="003629C2">
        <w:rPr>
          <w:rFonts w:ascii="Arial" w:hAnsi="Arial" w:cs="Arial"/>
        </w:rPr>
        <w:t xml:space="preserve">  (13.8% increase)</w:t>
      </w:r>
    </w:p>
    <w:p w14:paraId="31C31731" w14:textId="77777777" w:rsidR="003201AC" w:rsidRDefault="003201AC" w:rsidP="003201AC">
      <w:pPr>
        <w:pStyle w:val="ListParagraph"/>
        <w:jc w:val="both"/>
        <w:rPr>
          <w:rFonts w:ascii="Arial" w:hAnsi="Arial" w:cs="Arial"/>
        </w:rPr>
      </w:pPr>
      <w:r>
        <w:rPr>
          <w:rFonts w:ascii="Arial" w:hAnsi="Arial" w:cs="Arial"/>
        </w:rPr>
        <w:t>Special Waste fee</w:t>
      </w:r>
    </w:p>
    <w:p w14:paraId="245D794F" w14:textId="621B6F4D" w:rsidR="003201AC" w:rsidRDefault="003201AC" w:rsidP="003201AC">
      <w:pPr>
        <w:pStyle w:val="ListParagraph"/>
        <w:jc w:val="both"/>
        <w:rPr>
          <w:rFonts w:ascii="Arial" w:hAnsi="Arial" w:cs="Arial"/>
        </w:rPr>
      </w:pPr>
      <w:r>
        <w:rPr>
          <w:rFonts w:ascii="Arial" w:hAnsi="Arial" w:cs="Arial"/>
        </w:rPr>
        <w:tab/>
        <w:t>Minimum charge</w:t>
      </w:r>
      <w:r>
        <w:rPr>
          <w:rFonts w:ascii="Arial" w:hAnsi="Arial" w:cs="Arial"/>
        </w:rPr>
        <w:tab/>
      </w:r>
      <w:r w:rsidRPr="007B1B1A">
        <w:rPr>
          <w:rFonts w:ascii="Arial" w:hAnsi="Arial" w:cs="Arial"/>
          <w:strike/>
        </w:rPr>
        <w:t>$</w:t>
      </w:r>
      <w:proofErr w:type="gramStart"/>
      <w:r w:rsidRPr="007B1B1A">
        <w:rPr>
          <w:rFonts w:ascii="Arial" w:hAnsi="Arial" w:cs="Arial"/>
          <w:strike/>
        </w:rPr>
        <w:t>23.20</w:t>
      </w:r>
      <w:r>
        <w:rPr>
          <w:rFonts w:ascii="Arial" w:hAnsi="Arial" w:cs="Arial"/>
        </w:rPr>
        <w:t xml:space="preserve">  $</w:t>
      </w:r>
      <w:proofErr w:type="gramEnd"/>
      <w:r>
        <w:rPr>
          <w:rFonts w:ascii="Arial" w:hAnsi="Arial" w:cs="Arial"/>
        </w:rPr>
        <w:t>26.45 per entry</w:t>
      </w:r>
      <w:r w:rsidR="003629C2">
        <w:rPr>
          <w:rFonts w:ascii="Arial" w:hAnsi="Arial" w:cs="Arial"/>
        </w:rPr>
        <w:t xml:space="preserve">  (14% increase)</w:t>
      </w:r>
    </w:p>
    <w:p w14:paraId="3103A29E" w14:textId="77777777" w:rsidR="003201AC" w:rsidRDefault="003201AC" w:rsidP="003201AC">
      <w:pPr>
        <w:pStyle w:val="ListParagraph"/>
        <w:jc w:val="both"/>
        <w:rPr>
          <w:rFonts w:ascii="Arial" w:hAnsi="Arial" w:cs="Arial"/>
        </w:rPr>
      </w:pPr>
      <w:r>
        <w:rPr>
          <w:rFonts w:ascii="Arial" w:hAnsi="Arial" w:cs="Arial"/>
        </w:rPr>
        <w:t>Special Waste fee</w:t>
      </w:r>
    </w:p>
    <w:p w14:paraId="738255D8" w14:textId="62CB5B1C" w:rsidR="003201AC" w:rsidRDefault="003201AC" w:rsidP="003201AC">
      <w:pPr>
        <w:pStyle w:val="ListParagraph"/>
        <w:jc w:val="both"/>
        <w:rPr>
          <w:rFonts w:ascii="Arial" w:hAnsi="Arial" w:cs="Arial"/>
        </w:rPr>
      </w:pPr>
      <w:r>
        <w:rPr>
          <w:rFonts w:ascii="Arial" w:hAnsi="Arial" w:cs="Arial"/>
        </w:rPr>
        <w:tab/>
        <w:t>Extra handling</w:t>
      </w:r>
      <w:r>
        <w:rPr>
          <w:rFonts w:ascii="Arial" w:hAnsi="Arial" w:cs="Arial"/>
        </w:rPr>
        <w:tab/>
      </w:r>
      <w:r w:rsidRPr="007B1B1A">
        <w:rPr>
          <w:rFonts w:ascii="Arial" w:hAnsi="Arial" w:cs="Arial"/>
          <w:strike/>
        </w:rPr>
        <w:t>$</w:t>
      </w:r>
      <w:proofErr w:type="gramStart"/>
      <w:r w:rsidRPr="007B1B1A">
        <w:rPr>
          <w:rFonts w:ascii="Arial" w:hAnsi="Arial" w:cs="Arial"/>
          <w:strike/>
        </w:rPr>
        <w:t>175.00</w:t>
      </w:r>
      <w:r>
        <w:rPr>
          <w:rFonts w:ascii="Arial" w:hAnsi="Arial" w:cs="Arial"/>
        </w:rPr>
        <w:t xml:space="preserve">  $</w:t>
      </w:r>
      <w:proofErr w:type="gramEnd"/>
      <w:r>
        <w:rPr>
          <w:rFonts w:ascii="Arial" w:hAnsi="Arial" w:cs="Arial"/>
        </w:rPr>
        <w:t>193.00 per ton</w:t>
      </w:r>
      <w:r w:rsidR="003629C2">
        <w:rPr>
          <w:rFonts w:ascii="Arial" w:hAnsi="Arial" w:cs="Arial"/>
        </w:rPr>
        <w:t xml:space="preserve">  (10.3% increase)</w:t>
      </w:r>
    </w:p>
    <w:p w14:paraId="6A24467D" w14:textId="77777777" w:rsidR="003201AC" w:rsidRDefault="003201AC" w:rsidP="003201AC">
      <w:pPr>
        <w:pStyle w:val="ListParagraph"/>
        <w:jc w:val="both"/>
        <w:rPr>
          <w:rFonts w:ascii="Arial" w:hAnsi="Arial" w:cs="Arial"/>
        </w:rPr>
      </w:pPr>
      <w:r>
        <w:rPr>
          <w:rFonts w:ascii="Arial" w:hAnsi="Arial" w:cs="Arial"/>
        </w:rPr>
        <w:t>Special Waste fee</w:t>
      </w:r>
    </w:p>
    <w:p w14:paraId="0CB10F8A" w14:textId="77777777" w:rsidR="003201AC" w:rsidRDefault="003201AC" w:rsidP="003201AC">
      <w:pPr>
        <w:pStyle w:val="ListParagraph"/>
        <w:jc w:val="both"/>
        <w:rPr>
          <w:rFonts w:ascii="Arial" w:hAnsi="Arial" w:cs="Arial"/>
        </w:rPr>
      </w:pPr>
      <w:r>
        <w:rPr>
          <w:rFonts w:ascii="Arial" w:hAnsi="Arial" w:cs="Arial"/>
        </w:rPr>
        <w:tab/>
        <w:t xml:space="preserve">Extra handling- </w:t>
      </w:r>
    </w:p>
    <w:p w14:paraId="7FADEAB5" w14:textId="464991CB" w:rsidR="003201AC" w:rsidRDefault="003201AC" w:rsidP="003201AC">
      <w:pPr>
        <w:pStyle w:val="ListParagraph"/>
        <w:jc w:val="both"/>
        <w:rPr>
          <w:rFonts w:ascii="Arial" w:hAnsi="Arial" w:cs="Arial"/>
        </w:rPr>
      </w:pPr>
      <w:r>
        <w:rPr>
          <w:rFonts w:ascii="Arial" w:hAnsi="Arial" w:cs="Arial"/>
        </w:rPr>
        <w:tab/>
      </w:r>
      <w:proofErr w:type="gramStart"/>
      <w:r>
        <w:rPr>
          <w:rFonts w:ascii="Arial" w:hAnsi="Arial" w:cs="Arial"/>
        </w:rPr>
        <w:t>minimum</w:t>
      </w:r>
      <w:proofErr w:type="gramEnd"/>
      <w:r>
        <w:rPr>
          <w:rFonts w:ascii="Arial" w:hAnsi="Arial" w:cs="Arial"/>
        </w:rPr>
        <w:t xml:space="preserve"> charge</w:t>
      </w:r>
      <w:r>
        <w:rPr>
          <w:rFonts w:ascii="Arial" w:hAnsi="Arial" w:cs="Arial"/>
        </w:rPr>
        <w:tab/>
      </w:r>
      <w:r w:rsidRPr="007B1B1A">
        <w:rPr>
          <w:rFonts w:ascii="Arial" w:hAnsi="Arial" w:cs="Arial"/>
          <w:strike/>
        </w:rPr>
        <w:t>$28.00</w:t>
      </w:r>
      <w:r>
        <w:rPr>
          <w:rFonts w:ascii="Arial" w:hAnsi="Arial" w:cs="Arial"/>
        </w:rPr>
        <w:t xml:space="preserve">  $30.86 per entry</w:t>
      </w:r>
      <w:r w:rsidR="003629C2">
        <w:rPr>
          <w:rFonts w:ascii="Arial" w:hAnsi="Arial" w:cs="Arial"/>
        </w:rPr>
        <w:t xml:space="preserve">  (10.21% increase)</w:t>
      </w:r>
    </w:p>
    <w:p w14:paraId="4E123031" w14:textId="77777777" w:rsidR="003201AC" w:rsidRDefault="003201AC" w:rsidP="003201AC">
      <w:pPr>
        <w:jc w:val="both"/>
        <w:rPr>
          <w:rFonts w:ascii="Arial" w:hAnsi="Arial" w:cs="Arial"/>
          <w:szCs w:val="24"/>
        </w:rPr>
      </w:pPr>
    </w:p>
    <w:p w14:paraId="2ACFAD2E" w14:textId="77777777" w:rsidR="003201AC" w:rsidRDefault="00096C94" w:rsidP="003201AC">
      <w:pPr>
        <w:jc w:val="both"/>
        <w:rPr>
          <w:rFonts w:ascii="Arial" w:hAnsi="Arial" w:cs="Arial"/>
          <w:b/>
          <w:szCs w:val="24"/>
          <w:u w:val="single"/>
        </w:rPr>
      </w:pPr>
      <w:r>
        <w:rPr>
          <w:rFonts w:ascii="Arial" w:hAnsi="Arial" w:cs="Arial"/>
          <w:b/>
          <w:szCs w:val="24"/>
          <w:u w:val="single"/>
        </w:rPr>
        <w:t>ANALYSIS</w:t>
      </w:r>
    </w:p>
    <w:p w14:paraId="7C338E55" w14:textId="77777777" w:rsidR="003201AC" w:rsidRDefault="003201AC" w:rsidP="003201AC">
      <w:pPr>
        <w:jc w:val="both"/>
        <w:rPr>
          <w:rFonts w:ascii="Arial" w:hAnsi="Arial" w:cs="Arial"/>
          <w:b/>
          <w:szCs w:val="24"/>
          <w:u w:val="single"/>
        </w:rPr>
      </w:pPr>
    </w:p>
    <w:p w14:paraId="60E83DCD" w14:textId="7FB73B21" w:rsidR="003201AC" w:rsidRDefault="003201AC" w:rsidP="003201AC">
      <w:pPr>
        <w:jc w:val="both"/>
        <w:rPr>
          <w:rFonts w:ascii="Arial" w:hAnsi="Arial" w:cs="Arial"/>
          <w:szCs w:val="24"/>
        </w:rPr>
      </w:pPr>
      <w:r>
        <w:rPr>
          <w:rFonts w:ascii="Arial" w:hAnsi="Arial" w:cs="Arial"/>
          <w:szCs w:val="24"/>
        </w:rPr>
        <w:t>For 2016, the current fee structure is expected to generate $104,865,887.  The proposed increase described above would generate $116,461,232 in 2017, an 11% increase in revenue over 2016.  Over 90% of the fee revenue is generated by the Basic Fee</w:t>
      </w:r>
      <w:r w:rsidR="00423E6A">
        <w:rPr>
          <w:rFonts w:ascii="Arial" w:hAnsi="Arial" w:cs="Arial"/>
          <w:szCs w:val="24"/>
        </w:rPr>
        <w:t xml:space="preserve"> charged to commercial and self-</w:t>
      </w:r>
      <w:r>
        <w:rPr>
          <w:rFonts w:ascii="Arial" w:hAnsi="Arial" w:cs="Arial"/>
          <w:szCs w:val="24"/>
        </w:rPr>
        <w:t xml:space="preserve">haulers for waste acceptance at transfer stations.  The increase in the Basic Fee, from $120.17 currently to $137.75 in 2017 and 2018, represents a 14.6% increase over the current rate.  </w:t>
      </w:r>
    </w:p>
    <w:p w14:paraId="4897C31B" w14:textId="77777777" w:rsidR="003201AC" w:rsidRDefault="003201AC" w:rsidP="003201AC">
      <w:pPr>
        <w:jc w:val="both"/>
        <w:rPr>
          <w:rFonts w:ascii="Arial" w:hAnsi="Arial" w:cs="Arial"/>
          <w:szCs w:val="24"/>
        </w:rPr>
      </w:pPr>
    </w:p>
    <w:p w14:paraId="0124B04A" w14:textId="4109C0E1" w:rsidR="003201AC" w:rsidRDefault="003201AC" w:rsidP="003201AC">
      <w:pPr>
        <w:jc w:val="both"/>
        <w:rPr>
          <w:rFonts w:ascii="Arial" w:hAnsi="Arial" w:cs="Arial"/>
          <w:szCs w:val="24"/>
        </w:rPr>
      </w:pPr>
      <w:r>
        <w:rPr>
          <w:rFonts w:ascii="Arial" w:hAnsi="Arial" w:cs="Arial"/>
          <w:szCs w:val="24"/>
        </w:rPr>
        <w:t>System tonnage is anticipated to decline somewhat in 2017.  Over the last two years, the North transfer station of the Seattle Public Utilities solid waste system has been closed for reconstruction; many self-haulers who ordinarily would use th</w:t>
      </w:r>
      <w:r w:rsidR="00423E6A">
        <w:rPr>
          <w:rFonts w:ascii="Arial" w:hAnsi="Arial" w:cs="Arial"/>
          <w:szCs w:val="24"/>
        </w:rPr>
        <w:t>e</w:t>
      </w:r>
      <w:r>
        <w:rPr>
          <w:rFonts w:ascii="Arial" w:hAnsi="Arial" w:cs="Arial"/>
          <w:szCs w:val="24"/>
        </w:rPr>
        <w:t xml:space="preserve"> Seattle North station have instead brought their loads to the County’s First Northeast Recycling and Transfer Station in Shoreline.  In 2013, the First Northeast station received 43,000 tons of waste; in 2015, it received 65,000 tons, a 51% increase.  When the Seattle North construction project is completed in 2016, part or all of the Seattle North service population may return to the Seattle facility.  The rate study prepared by the Division projects a First Northeast 2017 tonnage level of 52,000.</w:t>
      </w:r>
      <w:r w:rsidR="00BD021A">
        <w:rPr>
          <w:rFonts w:ascii="Arial" w:hAnsi="Arial" w:cs="Arial"/>
          <w:szCs w:val="24"/>
        </w:rPr>
        <w:t xml:space="preserve">  System</w:t>
      </w:r>
      <w:r w:rsidR="00423E6A">
        <w:rPr>
          <w:rFonts w:ascii="Arial" w:hAnsi="Arial" w:cs="Arial"/>
          <w:szCs w:val="24"/>
        </w:rPr>
        <w:t>-</w:t>
      </w:r>
      <w:r w:rsidR="00BD021A">
        <w:rPr>
          <w:rFonts w:ascii="Arial" w:hAnsi="Arial" w:cs="Arial"/>
          <w:szCs w:val="24"/>
        </w:rPr>
        <w:t>wide, the rate s</w:t>
      </w:r>
      <w:r>
        <w:rPr>
          <w:rFonts w:ascii="Arial" w:hAnsi="Arial" w:cs="Arial"/>
          <w:szCs w:val="24"/>
        </w:rPr>
        <w:t>tudy projects a decline in Basic Fee tons from 856,100 (2016) to 829,467 (2017).</w:t>
      </w:r>
    </w:p>
    <w:p w14:paraId="778BB350" w14:textId="77777777" w:rsidR="003201AC" w:rsidRDefault="003201AC" w:rsidP="003201AC">
      <w:pPr>
        <w:jc w:val="both"/>
        <w:rPr>
          <w:rFonts w:ascii="Arial" w:hAnsi="Arial" w:cs="Arial"/>
          <w:szCs w:val="24"/>
        </w:rPr>
      </w:pPr>
    </w:p>
    <w:p w14:paraId="456AF940" w14:textId="77777777" w:rsidR="003201AC" w:rsidRDefault="003201AC" w:rsidP="003201AC">
      <w:pPr>
        <w:jc w:val="both"/>
        <w:rPr>
          <w:rFonts w:ascii="Arial" w:hAnsi="Arial" w:cs="Arial"/>
          <w:szCs w:val="24"/>
        </w:rPr>
      </w:pPr>
      <w:r>
        <w:rPr>
          <w:rFonts w:ascii="Arial" w:hAnsi="Arial" w:cs="Arial"/>
          <w:szCs w:val="24"/>
        </w:rPr>
        <w:t xml:space="preserve">The Executive notes that the propose rate, if approved, would place King County Basic Fee at a level within the general range of fees charged by major solid waste utilities within the state:  </w:t>
      </w:r>
    </w:p>
    <w:p w14:paraId="33E8F4ED" w14:textId="77777777" w:rsidR="003627EB" w:rsidRDefault="003627EB" w:rsidP="003201AC">
      <w:pPr>
        <w:jc w:val="both"/>
        <w:rPr>
          <w:rFonts w:ascii="Arial" w:hAnsi="Arial" w:cs="Arial"/>
          <w:szCs w:val="24"/>
        </w:rPr>
      </w:pPr>
    </w:p>
    <w:p w14:paraId="0B08F86D" w14:textId="77777777" w:rsidR="003201AC" w:rsidRPr="007B1B1A" w:rsidRDefault="003201AC" w:rsidP="00096C94">
      <w:pPr>
        <w:keepNext/>
        <w:jc w:val="center"/>
        <w:rPr>
          <w:rFonts w:ascii="Arial" w:hAnsi="Arial" w:cs="Arial"/>
          <w:b/>
          <w:szCs w:val="24"/>
          <w:u w:val="single"/>
        </w:rPr>
      </w:pPr>
      <w:r w:rsidRPr="007B1B1A">
        <w:rPr>
          <w:rFonts w:ascii="Arial" w:hAnsi="Arial" w:cs="Arial"/>
          <w:b/>
          <w:szCs w:val="24"/>
          <w:u w:val="single"/>
        </w:rPr>
        <w:lastRenderedPageBreak/>
        <w:t>Table 1.  Proposed Fee compared to Peer Jurisdictions</w:t>
      </w:r>
    </w:p>
    <w:p w14:paraId="722F1648" w14:textId="77777777" w:rsidR="003201AC" w:rsidRDefault="003201AC" w:rsidP="00096C94">
      <w:pPr>
        <w:keepNext/>
        <w:jc w:val="center"/>
        <w:rPr>
          <w:rFonts w:ascii="Arial" w:hAnsi="Arial" w:cs="Arial"/>
          <w:szCs w:val="24"/>
        </w:rPr>
      </w:pPr>
    </w:p>
    <w:tbl>
      <w:tblPr>
        <w:tblW w:w="7290" w:type="dxa"/>
        <w:tblInd w:w="1160" w:type="dxa"/>
        <w:tblCellMar>
          <w:left w:w="0" w:type="dxa"/>
          <w:right w:w="0" w:type="dxa"/>
        </w:tblCellMar>
        <w:tblLook w:val="04A0" w:firstRow="1" w:lastRow="0" w:firstColumn="1" w:lastColumn="0" w:noHBand="0" w:noVBand="1"/>
      </w:tblPr>
      <w:tblGrid>
        <w:gridCol w:w="3870"/>
        <w:gridCol w:w="3420"/>
      </w:tblGrid>
      <w:tr w:rsidR="003201AC" w:rsidRPr="00730120" w14:paraId="2EB15B84" w14:textId="77777777" w:rsidTr="003116FA">
        <w:trPr>
          <w:trHeight w:val="432"/>
        </w:trPr>
        <w:tc>
          <w:tcPr>
            <w:tcW w:w="38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76BA33" w14:textId="77777777" w:rsidR="003201AC" w:rsidRPr="00A00351" w:rsidRDefault="003201AC" w:rsidP="00096C94">
            <w:pPr>
              <w:keepNext/>
              <w:rPr>
                <w:rFonts w:ascii="Arial" w:hAnsi="Arial" w:cs="Arial"/>
                <w:b/>
              </w:rPr>
            </w:pPr>
            <w:r w:rsidRPr="00A00351">
              <w:rPr>
                <w:rFonts w:ascii="Arial" w:hAnsi="Arial" w:cs="Arial"/>
                <w:b/>
              </w:rPr>
              <w:t>Jurisdiction</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CD1FBB0" w14:textId="77777777" w:rsidR="003201AC" w:rsidRPr="00A00351" w:rsidRDefault="003201AC" w:rsidP="00096C94">
            <w:pPr>
              <w:keepNext/>
              <w:spacing w:after="240"/>
              <w:jc w:val="center"/>
              <w:rPr>
                <w:rFonts w:ascii="Arial" w:hAnsi="Arial" w:cs="Arial"/>
                <w:b/>
              </w:rPr>
            </w:pPr>
            <w:r w:rsidRPr="00A00351">
              <w:rPr>
                <w:rFonts w:ascii="Arial" w:hAnsi="Arial" w:cs="Arial"/>
                <w:b/>
              </w:rPr>
              <w:t>Basic Fee</w:t>
            </w:r>
            <w:r w:rsidRPr="00A00351">
              <w:rPr>
                <w:rStyle w:val="FootnoteReference"/>
                <w:rFonts w:ascii="Arial" w:hAnsi="Arial" w:cs="Arial"/>
                <w:b/>
              </w:rPr>
              <w:footnoteReference w:id="2"/>
            </w:r>
          </w:p>
        </w:tc>
      </w:tr>
      <w:tr w:rsidR="003201AC" w:rsidRPr="00730120" w14:paraId="41C14B99" w14:textId="77777777" w:rsidTr="003116FA">
        <w:trPr>
          <w:trHeight w:val="432"/>
        </w:trPr>
        <w:tc>
          <w:tcPr>
            <w:tcW w:w="3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10A2DB" w14:textId="77777777" w:rsidR="003201AC" w:rsidRPr="00730120" w:rsidRDefault="003201AC" w:rsidP="00096C94">
            <w:pPr>
              <w:keepNext/>
              <w:spacing w:after="120"/>
              <w:rPr>
                <w:rFonts w:ascii="Arial" w:hAnsi="Arial" w:cs="Arial"/>
              </w:rPr>
            </w:pPr>
            <w:r w:rsidRPr="00730120">
              <w:rPr>
                <w:rFonts w:ascii="Arial" w:hAnsi="Arial" w:cs="Arial"/>
              </w:rPr>
              <w:t>Clark County</w:t>
            </w: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448579" w14:textId="77777777" w:rsidR="003201AC" w:rsidRPr="00730120" w:rsidRDefault="003201AC" w:rsidP="00096C94">
            <w:pPr>
              <w:keepNext/>
              <w:spacing w:after="120"/>
              <w:jc w:val="center"/>
              <w:rPr>
                <w:rFonts w:ascii="Arial" w:hAnsi="Arial" w:cs="Arial"/>
              </w:rPr>
            </w:pPr>
            <w:r w:rsidRPr="00730120">
              <w:rPr>
                <w:rFonts w:ascii="Arial" w:hAnsi="Arial" w:cs="Arial"/>
              </w:rPr>
              <w:t>$87.56</w:t>
            </w:r>
          </w:p>
        </w:tc>
      </w:tr>
      <w:tr w:rsidR="003201AC" w:rsidRPr="00730120" w14:paraId="4A521857" w14:textId="77777777" w:rsidTr="003116FA">
        <w:trPr>
          <w:trHeight w:val="432"/>
        </w:trPr>
        <w:tc>
          <w:tcPr>
            <w:tcW w:w="3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7E01DA" w14:textId="77777777" w:rsidR="003201AC" w:rsidRPr="00730120" w:rsidRDefault="003201AC" w:rsidP="00096C94">
            <w:pPr>
              <w:keepNext/>
              <w:spacing w:after="120"/>
              <w:rPr>
                <w:rFonts w:ascii="Arial" w:hAnsi="Arial" w:cs="Arial"/>
              </w:rPr>
            </w:pPr>
            <w:r w:rsidRPr="00730120">
              <w:rPr>
                <w:rFonts w:ascii="Arial" w:hAnsi="Arial" w:cs="Arial"/>
              </w:rPr>
              <w:t>King County proposed</w:t>
            </w: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19D6CC" w14:textId="77777777" w:rsidR="003201AC" w:rsidRPr="00730120" w:rsidRDefault="003201AC" w:rsidP="00096C94">
            <w:pPr>
              <w:keepNext/>
              <w:spacing w:after="120"/>
              <w:jc w:val="center"/>
              <w:rPr>
                <w:rFonts w:ascii="Arial" w:hAnsi="Arial" w:cs="Arial"/>
              </w:rPr>
            </w:pPr>
            <w:r w:rsidRPr="00730120">
              <w:rPr>
                <w:rFonts w:ascii="Arial" w:hAnsi="Arial" w:cs="Arial"/>
              </w:rPr>
              <w:t>$13</w:t>
            </w:r>
            <w:r>
              <w:rPr>
                <w:rFonts w:ascii="Arial" w:hAnsi="Arial" w:cs="Arial"/>
              </w:rPr>
              <w:t>7.75</w:t>
            </w:r>
          </w:p>
        </w:tc>
      </w:tr>
      <w:tr w:rsidR="003201AC" w:rsidRPr="00730120" w14:paraId="6AC945B2" w14:textId="77777777" w:rsidTr="003116FA">
        <w:trPr>
          <w:trHeight w:val="432"/>
        </w:trPr>
        <w:tc>
          <w:tcPr>
            <w:tcW w:w="3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7C9F57" w14:textId="77777777" w:rsidR="003201AC" w:rsidRPr="00730120" w:rsidRDefault="003201AC" w:rsidP="00096C94">
            <w:pPr>
              <w:keepNext/>
              <w:spacing w:after="120"/>
              <w:rPr>
                <w:rFonts w:ascii="Arial" w:hAnsi="Arial" w:cs="Arial"/>
              </w:rPr>
            </w:pPr>
            <w:r w:rsidRPr="00730120">
              <w:rPr>
                <w:rFonts w:ascii="Arial" w:hAnsi="Arial" w:cs="Arial"/>
              </w:rPr>
              <w:t>Pierce County</w:t>
            </w: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F9AF5D" w14:textId="77777777" w:rsidR="003201AC" w:rsidRPr="00730120" w:rsidRDefault="003201AC" w:rsidP="00096C94">
            <w:pPr>
              <w:keepNext/>
              <w:spacing w:after="120"/>
              <w:jc w:val="center"/>
              <w:rPr>
                <w:rFonts w:ascii="Arial" w:hAnsi="Arial" w:cs="Arial"/>
              </w:rPr>
            </w:pPr>
            <w:r w:rsidRPr="00730120">
              <w:rPr>
                <w:rFonts w:ascii="Arial" w:hAnsi="Arial" w:cs="Arial"/>
              </w:rPr>
              <w:t>$145.84</w:t>
            </w:r>
          </w:p>
        </w:tc>
      </w:tr>
      <w:tr w:rsidR="003201AC" w:rsidRPr="00730120" w14:paraId="23212CAE" w14:textId="77777777" w:rsidTr="003116FA">
        <w:trPr>
          <w:trHeight w:val="432"/>
        </w:trPr>
        <w:tc>
          <w:tcPr>
            <w:tcW w:w="3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839F5F" w14:textId="77777777" w:rsidR="003201AC" w:rsidRPr="00730120" w:rsidRDefault="003201AC" w:rsidP="00096C94">
            <w:pPr>
              <w:keepNext/>
              <w:spacing w:after="120"/>
              <w:rPr>
                <w:rFonts w:ascii="Arial" w:hAnsi="Arial" w:cs="Arial"/>
              </w:rPr>
            </w:pPr>
            <w:r w:rsidRPr="00730120">
              <w:rPr>
                <w:rFonts w:ascii="Arial" w:hAnsi="Arial" w:cs="Arial"/>
              </w:rPr>
              <w:t>Seattle City</w:t>
            </w: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85D3F5" w14:textId="77777777" w:rsidR="003201AC" w:rsidRPr="00730120" w:rsidRDefault="003201AC" w:rsidP="00096C94">
            <w:pPr>
              <w:keepNext/>
              <w:spacing w:after="120"/>
              <w:jc w:val="center"/>
              <w:rPr>
                <w:rFonts w:ascii="Arial" w:hAnsi="Arial" w:cs="Arial"/>
              </w:rPr>
            </w:pPr>
            <w:r w:rsidRPr="00730120">
              <w:rPr>
                <w:rFonts w:ascii="Arial" w:hAnsi="Arial" w:cs="Arial"/>
              </w:rPr>
              <w:t>$145.00</w:t>
            </w:r>
          </w:p>
        </w:tc>
      </w:tr>
      <w:tr w:rsidR="003201AC" w:rsidRPr="00730120" w14:paraId="3511649C" w14:textId="77777777" w:rsidTr="003116FA">
        <w:trPr>
          <w:trHeight w:val="432"/>
        </w:trPr>
        <w:tc>
          <w:tcPr>
            <w:tcW w:w="3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BBDE69" w14:textId="77777777" w:rsidR="003201AC" w:rsidRPr="00730120" w:rsidRDefault="003201AC" w:rsidP="00096C94">
            <w:pPr>
              <w:keepNext/>
              <w:spacing w:after="120"/>
              <w:rPr>
                <w:rFonts w:ascii="Arial" w:hAnsi="Arial" w:cs="Arial"/>
              </w:rPr>
            </w:pPr>
            <w:r w:rsidRPr="00730120">
              <w:rPr>
                <w:rFonts w:ascii="Arial" w:hAnsi="Arial" w:cs="Arial"/>
              </w:rPr>
              <w:t>Snohomish County</w:t>
            </w: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503BC3" w14:textId="77777777" w:rsidR="003201AC" w:rsidRPr="00730120" w:rsidRDefault="003201AC" w:rsidP="00096C94">
            <w:pPr>
              <w:keepNext/>
              <w:spacing w:after="120"/>
              <w:jc w:val="center"/>
              <w:rPr>
                <w:rFonts w:ascii="Arial" w:hAnsi="Arial" w:cs="Arial"/>
              </w:rPr>
            </w:pPr>
            <w:r w:rsidRPr="00730120">
              <w:rPr>
                <w:rFonts w:ascii="Arial" w:hAnsi="Arial" w:cs="Arial"/>
              </w:rPr>
              <w:t>$105.00</w:t>
            </w:r>
          </w:p>
        </w:tc>
      </w:tr>
      <w:tr w:rsidR="003201AC" w:rsidRPr="00730120" w14:paraId="17952567" w14:textId="77777777" w:rsidTr="003116FA">
        <w:trPr>
          <w:trHeight w:val="432"/>
        </w:trPr>
        <w:tc>
          <w:tcPr>
            <w:tcW w:w="3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4D740F" w14:textId="77777777" w:rsidR="003201AC" w:rsidRPr="00730120" w:rsidRDefault="003201AC" w:rsidP="00096C94">
            <w:pPr>
              <w:keepNext/>
              <w:spacing w:after="120"/>
              <w:rPr>
                <w:rFonts w:ascii="Arial" w:hAnsi="Arial" w:cs="Arial"/>
              </w:rPr>
            </w:pPr>
            <w:r w:rsidRPr="00730120">
              <w:rPr>
                <w:rFonts w:ascii="Arial" w:hAnsi="Arial" w:cs="Arial"/>
              </w:rPr>
              <w:t>Spokane County (includes city)</w:t>
            </w: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6A56E9" w14:textId="77777777" w:rsidR="003201AC" w:rsidRPr="00730120" w:rsidRDefault="003201AC" w:rsidP="00096C94">
            <w:pPr>
              <w:keepNext/>
              <w:spacing w:after="120"/>
              <w:jc w:val="center"/>
              <w:rPr>
                <w:rFonts w:ascii="Arial" w:hAnsi="Arial" w:cs="Arial"/>
              </w:rPr>
            </w:pPr>
            <w:r w:rsidRPr="00730120">
              <w:rPr>
                <w:rFonts w:ascii="Arial" w:hAnsi="Arial" w:cs="Arial"/>
              </w:rPr>
              <w:t>$101.00</w:t>
            </w:r>
          </w:p>
        </w:tc>
      </w:tr>
      <w:tr w:rsidR="003201AC" w:rsidRPr="00730120" w14:paraId="016B9068" w14:textId="77777777" w:rsidTr="003116FA">
        <w:trPr>
          <w:trHeight w:val="432"/>
        </w:trPr>
        <w:tc>
          <w:tcPr>
            <w:tcW w:w="3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C8A487" w14:textId="77777777" w:rsidR="003201AC" w:rsidRPr="00730120" w:rsidRDefault="003201AC" w:rsidP="00096C94">
            <w:pPr>
              <w:keepNext/>
              <w:rPr>
                <w:rFonts w:ascii="Arial" w:hAnsi="Arial" w:cs="Arial"/>
              </w:rPr>
            </w:pPr>
            <w:r w:rsidRPr="00730120">
              <w:rPr>
                <w:rFonts w:ascii="Arial" w:hAnsi="Arial" w:cs="Arial"/>
              </w:rPr>
              <w:t>Thurston County</w:t>
            </w: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5CAD27" w14:textId="77777777" w:rsidR="003201AC" w:rsidRPr="00730120" w:rsidRDefault="003201AC" w:rsidP="00096C94">
            <w:pPr>
              <w:keepNext/>
              <w:jc w:val="center"/>
              <w:rPr>
                <w:rFonts w:ascii="Arial" w:hAnsi="Arial" w:cs="Arial"/>
              </w:rPr>
            </w:pPr>
            <w:r w:rsidRPr="00730120">
              <w:rPr>
                <w:rFonts w:ascii="Arial" w:hAnsi="Arial" w:cs="Arial"/>
              </w:rPr>
              <w:t>$119.00</w:t>
            </w:r>
          </w:p>
        </w:tc>
      </w:tr>
    </w:tbl>
    <w:p w14:paraId="168F9417" w14:textId="77777777" w:rsidR="003201AC" w:rsidRDefault="003201AC" w:rsidP="00096C94">
      <w:pPr>
        <w:keepNext/>
        <w:jc w:val="center"/>
        <w:rPr>
          <w:rFonts w:ascii="Arial" w:hAnsi="Arial" w:cs="Arial"/>
          <w:szCs w:val="24"/>
        </w:rPr>
      </w:pPr>
    </w:p>
    <w:p w14:paraId="1D30F393" w14:textId="77777777" w:rsidR="003201AC" w:rsidRDefault="003201AC" w:rsidP="00096C94">
      <w:pPr>
        <w:keepNext/>
        <w:jc w:val="both"/>
        <w:rPr>
          <w:rFonts w:ascii="Arial" w:hAnsi="Arial" w:cs="Arial"/>
          <w:szCs w:val="24"/>
        </w:rPr>
      </w:pPr>
    </w:p>
    <w:p w14:paraId="79FD1CBD" w14:textId="77777777" w:rsidR="003201AC" w:rsidRDefault="003201AC" w:rsidP="003201AC">
      <w:pPr>
        <w:jc w:val="both"/>
        <w:rPr>
          <w:rFonts w:ascii="Arial" w:hAnsi="Arial" w:cs="Arial"/>
          <w:szCs w:val="24"/>
        </w:rPr>
      </w:pPr>
      <w:r>
        <w:rPr>
          <w:rFonts w:ascii="Arial" w:hAnsi="Arial" w:cs="Arial"/>
          <w:szCs w:val="24"/>
        </w:rPr>
        <w:t xml:space="preserve">The Executive has disaggregated the elements of the proposed increase, by dollars and by rate impact, in Table 1 below:  </w:t>
      </w:r>
    </w:p>
    <w:p w14:paraId="7E44680B" w14:textId="77777777" w:rsidR="003201AC" w:rsidRDefault="003201AC" w:rsidP="003201AC">
      <w:pPr>
        <w:jc w:val="both"/>
        <w:rPr>
          <w:rFonts w:ascii="Arial" w:hAnsi="Arial" w:cs="Arial"/>
          <w:szCs w:val="24"/>
        </w:rPr>
      </w:pPr>
    </w:p>
    <w:p w14:paraId="21586D74" w14:textId="77777777" w:rsidR="003201AC" w:rsidRPr="00292B3A" w:rsidRDefault="003201AC" w:rsidP="003201AC">
      <w:pPr>
        <w:jc w:val="center"/>
        <w:rPr>
          <w:rFonts w:ascii="Arial" w:hAnsi="Arial" w:cs="Arial"/>
          <w:b/>
          <w:szCs w:val="24"/>
          <w:u w:val="single"/>
        </w:rPr>
      </w:pPr>
      <w:r w:rsidRPr="00292B3A">
        <w:rPr>
          <w:rFonts w:ascii="Arial" w:hAnsi="Arial" w:cs="Arial"/>
          <w:b/>
          <w:szCs w:val="24"/>
          <w:u w:val="single"/>
        </w:rPr>
        <w:t>Table 2.  Components of the 2017-2018 Rate Increase</w:t>
      </w:r>
    </w:p>
    <w:p w14:paraId="586BAD91" w14:textId="77777777" w:rsidR="003201AC" w:rsidRDefault="003201AC" w:rsidP="003201AC">
      <w:pPr>
        <w:jc w:val="both"/>
        <w:rPr>
          <w:rFonts w:ascii="Arial" w:hAnsi="Arial" w:cs="Arial"/>
          <w:szCs w:val="24"/>
        </w:rPr>
      </w:pPr>
    </w:p>
    <w:tbl>
      <w:tblPr>
        <w:tblStyle w:val="TableGrid"/>
        <w:tblW w:w="0" w:type="auto"/>
        <w:tblLayout w:type="fixed"/>
        <w:tblLook w:val="04A0" w:firstRow="1" w:lastRow="0" w:firstColumn="1" w:lastColumn="0" w:noHBand="0" w:noVBand="1"/>
      </w:tblPr>
      <w:tblGrid>
        <w:gridCol w:w="4675"/>
        <w:gridCol w:w="1710"/>
        <w:gridCol w:w="1538"/>
        <w:gridCol w:w="1427"/>
      </w:tblGrid>
      <w:tr w:rsidR="003201AC" w14:paraId="57CCCD71" w14:textId="77777777" w:rsidTr="003116FA">
        <w:tc>
          <w:tcPr>
            <w:tcW w:w="4675" w:type="dxa"/>
          </w:tcPr>
          <w:p w14:paraId="35EE76E2" w14:textId="77777777" w:rsidR="003201AC" w:rsidRDefault="003201AC" w:rsidP="003116FA">
            <w:pPr>
              <w:rPr>
                <w:rFonts w:ascii="Arial" w:hAnsi="Arial" w:cs="Arial"/>
                <w:szCs w:val="24"/>
              </w:rPr>
            </w:pPr>
          </w:p>
        </w:tc>
        <w:tc>
          <w:tcPr>
            <w:tcW w:w="1710" w:type="dxa"/>
            <w:vAlign w:val="bottom"/>
          </w:tcPr>
          <w:p w14:paraId="18538276" w14:textId="77777777" w:rsidR="003201AC" w:rsidRDefault="003201AC" w:rsidP="003116FA">
            <w:pPr>
              <w:jc w:val="center"/>
              <w:rPr>
                <w:rFonts w:ascii="Arial" w:hAnsi="Arial" w:cs="Arial"/>
                <w:szCs w:val="24"/>
              </w:rPr>
            </w:pPr>
            <w:r>
              <w:rPr>
                <w:rFonts w:ascii="Arial" w:hAnsi="Arial" w:cs="Arial"/>
                <w:szCs w:val="24"/>
              </w:rPr>
              <w:t>2017-18 Expenditures</w:t>
            </w:r>
          </w:p>
          <w:p w14:paraId="56C0B1D9" w14:textId="77777777" w:rsidR="003201AC" w:rsidRDefault="003201AC" w:rsidP="003116FA">
            <w:pPr>
              <w:jc w:val="center"/>
              <w:rPr>
                <w:rFonts w:ascii="Arial" w:hAnsi="Arial" w:cs="Arial"/>
                <w:szCs w:val="24"/>
              </w:rPr>
            </w:pPr>
            <w:r>
              <w:rPr>
                <w:rFonts w:ascii="Arial" w:hAnsi="Arial" w:cs="Arial"/>
                <w:szCs w:val="24"/>
              </w:rPr>
              <w:t>($ in millions)</w:t>
            </w:r>
          </w:p>
        </w:tc>
        <w:tc>
          <w:tcPr>
            <w:tcW w:w="1538" w:type="dxa"/>
            <w:vAlign w:val="bottom"/>
          </w:tcPr>
          <w:p w14:paraId="3973A886" w14:textId="77777777" w:rsidR="003201AC" w:rsidRDefault="003201AC" w:rsidP="003116FA">
            <w:pPr>
              <w:jc w:val="center"/>
              <w:rPr>
                <w:rFonts w:ascii="Arial" w:hAnsi="Arial" w:cs="Arial"/>
                <w:szCs w:val="24"/>
              </w:rPr>
            </w:pPr>
            <w:r>
              <w:rPr>
                <w:rFonts w:ascii="Arial" w:hAnsi="Arial" w:cs="Arial"/>
                <w:szCs w:val="24"/>
              </w:rPr>
              <w:t>2017-2018 Rate Impact</w:t>
            </w:r>
          </w:p>
          <w:p w14:paraId="2514FC97" w14:textId="77777777" w:rsidR="003201AC" w:rsidRDefault="003201AC" w:rsidP="003116FA">
            <w:pPr>
              <w:jc w:val="center"/>
              <w:rPr>
                <w:rFonts w:ascii="Arial" w:hAnsi="Arial" w:cs="Arial"/>
                <w:szCs w:val="24"/>
              </w:rPr>
            </w:pPr>
            <w:r>
              <w:rPr>
                <w:rFonts w:ascii="Arial" w:hAnsi="Arial" w:cs="Arial"/>
                <w:szCs w:val="24"/>
              </w:rPr>
              <w:t>($ per ton)</w:t>
            </w:r>
          </w:p>
        </w:tc>
        <w:tc>
          <w:tcPr>
            <w:tcW w:w="1427" w:type="dxa"/>
            <w:vAlign w:val="bottom"/>
          </w:tcPr>
          <w:p w14:paraId="312AF384" w14:textId="77777777" w:rsidR="003201AC" w:rsidRDefault="003201AC" w:rsidP="003116FA">
            <w:pPr>
              <w:jc w:val="center"/>
              <w:rPr>
                <w:rFonts w:ascii="Arial" w:hAnsi="Arial" w:cs="Arial"/>
                <w:szCs w:val="24"/>
              </w:rPr>
            </w:pPr>
            <w:r>
              <w:rPr>
                <w:rFonts w:ascii="Arial" w:hAnsi="Arial" w:cs="Arial"/>
                <w:szCs w:val="24"/>
              </w:rPr>
              <w:t>New FTEs/TLTs required</w:t>
            </w:r>
          </w:p>
        </w:tc>
      </w:tr>
      <w:tr w:rsidR="003201AC" w14:paraId="2C3407F6" w14:textId="77777777" w:rsidTr="003116FA">
        <w:tc>
          <w:tcPr>
            <w:tcW w:w="4675" w:type="dxa"/>
          </w:tcPr>
          <w:p w14:paraId="66F2549F" w14:textId="77777777" w:rsidR="003201AC" w:rsidRDefault="003201AC" w:rsidP="003116FA">
            <w:pPr>
              <w:rPr>
                <w:rFonts w:ascii="Arial" w:hAnsi="Arial" w:cs="Arial"/>
                <w:szCs w:val="24"/>
              </w:rPr>
            </w:pPr>
            <w:r>
              <w:rPr>
                <w:rFonts w:ascii="Arial" w:hAnsi="Arial" w:cs="Arial"/>
                <w:szCs w:val="24"/>
              </w:rPr>
              <w:t>Current Basic Fee</w:t>
            </w:r>
          </w:p>
        </w:tc>
        <w:tc>
          <w:tcPr>
            <w:tcW w:w="1710" w:type="dxa"/>
          </w:tcPr>
          <w:p w14:paraId="79A5392A" w14:textId="77777777" w:rsidR="003201AC" w:rsidRDefault="003201AC" w:rsidP="003116FA">
            <w:pPr>
              <w:jc w:val="right"/>
              <w:rPr>
                <w:rFonts w:ascii="Arial" w:hAnsi="Arial" w:cs="Arial"/>
                <w:szCs w:val="24"/>
              </w:rPr>
            </w:pPr>
          </w:p>
        </w:tc>
        <w:tc>
          <w:tcPr>
            <w:tcW w:w="1538" w:type="dxa"/>
          </w:tcPr>
          <w:p w14:paraId="528F058E" w14:textId="77777777" w:rsidR="003201AC" w:rsidRDefault="003201AC" w:rsidP="003116FA">
            <w:pPr>
              <w:jc w:val="right"/>
              <w:rPr>
                <w:rFonts w:ascii="Arial" w:hAnsi="Arial" w:cs="Arial"/>
                <w:szCs w:val="24"/>
              </w:rPr>
            </w:pPr>
            <w:r>
              <w:rPr>
                <w:rFonts w:ascii="Arial" w:hAnsi="Arial" w:cs="Arial"/>
                <w:szCs w:val="24"/>
              </w:rPr>
              <w:t>$120.17</w:t>
            </w:r>
          </w:p>
        </w:tc>
        <w:tc>
          <w:tcPr>
            <w:tcW w:w="1427" w:type="dxa"/>
          </w:tcPr>
          <w:p w14:paraId="53D4F7D2" w14:textId="77777777" w:rsidR="003201AC" w:rsidRDefault="003201AC" w:rsidP="003116FA">
            <w:pPr>
              <w:jc w:val="right"/>
              <w:rPr>
                <w:rFonts w:ascii="Arial" w:hAnsi="Arial" w:cs="Arial"/>
                <w:szCs w:val="24"/>
              </w:rPr>
            </w:pPr>
          </w:p>
        </w:tc>
      </w:tr>
      <w:tr w:rsidR="003201AC" w14:paraId="4D0E5003" w14:textId="77777777" w:rsidTr="003116FA">
        <w:tc>
          <w:tcPr>
            <w:tcW w:w="4675" w:type="dxa"/>
          </w:tcPr>
          <w:p w14:paraId="63222595" w14:textId="77777777" w:rsidR="003201AC" w:rsidRDefault="003201AC" w:rsidP="003116FA">
            <w:pPr>
              <w:rPr>
                <w:rFonts w:ascii="Arial" w:hAnsi="Arial" w:cs="Arial"/>
                <w:szCs w:val="24"/>
              </w:rPr>
            </w:pPr>
          </w:p>
        </w:tc>
        <w:tc>
          <w:tcPr>
            <w:tcW w:w="1710" w:type="dxa"/>
          </w:tcPr>
          <w:p w14:paraId="3008AE54" w14:textId="77777777" w:rsidR="003201AC" w:rsidRDefault="003201AC" w:rsidP="003116FA">
            <w:pPr>
              <w:jc w:val="right"/>
              <w:rPr>
                <w:rFonts w:ascii="Arial" w:hAnsi="Arial" w:cs="Arial"/>
                <w:szCs w:val="24"/>
              </w:rPr>
            </w:pPr>
          </w:p>
        </w:tc>
        <w:tc>
          <w:tcPr>
            <w:tcW w:w="1538" w:type="dxa"/>
          </w:tcPr>
          <w:p w14:paraId="5814A741" w14:textId="77777777" w:rsidR="003201AC" w:rsidRDefault="003201AC" w:rsidP="003116FA">
            <w:pPr>
              <w:jc w:val="right"/>
              <w:rPr>
                <w:rFonts w:ascii="Arial" w:hAnsi="Arial" w:cs="Arial"/>
                <w:szCs w:val="24"/>
              </w:rPr>
            </w:pPr>
          </w:p>
        </w:tc>
        <w:tc>
          <w:tcPr>
            <w:tcW w:w="1427" w:type="dxa"/>
          </w:tcPr>
          <w:p w14:paraId="2B61412E" w14:textId="77777777" w:rsidR="003201AC" w:rsidRDefault="003201AC" w:rsidP="003116FA">
            <w:pPr>
              <w:jc w:val="right"/>
              <w:rPr>
                <w:rFonts w:ascii="Arial" w:hAnsi="Arial" w:cs="Arial"/>
                <w:szCs w:val="24"/>
              </w:rPr>
            </w:pPr>
          </w:p>
        </w:tc>
      </w:tr>
      <w:tr w:rsidR="003201AC" w14:paraId="383402F3" w14:textId="77777777" w:rsidTr="003116FA">
        <w:tc>
          <w:tcPr>
            <w:tcW w:w="4675" w:type="dxa"/>
          </w:tcPr>
          <w:p w14:paraId="392055D0" w14:textId="77777777" w:rsidR="003201AC" w:rsidRPr="00582483" w:rsidRDefault="003201AC" w:rsidP="003116FA">
            <w:pPr>
              <w:rPr>
                <w:rFonts w:ascii="Arial" w:hAnsi="Arial" w:cs="Arial"/>
                <w:b/>
                <w:szCs w:val="24"/>
              </w:rPr>
            </w:pPr>
            <w:r w:rsidRPr="00582483">
              <w:rPr>
                <w:rFonts w:ascii="Arial" w:hAnsi="Arial" w:cs="Arial"/>
                <w:b/>
                <w:szCs w:val="24"/>
              </w:rPr>
              <w:t>Sustain Current Services</w:t>
            </w:r>
          </w:p>
        </w:tc>
        <w:tc>
          <w:tcPr>
            <w:tcW w:w="1710" w:type="dxa"/>
          </w:tcPr>
          <w:p w14:paraId="2888D46C" w14:textId="77777777" w:rsidR="003201AC" w:rsidRDefault="003201AC" w:rsidP="003116FA">
            <w:pPr>
              <w:jc w:val="right"/>
              <w:rPr>
                <w:rFonts w:ascii="Arial" w:hAnsi="Arial" w:cs="Arial"/>
                <w:szCs w:val="24"/>
              </w:rPr>
            </w:pPr>
          </w:p>
        </w:tc>
        <w:tc>
          <w:tcPr>
            <w:tcW w:w="1538" w:type="dxa"/>
          </w:tcPr>
          <w:p w14:paraId="2449EE21" w14:textId="77777777" w:rsidR="003201AC" w:rsidRDefault="003201AC" w:rsidP="003116FA">
            <w:pPr>
              <w:jc w:val="right"/>
              <w:rPr>
                <w:rFonts w:ascii="Arial" w:hAnsi="Arial" w:cs="Arial"/>
                <w:szCs w:val="24"/>
              </w:rPr>
            </w:pPr>
          </w:p>
        </w:tc>
        <w:tc>
          <w:tcPr>
            <w:tcW w:w="1427" w:type="dxa"/>
          </w:tcPr>
          <w:p w14:paraId="434138FC" w14:textId="77777777" w:rsidR="003201AC" w:rsidRDefault="003201AC" w:rsidP="003116FA">
            <w:pPr>
              <w:jc w:val="right"/>
              <w:rPr>
                <w:rFonts w:ascii="Arial" w:hAnsi="Arial" w:cs="Arial"/>
                <w:szCs w:val="24"/>
              </w:rPr>
            </w:pPr>
          </w:p>
        </w:tc>
      </w:tr>
      <w:tr w:rsidR="003201AC" w14:paraId="2A4223B9" w14:textId="77777777" w:rsidTr="003116FA">
        <w:tc>
          <w:tcPr>
            <w:tcW w:w="4675" w:type="dxa"/>
          </w:tcPr>
          <w:p w14:paraId="3E61F13B" w14:textId="77777777" w:rsidR="003201AC" w:rsidRDefault="003201AC" w:rsidP="003116FA">
            <w:pPr>
              <w:rPr>
                <w:rFonts w:ascii="Arial" w:hAnsi="Arial" w:cs="Arial"/>
                <w:szCs w:val="24"/>
              </w:rPr>
            </w:pPr>
            <w:r>
              <w:rPr>
                <w:rFonts w:ascii="Arial" w:hAnsi="Arial" w:cs="Arial"/>
                <w:szCs w:val="24"/>
              </w:rPr>
              <w:t>Cover Inflationary Increases</w:t>
            </w:r>
          </w:p>
        </w:tc>
        <w:tc>
          <w:tcPr>
            <w:tcW w:w="1710" w:type="dxa"/>
          </w:tcPr>
          <w:p w14:paraId="4E702CD0" w14:textId="77777777" w:rsidR="003201AC" w:rsidRDefault="003201AC" w:rsidP="003116FA">
            <w:pPr>
              <w:jc w:val="right"/>
              <w:rPr>
                <w:rFonts w:ascii="Arial" w:hAnsi="Arial" w:cs="Arial"/>
                <w:szCs w:val="24"/>
              </w:rPr>
            </w:pPr>
            <w:r>
              <w:rPr>
                <w:rFonts w:ascii="Arial" w:hAnsi="Arial" w:cs="Arial"/>
                <w:szCs w:val="24"/>
              </w:rPr>
              <w:t>$12.5 M</w:t>
            </w:r>
          </w:p>
        </w:tc>
        <w:tc>
          <w:tcPr>
            <w:tcW w:w="1538" w:type="dxa"/>
          </w:tcPr>
          <w:p w14:paraId="4074133C" w14:textId="77777777" w:rsidR="003201AC" w:rsidRDefault="003201AC" w:rsidP="003116FA">
            <w:pPr>
              <w:jc w:val="right"/>
              <w:rPr>
                <w:rFonts w:ascii="Arial" w:hAnsi="Arial" w:cs="Arial"/>
                <w:szCs w:val="24"/>
              </w:rPr>
            </w:pPr>
            <w:r>
              <w:rPr>
                <w:rFonts w:ascii="Arial" w:hAnsi="Arial" w:cs="Arial"/>
                <w:szCs w:val="24"/>
              </w:rPr>
              <w:t>$5.49</w:t>
            </w:r>
          </w:p>
        </w:tc>
        <w:tc>
          <w:tcPr>
            <w:tcW w:w="1427" w:type="dxa"/>
          </w:tcPr>
          <w:p w14:paraId="4012BF50" w14:textId="77777777" w:rsidR="003201AC" w:rsidRDefault="003201AC" w:rsidP="003116FA">
            <w:pPr>
              <w:jc w:val="right"/>
              <w:rPr>
                <w:rFonts w:ascii="Arial" w:hAnsi="Arial" w:cs="Arial"/>
                <w:szCs w:val="24"/>
              </w:rPr>
            </w:pPr>
            <w:r>
              <w:rPr>
                <w:rFonts w:ascii="Arial" w:hAnsi="Arial" w:cs="Arial"/>
                <w:szCs w:val="24"/>
              </w:rPr>
              <w:t>10.25 / 0</w:t>
            </w:r>
          </w:p>
        </w:tc>
      </w:tr>
      <w:tr w:rsidR="003201AC" w14:paraId="6AF5D78D" w14:textId="77777777" w:rsidTr="003116FA">
        <w:tc>
          <w:tcPr>
            <w:tcW w:w="4675" w:type="dxa"/>
          </w:tcPr>
          <w:p w14:paraId="46614ADF" w14:textId="77777777" w:rsidR="003201AC" w:rsidRDefault="003201AC" w:rsidP="003116FA">
            <w:pPr>
              <w:rPr>
                <w:rFonts w:ascii="Arial" w:hAnsi="Arial" w:cs="Arial"/>
                <w:szCs w:val="24"/>
              </w:rPr>
            </w:pPr>
            <w:r>
              <w:rPr>
                <w:rFonts w:ascii="Arial" w:hAnsi="Arial" w:cs="Arial"/>
                <w:szCs w:val="24"/>
              </w:rPr>
              <w:t>Debt Service for New Transfer Stations</w:t>
            </w:r>
          </w:p>
        </w:tc>
        <w:tc>
          <w:tcPr>
            <w:tcW w:w="1710" w:type="dxa"/>
          </w:tcPr>
          <w:p w14:paraId="1D821E9C" w14:textId="77777777" w:rsidR="003201AC" w:rsidRDefault="003201AC" w:rsidP="003116FA">
            <w:pPr>
              <w:jc w:val="right"/>
              <w:rPr>
                <w:rFonts w:ascii="Arial" w:hAnsi="Arial" w:cs="Arial"/>
                <w:szCs w:val="24"/>
              </w:rPr>
            </w:pPr>
            <w:r>
              <w:rPr>
                <w:rFonts w:ascii="Arial" w:hAnsi="Arial" w:cs="Arial"/>
                <w:szCs w:val="24"/>
              </w:rPr>
              <w:t>$7.1 M</w:t>
            </w:r>
          </w:p>
        </w:tc>
        <w:tc>
          <w:tcPr>
            <w:tcW w:w="1538" w:type="dxa"/>
          </w:tcPr>
          <w:p w14:paraId="23DD1918" w14:textId="77777777" w:rsidR="003201AC" w:rsidRDefault="003201AC" w:rsidP="003116FA">
            <w:pPr>
              <w:jc w:val="right"/>
              <w:rPr>
                <w:rFonts w:ascii="Arial" w:hAnsi="Arial" w:cs="Arial"/>
                <w:szCs w:val="24"/>
              </w:rPr>
            </w:pPr>
            <w:r>
              <w:rPr>
                <w:rFonts w:ascii="Arial" w:hAnsi="Arial" w:cs="Arial"/>
                <w:szCs w:val="24"/>
              </w:rPr>
              <w:t>$3.10</w:t>
            </w:r>
          </w:p>
        </w:tc>
        <w:tc>
          <w:tcPr>
            <w:tcW w:w="1427" w:type="dxa"/>
          </w:tcPr>
          <w:p w14:paraId="74188010" w14:textId="77777777" w:rsidR="003201AC" w:rsidRDefault="003201AC" w:rsidP="003116FA">
            <w:pPr>
              <w:jc w:val="right"/>
              <w:rPr>
                <w:rFonts w:ascii="Arial" w:hAnsi="Arial" w:cs="Arial"/>
                <w:szCs w:val="24"/>
              </w:rPr>
            </w:pPr>
          </w:p>
        </w:tc>
      </w:tr>
      <w:tr w:rsidR="003201AC" w14:paraId="3C60CE99" w14:textId="77777777" w:rsidTr="003116FA">
        <w:tc>
          <w:tcPr>
            <w:tcW w:w="4675" w:type="dxa"/>
          </w:tcPr>
          <w:p w14:paraId="745B323B" w14:textId="77777777" w:rsidR="003201AC" w:rsidRDefault="003201AC" w:rsidP="003116FA">
            <w:pPr>
              <w:rPr>
                <w:rFonts w:ascii="Arial" w:hAnsi="Arial" w:cs="Arial"/>
                <w:szCs w:val="24"/>
              </w:rPr>
            </w:pPr>
            <w:r>
              <w:rPr>
                <w:rFonts w:ascii="Arial" w:hAnsi="Arial" w:cs="Arial"/>
                <w:szCs w:val="24"/>
              </w:rPr>
              <w:t>Replace Aging Equipment</w:t>
            </w:r>
          </w:p>
        </w:tc>
        <w:tc>
          <w:tcPr>
            <w:tcW w:w="1710" w:type="dxa"/>
          </w:tcPr>
          <w:p w14:paraId="69A304EE" w14:textId="77777777" w:rsidR="003201AC" w:rsidRDefault="003201AC" w:rsidP="003116FA">
            <w:pPr>
              <w:jc w:val="right"/>
              <w:rPr>
                <w:rFonts w:ascii="Arial" w:hAnsi="Arial" w:cs="Arial"/>
                <w:szCs w:val="24"/>
              </w:rPr>
            </w:pPr>
            <w:r>
              <w:rPr>
                <w:rFonts w:ascii="Arial" w:hAnsi="Arial" w:cs="Arial"/>
                <w:szCs w:val="24"/>
              </w:rPr>
              <w:t>$ 6.8 M</w:t>
            </w:r>
          </w:p>
        </w:tc>
        <w:tc>
          <w:tcPr>
            <w:tcW w:w="1538" w:type="dxa"/>
          </w:tcPr>
          <w:p w14:paraId="2E011646" w14:textId="77777777" w:rsidR="003201AC" w:rsidRDefault="003201AC" w:rsidP="003116FA">
            <w:pPr>
              <w:jc w:val="right"/>
              <w:rPr>
                <w:rFonts w:ascii="Arial" w:hAnsi="Arial" w:cs="Arial"/>
                <w:szCs w:val="24"/>
              </w:rPr>
            </w:pPr>
            <w:r>
              <w:rPr>
                <w:rFonts w:ascii="Arial" w:hAnsi="Arial" w:cs="Arial"/>
                <w:szCs w:val="24"/>
              </w:rPr>
              <w:t>$2.98</w:t>
            </w:r>
          </w:p>
        </w:tc>
        <w:tc>
          <w:tcPr>
            <w:tcW w:w="1427" w:type="dxa"/>
          </w:tcPr>
          <w:p w14:paraId="7AC03FE9" w14:textId="77777777" w:rsidR="003201AC" w:rsidRDefault="003201AC" w:rsidP="003116FA">
            <w:pPr>
              <w:jc w:val="right"/>
              <w:rPr>
                <w:rFonts w:ascii="Arial" w:hAnsi="Arial" w:cs="Arial"/>
                <w:szCs w:val="24"/>
              </w:rPr>
            </w:pPr>
          </w:p>
        </w:tc>
      </w:tr>
      <w:tr w:rsidR="003201AC" w14:paraId="37435755" w14:textId="77777777" w:rsidTr="003116FA">
        <w:tc>
          <w:tcPr>
            <w:tcW w:w="4675" w:type="dxa"/>
          </w:tcPr>
          <w:p w14:paraId="68E28E49" w14:textId="77777777" w:rsidR="003201AC" w:rsidRDefault="003201AC" w:rsidP="003116FA">
            <w:pPr>
              <w:rPr>
                <w:rFonts w:ascii="Arial" w:hAnsi="Arial" w:cs="Arial"/>
                <w:szCs w:val="24"/>
              </w:rPr>
            </w:pPr>
            <w:r>
              <w:rPr>
                <w:rFonts w:ascii="Arial" w:hAnsi="Arial" w:cs="Arial"/>
                <w:szCs w:val="24"/>
              </w:rPr>
              <w:t>Fortify Cedar Hills Landfill Reserve Fund</w:t>
            </w:r>
          </w:p>
        </w:tc>
        <w:tc>
          <w:tcPr>
            <w:tcW w:w="1710" w:type="dxa"/>
          </w:tcPr>
          <w:p w14:paraId="56796407" w14:textId="77777777" w:rsidR="003201AC" w:rsidRDefault="003201AC" w:rsidP="003116FA">
            <w:pPr>
              <w:jc w:val="right"/>
              <w:rPr>
                <w:rFonts w:ascii="Arial" w:hAnsi="Arial" w:cs="Arial"/>
                <w:szCs w:val="24"/>
              </w:rPr>
            </w:pPr>
            <w:r>
              <w:rPr>
                <w:rFonts w:ascii="Arial" w:hAnsi="Arial" w:cs="Arial"/>
                <w:szCs w:val="24"/>
              </w:rPr>
              <w:t>$3.6 M</w:t>
            </w:r>
          </w:p>
        </w:tc>
        <w:tc>
          <w:tcPr>
            <w:tcW w:w="1538" w:type="dxa"/>
          </w:tcPr>
          <w:p w14:paraId="09FF54C3" w14:textId="77777777" w:rsidR="003201AC" w:rsidRDefault="003201AC" w:rsidP="003116FA">
            <w:pPr>
              <w:jc w:val="right"/>
              <w:rPr>
                <w:rFonts w:ascii="Arial" w:hAnsi="Arial" w:cs="Arial"/>
                <w:szCs w:val="24"/>
              </w:rPr>
            </w:pPr>
            <w:r>
              <w:rPr>
                <w:rFonts w:ascii="Arial" w:hAnsi="Arial" w:cs="Arial"/>
                <w:szCs w:val="24"/>
              </w:rPr>
              <w:t>$1.59</w:t>
            </w:r>
          </w:p>
        </w:tc>
        <w:tc>
          <w:tcPr>
            <w:tcW w:w="1427" w:type="dxa"/>
          </w:tcPr>
          <w:p w14:paraId="236365C1" w14:textId="77777777" w:rsidR="003201AC" w:rsidRDefault="003201AC" w:rsidP="003116FA">
            <w:pPr>
              <w:jc w:val="right"/>
              <w:rPr>
                <w:rFonts w:ascii="Arial" w:hAnsi="Arial" w:cs="Arial"/>
                <w:szCs w:val="24"/>
              </w:rPr>
            </w:pPr>
          </w:p>
        </w:tc>
      </w:tr>
      <w:tr w:rsidR="003201AC" w14:paraId="0771FA62" w14:textId="77777777" w:rsidTr="003116FA">
        <w:tc>
          <w:tcPr>
            <w:tcW w:w="4675" w:type="dxa"/>
          </w:tcPr>
          <w:p w14:paraId="2D7A36E4" w14:textId="77777777" w:rsidR="003201AC" w:rsidRDefault="003201AC" w:rsidP="003116FA">
            <w:pPr>
              <w:rPr>
                <w:rFonts w:ascii="Arial" w:hAnsi="Arial" w:cs="Arial"/>
                <w:szCs w:val="24"/>
              </w:rPr>
            </w:pPr>
            <w:r>
              <w:rPr>
                <w:rFonts w:ascii="Arial" w:hAnsi="Arial" w:cs="Arial"/>
                <w:szCs w:val="24"/>
              </w:rPr>
              <w:t>Maintain Closed Landfills</w:t>
            </w:r>
          </w:p>
        </w:tc>
        <w:tc>
          <w:tcPr>
            <w:tcW w:w="1710" w:type="dxa"/>
          </w:tcPr>
          <w:p w14:paraId="44988898" w14:textId="77777777" w:rsidR="003201AC" w:rsidRDefault="003201AC" w:rsidP="003116FA">
            <w:pPr>
              <w:jc w:val="right"/>
              <w:rPr>
                <w:rFonts w:ascii="Arial" w:hAnsi="Arial" w:cs="Arial"/>
                <w:szCs w:val="24"/>
              </w:rPr>
            </w:pPr>
            <w:r>
              <w:rPr>
                <w:rFonts w:ascii="Arial" w:hAnsi="Arial" w:cs="Arial"/>
                <w:szCs w:val="24"/>
              </w:rPr>
              <w:t>$2.5 M</w:t>
            </w:r>
          </w:p>
        </w:tc>
        <w:tc>
          <w:tcPr>
            <w:tcW w:w="1538" w:type="dxa"/>
          </w:tcPr>
          <w:p w14:paraId="2ABCF8CD" w14:textId="77777777" w:rsidR="003201AC" w:rsidRDefault="003201AC" w:rsidP="003116FA">
            <w:pPr>
              <w:jc w:val="right"/>
              <w:rPr>
                <w:rFonts w:ascii="Arial" w:hAnsi="Arial" w:cs="Arial"/>
                <w:szCs w:val="24"/>
              </w:rPr>
            </w:pPr>
            <w:r>
              <w:rPr>
                <w:rFonts w:ascii="Arial" w:hAnsi="Arial" w:cs="Arial"/>
                <w:szCs w:val="24"/>
              </w:rPr>
              <w:t>$1.07</w:t>
            </w:r>
          </w:p>
        </w:tc>
        <w:tc>
          <w:tcPr>
            <w:tcW w:w="1427" w:type="dxa"/>
          </w:tcPr>
          <w:p w14:paraId="2EA19230" w14:textId="77777777" w:rsidR="003201AC" w:rsidRDefault="003201AC" w:rsidP="003116FA">
            <w:pPr>
              <w:jc w:val="right"/>
              <w:rPr>
                <w:rFonts w:ascii="Arial" w:hAnsi="Arial" w:cs="Arial"/>
                <w:szCs w:val="24"/>
              </w:rPr>
            </w:pPr>
          </w:p>
        </w:tc>
      </w:tr>
      <w:tr w:rsidR="003201AC" w14:paraId="7F73F852" w14:textId="77777777" w:rsidTr="003116FA">
        <w:tc>
          <w:tcPr>
            <w:tcW w:w="4675" w:type="dxa"/>
          </w:tcPr>
          <w:p w14:paraId="3A9F24E5" w14:textId="77777777" w:rsidR="003201AC" w:rsidRPr="00582483" w:rsidRDefault="003201AC" w:rsidP="003116FA">
            <w:pPr>
              <w:rPr>
                <w:rFonts w:ascii="Arial" w:hAnsi="Arial" w:cs="Arial"/>
                <w:i/>
                <w:szCs w:val="24"/>
              </w:rPr>
            </w:pPr>
            <w:r w:rsidRPr="00582483">
              <w:rPr>
                <w:rFonts w:ascii="Arial" w:hAnsi="Arial" w:cs="Arial"/>
                <w:i/>
                <w:szCs w:val="24"/>
              </w:rPr>
              <w:t>Subtotal Sustain Current Services</w:t>
            </w:r>
          </w:p>
        </w:tc>
        <w:tc>
          <w:tcPr>
            <w:tcW w:w="1710" w:type="dxa"/>
          </w:tcPr>
          <w:p w14:paraId="06572DE0" w14:textId="77777777" w:rsidR="003201AC" w:rsidRPr="00582483" w:rsidRDefault="003201AC" w:rsidP="003116FA">
            <w:pPr>
              <w:jc w:val="right"/>
              <w:rPr>
                <w:rFonts w:ascii="Arial" w:hAnsi="Arial" w:cs="Arial"/>
                <w:i/>
                <w:szCs w:val="24"/>
              </w:rPr>
            </w:pPr>
            <w:r>
              <w:rPr>
                <w:rFonts w:ascii="Arial" w:hAnsi="Arial" w:cs="Arial"/>
                <w:i/>
                <w:szCs w:val="24"/>
              </w:rPr>
              <w:t>$32.5 M</w:t>
            </w:r>
          </w:p>
        </w:tc>
        <w:tc>
          <w:tcPr>
            <w:tcW w:w="1538" w:type="dxa"/>
          </w:tcPr>
          <w:p w14:paraId="5987A531" w14:textId="77777777" w:rsidR="003201AC" w:rsidRPr="00582483" w:rsidRDefault="003201AC" w:rsidP="003116FA">
            <w:pPr>
              <w:jc w:val="right"/>
              <w:rPr>
                <w:rFonts w:ascii="Arial" w:hAnsi="Arial" w:cs="Arial"/>
                <w:i/>
                <w:szCs w:val="24"/>
              </w:rPr>
            </w:pPr>
            <w:r>
              <w:rPr>
                <w:rFonts w:ascii="Arial" w:hAnsi="Arial" w:cs="Arial"/>
                <w:i/>
                <w:szCs w:val="24"/>
              </w:rPr>
              <w:t>$14.23</w:t>
            </w:r>
          </w:p>
        </w:tc>
        <w:tc>
          <w:tcPr>
            <w:tcW w:w="1427" w:type="dxa"/>
          </w:tcPr>
          <w:p w14:paraId="43D93931" w14:textId="77777777" w:rsidR="003201AC" w:rsidRPr="00582483" w:rsidRDefault="003201AC" w:rsidP="003116FA">
            <w:pPr>
              <w:jc w:val="right"/>
              <w:rPr>
                <w:rFonts w:ascii="Arial" w:hAnsi="Arial" w:cs="Arial"/>
                <w:i/>
                <w:szCs w:val="24"/>
              </w:rPr>
            </w:pPr>
            <w:r>
              <w:rPr>
                <w:rFonts w:ascii="Arial" w:hAnsi="Arial" w:cs="Arial"/>
                <w:i/>
                <w:szCs w:val="24"/>
              </w:rPr>
              <w:t>10.25 / 0</w:t>
            </w:r>
          </w:p>
        </w:tc>
      </w:tr>
      <w:tr w:rsidR="003201AC" w14:paraId="255F3929" w14:textId="77777777" w:rsidTr="003116FA">
        <w:tc>
          <w:tcPr>
            <w:tcW w:w="4675" w:type="dxa"/>
          </w:tcPr>
          <w:p w14:paraId="1F0A54BB" w14:textId="77777777" w:rsidR="003201AC" w:rsidRDefault="003201AC" w:rsidP="003116FA">
            <w:pPr>
              <w:rPr>
                <w:rFonts w:ascii="Arial" w:hAnsi="Arial" w:cs="Arial"/>
                <w:szCs w:val="24"/>
              </w:rPr>
            </w:pPr>
          </w:p>
        </w:tc>
        <w:tc>
          <w:tcPr>
            <w:tcW w:w="1710" w:type="dxa"/>
          </w:tcPr>
          <w:p w14:paraId="6A6155FC" w14:textId="77777777" w:rsidR="003201AC" w:rsidRDefault="003201AC" w:rsidP="003116FA">
            <w:pPr>
              <w:jc w:val="right"/>
              <w:rPr>
                <w:rFonts w:ascii="Arial" w:hAnsi="Arial" w:cs="Arial"/>
                <w:szCs w:val="24"/>
              </w:rPr>
            </w:pPr>
          </w:p>
        </w:tc>
        <w:tc>
          <w:tcPr>
            <w:tcW w:w="1538" w:type="dxa"/>
          </w:tcPr>
          <w:p w14:paraId="332C8C66" w14:textId="77777777" w:rsidR="003201AC" w:rsidRDefault="003201AC" w:rsidP="003116FA">
            <w:pPr>
              <w:jc w:val="right"/>
              <w:rPr>
                <w:rFonts w:ascii="Arial" w:hAnsi="Arial" w:cs="Arial"/>
                <w:szCs w:val="24"/>
              </w:rPr>
            </w:pPr>
          </w:p>
        </w:tc>
        <w:tc>
          <w:tcPr>
            <w:tcW w:w="1427" w:type="dxa"/>
          </w:tcPr>
          <w:p w14:paraId="4F12F574" w14:textId="77777777" w:rsidR="003201AC" w:rsidRDefault="003201AC" w:rsidP="003116FA">
            <w:pPr>
              <w:jc w:val="right"/>
              <w:rPr>
                <w:rFonts w:ascii="Arial" w:hAnsi="Arial" w:cs="Arial"/>
                <w:szCs w:val="24"/>
              </w:rPr>
            </w:pPr>
          </w:p>
        </w:tc>
      </w:tr>
      <w:tr w:rsidR="003201AC" w14:paraId="288D4905" w14:textId="77777777" w:rsidTr="003116FA">
        <w:tc>
          <w:tcPr>
            <w:tcW w:w="4675" w:type="dxa"/>
          </w:tcPr>
          <w:p w14:paraId="5120A173" w14:textId="77777777" w:rsidR="003201AC" w:rsidRPr="00582483" w:rsidRDefault="003201AC" w:rsidP="003116FA">
            <w:pPr>
              <w:rPr>
                <w:rFonts w:ascii="Arial" w:hAnsi="Arial" w:cs="Arial"/>
                <w:b/>
                <w:szCs w:val="24"/>
              </w:rPr>
            </w:pPr>
            <w:r w:rsidRPr="00582483">
              <w:rPr>
                <w:rFonts w:ascii="Arial" w:hAnsi="Arial" w:cs="Arial"/>
                <w:b/>
                <w:szCs w:val="24"/>
              </w:rPr>
              <w:t>Ensure Service Reliability</w:t>
            </w:r>
          </w:p>
        </w:tc>
        <w:tc>
          <w:tcPr>
            <w:tcW w:w="1710" w:type="dxa"/>
          </w:tcPr>
          <w:p w14:paraId="6BDEA486" w14:textId="77777777" w:rsidR="003201AC" w:rsidRPr="00EF3350" w:rsidRDefault="003201AC" w:rsidP="003116FA">
            <w:pPr>
              <w:jc w:val="right"/>
              <w:rPr>
                <w:rFonts w:ascii="Arial" w:hAnsi="Arial" w:cs="Arial"/>
                <w:szCs w:val="24"/>
              </w:rPr>
            </w:pPr>
            <w:r w:rsidRPr="00582483">
              <w:rPr>
                <w:rFonts w:ascii="Arial" w:hAnsi="Arial" w:cs="Arial"/>
                <w:szCs w:val="24"/>
              </w:rPr>
              <w:t>$3.6 M</w:t>
            </w:r>
          </w:p>
        </w:tc>
        <w:tc>
          <w:tcPr>
            <w:tcW w:w="1538" w:type="dxa"/>
          </w:tcPr>
          <w:p w14:paraId="575A8A29" w14:textId="77777777" w:rsidR="003201AC" w:rsidRPr="00EF3350" w:rsidRDefault="003201AC" w:rsidP="003116FA">
            <w:pPr>
              <w:jc w:val="right"/>
              <w:rPr>
                <w:rFonts w:ascii="Arial" w:hAnsi="Arial" w:cs="Arial"/>
                <w:szCs w:val="24"/>
              </w:rPr>
            </w:pPr>
            <w:r>
              <w:rPr>
                <w:rFonts w:ascii="Arial" w:hAnsi="Arial" w:cs="Arial"/>
                <w:szCs w:val="24"/>
              </w:rPr>
              <w:t>$1.58</w:t>
            </w:r>
          </w:p>
        </w:tc>
        <w:tc>
          <w:tcPr>
            <w:tcW w:w="1427" w:type="dxa"/>
          </w:tcPr>
          <w:p w14:paraId="47732CDF" w14:textId="77777777" w:rsidR="003201AC" w:rsidRPr="00F40E22" w:rsidRDefault="003201AC" w:rsidP="003116FA">
            <w:pPr>
              <w:jc w:val="right"/>
              <w:rPr>
                <w:rFonts w:ascii="Arial" w:hAnsi="Arial" w:cs="Arial"/>
                <w:szCs w:val="24"/>
              </w:rPr>
            </w:pPr>
            <w:r>
              <w:rPr>
                <w:rFonts w:ascii="Arial" w:hAnsi="Arial" w:cs="Arial"/>
                <w:szCs w:val="24"/>
              </w:rPr>
              <w:t>1 / 3</w:t>
            </w:r>
          </w:p>
        </w:tc>
      </w:tr>
      <w:tr w:rsidR="003201AC" w14:paraId="657793A0" w14:textId="77777777" w:rsidTr="003116FA">
        <w:tc>
          <w:tcPr>
            <w:tcW w:w="4675" w:type="dxa"/>
          </w:tcPr>
          <w:p w14:paraId="4F370EC5" w14:textId="77777777" w:rsidR="003201AC" w:rsidRDefault="003201AC" w:rsidP="003116FA">
            <w:pPr>
              <w:rPr>
                <w:rFonts w:ascii="Arial" w:hAnsi="Arial" w:cs="Arial"/>
                <w:szCs w:val="24"/>
              </w:rPr>
            </w:pPr>
          </w:p>
        </w:tc>
        <w:tc>
          <w:tcPr>
            <w:tcW w:w="1710" w:type="dxa"/>
          </w:tcPr>
          <w:p w14:paraId="0E3E8020" w14:textId="77777777" w:rsidR="003201AC" w:rsidRDefault="003201AC" w:rsidP="003116FA">
            <w:pPr>
              <w:jc w:val="right"/>
              <w:rPr>
                <w:rFonts w:ascii="Arial" w:hAnsi="Arial" w:cs="Arial"/>
                <w:szCs w:val="24"/>
              </w:rPr>
            </w:pPr>
          </w:p>
        </w:tc>
        <w:tc>
          <w:tcPr>
            <w:tcW w:w="1538" w:type="dxa"/>
          </w:tcPr>
          <w:p w14:paraId="0EC5F5F6" w14:textId="77777777" w:rsidR="003201AC" w:rsidRDefault="003201AC" w:rsidP="003116FA">
            <w:pPr>
              <w:jc w:val="right"/>
              <w:rPr>
                <w:rFonts w:ascii="Arial" w:hAnsi="Arial" w:cs="Arial"/>
                <w:szCs w:val="24"/>
              </w:rPr>
            </w:pPr>
          </w:p>
        </w:tc>
        <w:tc>
          <w:tcPr>
            <w:tcW w:w="1427" w:type="dxa"/>
          </w:tcPr>
          <w:p w14:paraId="5B79A9E5" w14:textId="77777777" w:rsidR="003201AC" w:rsidRDefault="003201AC" w:rsidP="003116FA">
            <w:pPr>
              <w:jc w:val="right"/>
              <w:rPr>
                <w:rFonts w:ascii="Arial" w:hAnsi="Arial" w:cs="Arial"/>
                <w:szCs w:val="24"/>
              </w:rPr>
            </w:pPr>
          </w:p>
        </w:tc>
      </w:tr>
      <w:tr w:rsidR="003201AC" w14:paraId="1B6EB7FF" w14:textId="77777777" w:rsidTr="003116FA">
        <w:tc>
          <w:tcPr>
            <w:tcW w:w="4675" w:type="dxa"/>
          </w:tcPr>
          <w:p w14:paraId="37674E5F" w14:textId="77777777" w:rsidR="003201AC" w:rsidRPr="00582483" w:rsidRDefault="003201AC" w:rsidP="003116FA">
            <w:pPr>
              <w:rPr>
                <w:rFonts w:ascii="Arial" w:hAnsi="Arial" w:cs="Arial"/>
                <w:b/>
                <w:szCs w:val="24"/>
              </w:rPr>
            </w:pPr>
            <w:r w:rsidRPr="00582483">
              <w:rPr>
                <w:rFonts w:ascii="Arial" w:hAnsi="Arial" w:cs="Arial"/>
                <w:b/>
                <w:szCs w:val="24"/>
              </w:rPr>
              <w:t>Address County Strategic Priorities</w:t>
            </w:r>
          </w:p>
        </w:tc>
        <w:tc>
          <w:tcPr>
            <w:tcW w:w="1710" w:type="dxa"/>
          </w:tcPr>
          <w:p w14:paraId="113665E9" w14:textId="77777777" w:rsidR="003201AC" w:rsidRDefault="003201AC" w:rsidP="003116FA">
            <w:pPr>
              <w:jc w:val="right"/>
              <w:rPr>
                <w:rFonts w:ascii="Arial" w:hAnsi="Arial" w:cs="Arial"/>
                <w:szCs w:val="24"/>
              </w:rPr>
            </w:pPr>
            <w:r>
              <w:rPr>
                <w:rFonts w:ascii="Arial" w:hAnsi="Arial" w:cs="Arial"/>
                <w:szCs w:val="24"/>
              </w:rPr>
              <w:t>$1.1 M</w:t>
            </w:r>
          </w:p>
        </w:tc>
        <w:tc>
          <w:tcPr>
            <w:tcW w:w="1538" w:type="dxa"/>
          </w:tcPr>
          <w:p w14:paraId="6EF0557D" w14:textId="77777777" w:rsidR="003201AC" w:rsidRDefault="003201AC" w:rsidP="003116FA">
            <w:pPr>
              <w:jc w:val="right"/>
              <w:rPr>
                <w:rFonts w:ascii="Arial" w:hAnsi="Arial" w:cs="Arial"/>
                <w:szCs w:val="24"/>
              </w:rPr>
            </w:pPr>
            <w:r>
              <w:rPr>
                <w:rFonts w:ascii="Arial" w:hAnsi="Arial" w:cs="Arial"/>
                <w:szCs w:val="24"/>
              </w:rPr>
              <w:t>$0.46</w:t>
            </w:r>
          </w:p>
        </w:tc>
        <w:tc>
          <w:tcPr>
            <w:tcW w:w="1427" w:type="dxa"/>
          </w:tcPr>
          <w:p w14:paraId="150C7EF2" w14:textId="77777777" w:rsidR="003201AC" w:rsidRDefault="003201AC" w:rsidP="003116FA">
            <w:pPr>
              <w:jc w:val="right"/>
              <w:rPr>
                <w:rFonts w:ascii="Arial" w:hAnsi="Arial" w:cs="Arial"/>
                <w:szCs w:val="24"/>
              </w:rPr>
            </w:pPr>
            <w:r>
              <w:rPr>
                <w:rFonts w:ascii="Arial" w:hAnsi="Arial" w:cs="Arial"/>
                <w:szCs w:val="24"/>
              </w:rPr>
              <w:t>1 / 0</w:t>
            </w:r>
          </w:p>
        </w:tc>
      </w:tr>
      <w:tr w:rsidR="003201AC" w14:paraId="58E3B588" w14:textId="77777777" w:rsidTr="003116FA">
        <w:tc>
          <w:tcPr>
            <w:tcW w:w="4675" w:type="dxa"/>
          </w:tcPr>
          <w:p w14:paraId="01958051" w14:textId="77777777" w:rsidR="003201AC" w:rsidRDefault="003201AC" w:rsidP="003116FA">
            <w:pPr>
              <w:rPr>
                <w:rFonts w:ascii="Arial" w:hAnsi="Arial" w:cs="Arial"/>
                <w:szCs w:val="24"/>
              </w:rPr>
            </w:pPr>
          </w:p>
        </w:tc>
        <w:tc>
          <w:tcPr>
            <w:tcW w:w="1710" w:type="dxa"/>
          </w:tcPr>
          <w:p w14:paraId="5F684C43" w14:textId="77777777" w:rsidR="003201AC" w:rsidRDefault="003201AC" w:rsidP="003116FA">
            <w:pPr>
              <w:jc w:val="right"/>
              <w:rPr>
                <w:rFonts w:ascii="Arial" w:hAnsi="Arial" w:cs="Arial"/>
                <w:szCs w:val="24"/>
              </w:rPr>
            </w:pPr>
          </w:p>
        </w:tc>
        <w:tc>
          <w:tcPr>
            <w:tcW w:w="1538" w:type="dxa"/>
          </w:tcPr>
          <w:p w14:paraId="3F427FF5" w14:textId="77777777" w:rsidR="003201AC" w:rsidRDefault="003201AC" w:rsidP="003116FA">
            <w:pPr>
              <w:jc w:val="right"/>
              <w:rPr>
                <w:rFonts w:ascii="Arial" w:hAnsi="Arial" w:cs="Arial"/>
                <w:szCs w:val="24"/>
              </w:rPr>
            </w:pPr>
          </w:p>
        </w:tc>
        <w:tc>
          <w:tcPr>
            <w:tcW w:w="1427" w:type="dxa"/>
          </w:tcPr>
          <w:p w14:paraId="7533A23B" w14:textId="77777777" w:rsidR="003201AC" w:rsidRDefault="003201AC" w:rsidP="003116FA">
            <w:pPr>
              <w:jc w:val="right"/>
              <w:rPr>
                <w:rFonts w:ascii="Arial" w:hAnsi="Arial" w:cs="Arial"/>
                <w:szCs w:val="24"/>
              </w:rPr>
            </w:pPr>
          </w:p>
        </w:tc>
      </w:tr>
      <w:tr w:rsidR="003201AC" w14:paraId="39CB8B69" w14:textId="77777777" w:rsidTr="003116FA">
        <w:tc>
          <w:tcPr>
            <w:tcW w:w="4675" w:type="dxa"/>
          </w:tcPr>
          <w:p w14:paraId="32B8053D" w14:textId="77777777" w:rsidR="003201AC" w:rsidRPr="00582483" w:rsidRDefault="003201AC" w:rsidP="003116FA">
            <w:pPr>
              <w:rPr>
                <w:rFonts w:ascii="Arial" w:hAnsi="Arial" w:cs="Arial"/>
                <w:b/>
                <w:szCs w:val="24"/>
              </w:rPr>
            </w:pPr>
            <w:r w:rsidRPr="00582483">
              <w:rPr>
                <w:rFonts w:ascii="Arial" w:hAnsi="Arial" w:cs="Arial"/>
                <w:b/>
                <w:szCs w:val="24"/>
              </w:rPr>
              <w:t>Position for the Future</w:t>
            </w:r>
          </w:p>
        </w:tc>
        <w:tc>
          <w:tcPr>
            <w:tcW w:w="1710" w:type="dxa"/>
          </w:tcPr>
          <w:p w14:paraId="58ADBF0A" w14:textId="77777777" w:rsidR="003201AC" w:rsidRDefault="003201AC" w:rsidP="003116FA">
            <w:pPr>
              <w:jc w:val="right"/>
              <w:rPr>
                <w:rFonts w:ascii="Arial" w:hAnsi="Arial" w:cs="Arial"/>
                <w:szCs w:val="24"/>
              </w:rPr>
            </w:pPr>
            <w:r>
              <w:rPr>
                <w:rFonts w:ascii="Arial" w:hAnsi="Arial" w:cs="Arial"/>
                <w:szCs w:val="24"/>
              </w:rPr>
              <w:t>$2.0 M</w:t>
            </w:r>
          </w:p>
        </w:tc>
        <w:tc>
          <w:tcPr>
            <w:tcW w:w="1538" w:type="dxa"/>
          </w:tcPr>
          <w:p w14:paraId="1C86C039" w14:textId="77777777" w:rsidR="003201AC" w:rsidRDefault="003201AC" w:rsidP="003116FA">
            <w:pPr>
              <w:jc w:val="right"/>
              <w:rPr>
                <w:rFonts w:ascii="Arial" w:hAnsi="Arial" w:cs="Arial"/>
                <w:szCs w:val="24"/>
              </w:rPr>
            </w:pPr>
            <w:r>
              <w:rPr>
                <w:rFonts w:ascii="Arial" w:hAnsi="Arial" w:cs="Arial"/>
                <w:szCs w:val="24"/>
              </w:rPr>
              <w:t>$0.88</w:t>
            </w:r>
          </w:p>
        </w:tc>
        <w:tc>
          <w:tcPr>
            <w:tcW w:w="1427" w:type="dxa"/>
          </w:tcPr>
          <w:p w14:paraId="7888F929" w14:textId="77777777" w:rsidR="003201AC" w:rsidRDefault="003201AC" w:rsidP="003116FA">
            <w:pPr>
              <w:jc w:val="right"/>
              <w:rPr>
                <w:rFonts w:ascii="Arial" w:hAnsi="Arial" w:cs="Arial"/>
                <w:szCs w:val="24"/>
              </w:rPr>
            </w:pPr>
            <w:r>
              <w:rPr>
                <w:rFonts w:ascii="Arial" w:hAnsi="Arial" w:cs="Arial"/>
                <w:szCs w:val="24"/>
              </w:rPr>
              <w:t>0 / 10</w:t>
            </w:r>
          </w:p>
        </w:tc>
      </w:tr>
      <w:tr w:rsidR="003201AC" w14:paraId="125797DC" w14:textId="77777777" w:rsidTr="003116FA">
        <w:tc>
          <w:tcPr>
            <w:tcW w:w="4675" w:type="dxa"/>
          </w:tcPr>
          <w:p w14:paraId="50B01C2D" w14:textId="77777777" w:rsidR="003201AC" w:rsidRDefault="003201AC" w:rsidP="003116FA">
            <w:pPr>
              <w:rPr>
                <w:rFonts w:ascii="Arial" w:hAnsi="Arial" w:cs="Arial"/>
                <w:szCs w:val="24"/>
              </w:rPr>
            </w:pPr>
          </w:p>
        </w:tc>
        <w:tc>
          <w:tcPr>
            <w:tcW w:w="1710" w:type="dxa"/>
          </w:tcPr>
          <w:p w14:paraId="0F35CCCF" w14:textId="77777777" w:rsidR="003201AC" w:rsidRDefault="003201AC" w:rsidP="003116FA">
            <w:pPr>
              <w:jc w:val="right"/>
              <w:rPr>
                <w:rFonts w:ascii="Arial" w:hAnsi="Arial" w:cs="Arial"/>
                <w:szCs w:val="24"/>
              </w:rPr>
            </w:pPr>
          </w:p>
        </w:tc>
        <w:tc>
          <w:tcPr>
            <w:tcW w:w="1538" w:type="dxa"/>
          </w:tcPr>
          <w:p w14:paraId="1DFEC83D" w14:textId="77777777" w:rsidR="003201AC" w:rsidRDefault="003201AC" w:rsidP="003116FA">
            <w:pPr>
              <w:jc w:val="right"/>
              <w:rPr>
                <w:rFonts w:ascii="Arial" w:hAnsi="Arial" w:cs="Arial"/>
                <w:szCs w:val="24"/>
              </w:rPr>
            </w:pPr>
          </w:p>
        </w:tc>
        <w:tc>
          <w:tcPr>
            <w:tcW w:w="1427" w:type="dxa"/>
          </w:tcPr>
          <w:p w14:paraId="525497FD" w14:textId="77777777" w:rsidR="003201AC" w:rsidRDefault="003201AC" w:rsidP="003116FA">
            <w:pPr>
              <w:jc w:val="right"/>
              <w:rPr>
                <w:rFonts w:ascii="Arial" w:hAnsi="Arial" w:cs="Arial"/>
                <w:szCs w:val="24"/>
              </w:rPr>
            </w:pPr>
          </w:p>
        </w:tc>
      </w:tr>
      <w:tr w:rsidR="003201AC" w14:paraId="52CEE15C" w14:textId="77777777" w:rsidTr="003116FA">
        <w:tc>
          <w:tcPr>
            <w:tcW w:w="4675" w:type="dxa"/>
          </w:tcPr>
          <w:p w14:paraId="45698952" w14:textId="77777777" w:rsidR="003201AC" w:rsidRDefault="003201AC" w:rsidP="003116FA">
            <w:pPr>
              <w:rPr>
                <w:rFonts w:ascii="Arial" w:hAnsi="Arial" w:cs="Arial"/>
                <w:szCs w:val="24"/>
              </w:rPr>
            </w:pPr>
            <w:r>
              <w:rPr>
                <w:rFonts w:ascii="Arial" w:hAnsi="Arial" w:cs="Arial"/>
                <w:szCs w:val="24"/>
              </w:rPr>
              <w:t>Adjustment for Increased Recycling Rate</w:t>
            </w:r>
          </w:p>
        </w:tc>
        <w:tc>
          <w:tcPr>
            <w:tcW w:w="1710" w:type="dxa"/>
          </w:tcPr>
          <w:p w14:paraId="7CC5E3AE" w14:textId="77777777" w:rsidR="003201AC" w:rsidRDefault="003201AC" w:rsidP="003116FA">
            <w:pPr>
              <w:jc w:val="right"/>
              <w:rPr>
                <w:rFonts w:ascii="Arial" w:hAnsi="Arial" w:cs="Arial"/>
                <w:szCs w:val="24"/>
              </w:rPr>
            </w:pPr>
            <w:r>
              <w:rPr>
                <w:rFonts w:ascii="Arial" w:hAnsi="Arial" w:cs="Arial"/>
                <w:szCs w:val="24"/>
              </w:rPr>
              <w:t>$0.7 M</w:t>
            </w:r>
          </w:p>
        </w:tc>
        <w:tc>
          <w:tcPr>
            <w:tcW w:w="1538" w:type="dxa"/>
          </w:tcPr>
          <w:p w14:paraId="4EBC82B2" w14:textId="77777777" w:rsidR="003201AC" w:rsidRDefault="003201AC" w:rsidP="003116FA">
            <w:pPr>
              <w:jc w:val="right"/>
              <w:rPr>
                <w:rFonts w:ascii="Arial" w:hAnsi="Arial" w:cs="Arial"/>
                <w:szCs w:val="24"/>
              </w:rPr>
            </w:pPr>
            <w:r>
              <w:rPr>
                <w:rFonts w:ascii="Arial" w:hAnsi="Arial" w:cs="Arial"/>
                <w:szCs w:val="24"/>
              </w:rPr>
              <w:t>$0.43</w:t>
            </w:r>
          </w:p>
        </w:tc>
        <w:tc>
          <w:tcPr>
            <w:tcW w:w="1427" w:type="dxa"/>
          </w:tcPr>
          <w:p w14:paraId="30EEC380" w14:textId="77777777" w:rsidR="003201AC" w:rsidRDefault="003201AC" w:rsidP="003116FA">
            <w:pPr>
              <w:jc w:val="right"/>
              <w:rPr>
                <w:rFonts w:ascii="Arial" w:hAnsi="Arial" w:cs="Arial"/>
                <w:szCs w:val="24"/>
              </w:rPr>
            </w:pPr>
          </w:p>
        </w:tc>
      </w:tr>
      <w:tr w:rsidR="003201AC" w14:paraId="79CFAB05" w14:textId="77777777" w:rsidTr="003116FA">
        <w:tc>
          <w:tcPr>
            <w:tcW w:w="4675" w:type="dxa"/>
          </w:tcPr>
          <w:p w14:paraId="65A87AC9" w14:textId="77777777" w:rsidR="003201AC" w:rsidRDefault="003201AC" w:rsidP="003116FA">
            <w:pPr>
              <w:rPr>
                <w:rFonts w:ascii="Arial" w:hAnsi="Arial" w:cs="Arial"/>
                <w:szCs w:val="24"/>
              </w:rPr>
            </w:pPr>
          </w:p>
        </w:tc>
        <w:tc>
          <w:tcPr>
            <w:tcW w:w="1710" w:type="dxa"/>
          </w:tcPr>
          <w:p w14:paraId="0B7B4E3C" w14:textId="77777777" w:rsidR="003201AC" w:rsidRDefault="003201AC" w:rsidP="003116FA">
            <w:pPr>
              <w:jc w:val="right"/>
              <w:rPr>
                <w:rFonts w:ascii="Arial" w:hAnsi="Arial" w:cs="Arial"/>
                <w:szCs w:val="24"/>
              </w:rPr>
            </w:pPr>
          </w:p>
        </w:tc>
        <w:tc>
          <w:tcPr>
            <w:tcW w:w="1538" w:type="dxa"/>
          </w:tcPr>
          <w:p w14:paraId="147505C7" w14:textId="77777777" w:rsidR="003201AC" w:rsidRDefault="003201AC" w:rsidP="003116FA">
            <w:pPr>
              <w:jc w:val="right"/>
              <w:rPr>
                <w:rFonts w:ascii="Arial" w:hAnsi="Arial" w:cs="Arial"/>
                <w:szCs w:val="24"/>
              </w:rPr>
            </w:pPr>
          </w:p>
        </w:tc>
        <w:tc>
          <w:tcPr>
            <w:tcW w:w="1427" w:type="dxa"/>
          </w:tcPr>
          <w:p w14:paraId="686B5CB0" w14:textId="77777777" w:rsidR="003201AC" w:rsidRDefault="003201AC" w:rsidP="003116FA">
            <w:pPr>
              <w:jc w:val="right"/>
              <w:rPr>
                <w:rFonts w:ascii="Arial" w:hAnsi="Arial" w:cs="Arial"/>
                <w:szCs w:val="24"/>
              </w:rPr>
            </w:pPr>
          </w:p>
        </w:tc>
      </w:tr>
      <w:tr w:rsidR="003201AC" w14:paraId="208EE927" w14:textId="77777777" w:rsidTr="003116FA">
        <w:tc>
          <w:tcPr>
            <w:tcW w:w="4675" w:type="dxa"/>
          </w:tcPr>
          <w:p w14:paraId="2EE0CBEA" w14:textId="77777777" w:rsidR="003201AC" w:rsidRPr="00582483" w:rsidRDefault="003201AC" w:rsidP="003116FA">
            <w:pPr>
              <w:rPr>
                <w:rFonts w:ascii="Arial" w:hAnsi="Arial" w:cs="Arial"/>
                <w:b/>
                <w:szCs w:val="24"/>
              </w:rPr>
            </w:pPr>
            <w:r w:rsidRPr="00582483">
              <w:rPr>
                <w:rFonts w:ascii="Arial" w:hAnsi="Arial" w:cs="Arial"/>
                <w:b/>
                <w:szCs w:val="24"/>
              </w:rPr>
              <w:t>Total</w:t>
            </w:r>
          </w:p>
        </w:tc>
        <w:tc>
          <w:tcPr>
            <w:tcW w:w="1710" w:type="dxa"/>
          </w:tcPr>
          <w:p w14:paraId="00FB9578" w14:textId="77777777" w:rsidR="003201AC" w:rsidRPr="00582483" w:rsidRDefault="003201AC" w:rsidP="003116FA">
            <w:pPr>
              <w:jc w:val="right"/>
              <w:rPr>
                <w:rFonts w:ascii="Arial" w:hAnsi="Arial" w:cs="Arial"/>
                <w:b/>
                <w:szCs w:val="24"/>
              </w:rPr>
            </w:pPr>
          </w:p>
        </w:tc>
        <w:tc>
          <w:tcPr>
            <w:tcW w:w="1538" w:type="dxa"/>
          </w:tcPr>
          <w:p w14:paraId="4EA1DEAE" w14:textId="77777777" w:rsidR="003201AC" w:rsidRPr="00582483" w:rsidRDefault="003201AC" w:rsidP="003116FA">
            <w:pPr>
              <w:jc w:val="right"/>
              <w:rPr>
                <w:rFonts w:ascii="Arial" w:hAnsi="Arial" w:cs="Arial"/>
                <w:b/>
                <w:szCs w:val="24"/>
              </w:rPr>
            </w:pPr>
            <w:r>
              <w:rPr>
                <w:rFonts w:ascii="Arial" w:hAnsi="Arial" w:cs="Arial"/>
                <w:b/>
                <w:szCs w:val="24"/>
              </w:rPr>
              <w:t>$137.75</w:t>
            </w:r>
          </w:p>
        </w:tc>
        <w:tc>
          <w:tcPr>
            <w:tcW w:w="1427" w:type="dxa"/>
          </w:tcPr>
          <w:p w14:paraId="32E89AFF" w14:textId="77777777" w:rsidR="003201AC" w:rsidRPr="00582483" w:rsidRDefault="003201AC" w:rsidP="003116FA">
            <w:pPr>
              <w:jc w:val="right"/>
              <w:rPr>
                <w:rFonts w:ascii="Arial" w:hAnsi="Arial" w:cs="Arial"/>
                <w:b/>
                <w:szCs w:val="24"/>
              </w:rPr>
            </w:pPr>
            <w:r>
              <w:rPr>
                <w:rFonts w:ascii="Arial" w:hAnsi="Arial" w:cs="Arial"/>
                <w:b/>
                <w:szCs w:val="24"/>
              </w:rPr>
              <w:t>12.25  / 13</w:t>
            </w:r>
          </w:p>
        </w:tc>
      </w:tr>
    </w:tbl>
    <w:p w14:paraId="25933FB5" w14:textId="77777777" w:rsidR="003201AC" w:rsidRPr="007B1B1A" w:rsidRDefault="003201AC" w:rsidP="003201AC">
      <w:pPr>
        <w:jc w:val="both"/>
        <w:rPr>
          <w:rFonts w:ascii="Arial" w:hAnsi="Arial" w:cs="Arial"/>
          <w:szCs w:val="24"/>
        </w:rPr>
      </w:pPr>
    </w:p>
    <w:p w14:paraId="1CFFC19F" w14:textId="751A20D8" w:rsidR="003201AC" w:rsidRDefault="003201AC" w:rsidP="003201AC">
      <w:pPr>
        <w:jc w:val="both"/>
        <w:rPr>
          <w:rFonts w:ascii="Arial" w:hAnsi="Arial" w:cs="Arial"/>
          <w:szCs w:val="24"/>
        </w:rPr>
      </w:pPr>
      <w:r>
        <w:rPr>
          <w:rFonts w:ascii="Arial" w:hAnsi="Arial" w:cs="Arial"/>
          <w:szCs w:val="24"/>
        </w:rPr>
        <w:lastRenderedPageBreak/>
        <w:t xml:space="preserve">In sum, </w:t>
      </w:r>
      <w:r w:rsidR="00423E6A">
        <w:rPr>
          <w:rFonts w:ascii="Arial" w:hAnsi="Arial" w:cs="Arial"/>
          <w:szCs w:val="24"/>
        </w:rPr>
        <w:t>the recommended rate increase would support 12.25 new FTE</w:t>
      </w:r>
      <w:r>
        <w:rPr>
          <w:rFonts w:ascii="Arial" w:hAnsi="Arial" w:cs="Arial"/>
          <w:szCs w:val="24"/>
        </w:rPr>
        <w:t>s, primarily to “sustain current services”</w:t>
      </w:r>
      <w:r w:rsidR="00423E6A">
        <w:rPr>
          <w:rFonts w:ascii="Arial" w:hAnsi="Arial" w:cs="Arial"/>
          <w:szCs w:val="24"/>
        </w:rPr>
        <w:t xml:space="preserve"> and 13 new TLT</w:t>
      </w:r>
      <w:r>
        <w:rPr>
          <w:rFonts w:ascii="Arial" w:hAnsi="Arial" w:cs="Arial"/>
          <w:szCs w:val="24"/>
        </w:rPr>
        <w:t>s, primarily to “position for the future”.</w:t>
      </w:r>
      <w:r w:rsidR="00423E6A">
        <w:rPr>
          <w:rFonts w:ascii="Arial" w:hAnsi="Arial" w:cs="Arial"/>
          <w:szCs w:val="24"/>
        </w:rPr>
        <w:t xml:space="preserve">  These additional positions would likely be proposed to be added in the Executive’s proposed 2017/2018 biennial budget.</w:t>
      </w:r>
    </w:p>
    <w:p w14:paraId="1D90F491" w14:textId="77777777" w:rsidR="00423E6A" w:rsidRDefault="00423E6A" w:rsidP="003201AC">
      <w:pPr>
        <w:jc w:val="both"/>
        <w:rPr>
          <w:rFonts w:ascii="Arial" w:hAnsi="Arial" w:cs="Arial"/>
          <w:szCs w:val="24"/>
        </w:rPr>
      </w:pPr>
    </w:p>
    <w:p w14:paraId="1AB3B373" w14:textId="5568626A" w:rsidR="003201AC" w:rsidRDefault="003201AC" w:rsidP="003201AC">
      <w:pPr>
        <w:jc w:val="both"/>
        <w:rPr>
          <w:rFonts w:ascii="Arial" w:hAnsi="Arial" w:cs="Arial"/>
          <w:szCs w:val="24"/>
        </w:rPr>
      </w:pPr>
      <w:r>
        <w:rPr>
          <w:rFonts w:ascii="Arial" w:hAnsi="Arial" w:cs="Arial"/>
          <w:szCs w:val="24"/>
        </w:rPr>
        <w:t xml:space="preserve">In </w:t>
      </w:r>
      <w:r w:rsidR="00423E6A">
        <w:rPr>
          <w:rFonts w:ascii="Arial" w:hAnsi="Arial" w:cs="Arial"/>
          <w:szCs w:val="24"/>
        </w:rPr>
        <w:t>describing the proposed new FTE</w:t>
      </w:r>
      <w:r>
        <w:rPr>
          <w:rFonts w:ascii="Arial" w:hAnsi="Arial" w:cs="Arial"/>
          <w:szCs w:val="24"/>
        </w:rPr>
        <w:t xml:space="preserve">s, the </w:t>
      </w:r>
      <w:r w:rsidR="00BD021A">
        <w:rPr>
          <w:rFonts w:ascii="Arial" w:hAnsi="Arial" w:cs="Arial"/>
          <w:szCs w:val="24"/>
        </w:rPr>
        <w:t>rate s</w:t>
      </w:r>
      <w:r>
        <w:rPr>
          <w:rFonts w:ascii="Arial" w:hAnsi="Arial" w:cs="Arial"/>
          <w:szCs w:val="24"/>
        </w:rPr>
        <w:t xml:space="preserve">tudy defines four major categories of expenditure:  Sustain Current Services; Replace Aging Equipment; Fortify Cedar Hills Landfill Reserve Fund; and Maintain Closed Landfills.  </w:t>
      </w:r>
    </w:p>
    <w:p w14:paraId="7AF80F93" w14:textId="77777777" w:rsidR="003201AC" w:rsidRDefault="003201AC" w:rsidP="003201AC">
      <w:pPr>
        <w:jc w:val="both"/>
        <w:rPr>
          <w:rFonts w:ascii="Arial" w:hAnsi="Arial" w:cs="Arial"/>
          <w:szCs w:val="24"/>
        </w:rPr>
      </w:pPr>
    </w:p>
    <w:p w14:paraId="197A8193" w14:textId="77777777" w:rsidR="003201AC" w:rsidRPr="00292B3A" w:rsidRDefault="003201AC" w:rsidP="003201AC">
      <w:pPr>
        <w:jc w:val="both"/>
        <w:rPr>
          <w:rFonts w:ascii="Arial" w:hAnsi="Arial" w:cs="Arial"/>
          <w:szCs w:val="24"/>
          <w:u w:val="single"/>
        </w:rPr>
      </w:pPr>
      <w:r w:rsidRPr="00292B3A">
        <w:rPr>
          <w:rFonts w:ascii="Arial" w:hAnsi="Arial" w:cs="Arial"/>
          <w:szCs w:val="24"/>
          <w:u w:val="single"/>
        </w:rPr>
        <w:t>Sustain Current Services</w:t>
      </w:r>
    </w:p>
    <w:p w14:paraId="0BC9B1F5" w14:textId="77777777" w:rsidR="003201AC" w:rsidRDefault="003201AC" w:rsidP="003201AC">
      <w:pPr>
        <w:jc w:val="both"/>
        <w:rPr>
          <w:rFonts w:ascii="Arial" w:hAnsi="Arial" w:cs="Arial"/>
          <w:szCs w:val="24"/>
        </w:rPr>
      </w:pPr>
      <w:r>
        <w:rPr>
          <w:rFonts w:ascii="Arial" w:hAnsi="Arial" w:cs="Arial"/>
          <w:szCs w:val="24"/>
        </w:rPr>
        <w:t>A number of the increased expenditures in this category will be familiar to the Council.  In response to a proviso, the Executive, earlier this year, provided a report on closed landfills, noting that six landfills for which the County has responsibility are beyond their minimum monitoring date—but that there are continuing needs for managing environmental systems at the landfills, and the State Department of Ecology has not indicated any near-term date for termination of monitoring responsibility.  This appears to represent a mandate for continuing expenditures to manage these custodial facilities.</w:t>
      </w:r>
    </w:p>
    <w:p w14:paraId="53BCB767" w14:textId="77777777" w:rsidR="003201AC" w:rsidRDefault="003201AC" w:rsidP="003201AC">
      <w:pPr>
        <w:jc w:val="both"/>
        <w:rPr>
          <w:rFonts w:ascii="Arial" w:hAnsi="Arial" w:cs="Arial"/>
          <w:szCs w:val="24"/>
        </w:rPr>
      </w:pPr>
    </w:p>
    <w:p w14:paraId="09D4DB7D" w14:textId="7B5A3839" w:rsidR="003201AC" w:rsidRDefault="003201AC" w:rsidP="003201AC">
      <w:pPr>
        <w:jc w:val="both"/>
        <w:rPr>
          <w:rFonts w:ascii="Arial" w:hAnsi="Arial" w:cs="Arial"/>
          <w:szCs w:val="24"/>
        </w:rPr>
      </w:pPr>
      <w:r>
        <w:rPr>
          <w:rFonts w:ascii="Arial" w:hAnsi="Arial" w:cs="Arial"/>
          <w:szCs w:val="24"/>
        </w:rPr>
        <w:t>This category also describes the need to pay for inflationary increases, and to replace aging equipment.  It further re</w:t>
      </w:r>
      <w:r w:rsidR="00423E6A">
        <w:rPr>
          <w:rFonts w:ascii="Arial" w:hAnsi="Arial" w:cs="Arial"/>
          <w:szCs w:val="24"/>
        </w:rPr>
        <w:t>fers to the need to pay for FTE</w:t>
      </w:r>
      <w:r>
        <w:rPr>
          <w:rFonts w:ascii="Arial" w:hAnsi="Arial" w:cs="Arial"/>
          <w:szCs w:val="24"/>
        </w:rPr>
        <w:t xml:space="preserve">s required to process increased tonnage at transfer stations.  Specifically, the study refers to 10.25 new positions to “provide additional support at transfer stations and for transportation services to respond to increased solid waste tonnage, new station design, and expanded recycling services.”  However, as the table below demonstrates, system tonnage is anticipated to decline over the coming biennium:  </w:t>
      </w:r>
    </w:p>
    <w:p w14:paraId="45F5018F" w14:textId="77777777" w:rsidR="003201AC" w:rsidRDefault="003201AC" w:rsidP="003201AC">
      <w:pPr>
        <w:jc w:val="both"/>
        <w:rPr>
          <w:rFonts w:ascii="Arial" w:hAnsi="Arial" w:cs="Arial"/>
          <w:szCs w:val="24"/>
        </w:rPr>
      </w:pPr>
    </w:p>
    <w:p w14:paraId="634998CC" w14:textId="77777777" w:rsidR="003201AC" w:rsidRPr="00292B3A" w:rsidRDefault="003201AC" w:rsidP="003201AC">
      <w:pPr>
        <w:jc w:val="center"/>
        <w:rPr>
          <w:rFonts w:ascii="Arial" w:hAnsi="Arial" w:cs="Arial"/>
          <w:b/>
          <w:szCs w:val="24"/>
          <w:u w:val="single"/>
        </w:rPr>
      </w:pPr>
      <w:r w:rsidRPr="00292B3A">
        <w:rPr>
          <w:rFonts w:ascii="Arial" w:hAnsi="Arial" w:cs="Arial"/>
          <w:b/>
          <w:szCs w:val="24"/>
          <w:u w:val="single"/>
        </w:rPr>
        <w:t>Table 3.  Growth of Transportation and Transfer Staff v. System Tonnage</w:t>
      </w:r>
    </w:p>
    <w:p w14:paraId="1977BFC0" w14:textId="77777777" w:rsidR="003201AC" w:rsidRDefault="003201AC" w:rsidP="003201AC">
      <w:pPr>
        <w:jc w:val="center"/>
        <w:rPr>
          <w:rFonts w:ascii="Arial" w:hAnsi="Arial" w:cs="Arial"/>
          <w:szCs w:val="24"/>
        </w:rPr>
      </w:pPr>
      <w:r>
        <w:rPr>
          <w:rFonts w:ascii="Arial" w:hAnsi="Arial" w:cs="Arial"/>
          <w:szCs w:val="24"/>
        </w:rPr>
        <w:t>(2017-2018 staffing based on proposed rate)</w:t>
      </w:r>
    </w:p>
    <w:p w14:paraId="2203E2F9" w14:textId="77777777" w:rsidR="003201AC" w:rsidRDefault="003201AC" w:rsidP="003201AC">
      <w:pPr>
        <w:jc w:val="both"/>
        <w:rPr>
          <w:rFonts w:ascii="Arial" w:hAnsi="Arial" w:cs="Arial"/>
          <w:szCs w:val="24"/>
        </w:rPr>
      </w:pPr>
    </w:p>
    <w:p w14:paraId="0A27231B" w14:textId="77777777" w:rsidR="003201AC" w:rsidRPr="007B1B1A" w:rsidRDefault="003201AC" w:rsidP="003201AC">
      <w:pPr>
        <w:jc w:val="both"/>
        <w:rPr>
          <w:rFonts w:ascii="Arial" w:hAnsi="Arial" w:cs="Arial"/>
          <w:szCs w:val="24"/>
        </w:rPr>
      </w:pPr>
      <w:r>
        <w:rPr>
          <w:noProof/>
        </w:rPr>
        <w:drawing>
          <wp:inline distT="0" distB="0" distL="0" distR="0" wp14:anchorId="4448C5AE" wp14:editId="36D46EC4">
            <wp:extent cx="5725297" cy="2709545"/>
            <wp:effectExtent l="0" t="0" r="889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7A8293" w14:textId="77777777" w:rsidR="003201AC" w:rsidRDefault="003201AC" w:rsidP="003201AC">
      <w:pPr>
        <w:jc w:val="both"/>
        <w:rPr>
          <w:rFonts w:ascii="Arial" w:hAnsi="Arial" w:cs="Arial"/>
          <w:b/>
          <w:szCs w:val="24"/>
          <w:u w:val="single"/>
        </w:rPr>
      </w:pPr>
    </w:p>
    <w:p w14:paraId="68F00AFB" w14:textId="77777777" w:rsidR="003201AC" w:rsidRDefault="003201AC" w:rsidP="003201AC">
      <w:pPr>
        <w:jc w:val="both"/>
        <w:rPr>
          <w:rFonts w:ascii="Arial" w:hAnsi="Arial" w:cs="Arial"/>
          <w:szCs w:val="24"/>
        </w:rPr>
      </w:pPr>
      <w:r>
        <w:rPr>
          <w:rFonts w:ascii="Arial" w:hAnsi="Arial" w:cs="Arial"/>
          <w:szCs w:val="24"/>
        </w:rPr>
        <w:t xml:space="preserve">Transfer staff are those located at system transfer stations, responsible for cashiering, operating waste-moving equipment, assisting customers, and similar functions.  Transportation staff drive loaded tractor/trailers from transfer stations to Cedar Hills.  This table notes that, while tonnage is expected to decline in the coming biennium, the </w:t>
      </w:r>
      <w:r>
        <w:rPr>
          <w:rFonts w:ascii="Arial" w:hAnsi="Arial" w:cs="Arial"/>
          <w:szCs w:val="24"/>
        </w:rPr>
        <w:lastRenderedPageBreak/>
        <w:t xml:space="preserve">proposed fee would support an increase in staff intended to manage that declining waste flow.  </w:t>
      </w:r>
    </w:p>
    <w:p w14:paraId="5BE22742" w14:textId="77777777" w:rsidR="003201AC" w:rsidRDefault="003201AC" w:rsidP="003201AC">
      <w:pPr>
        <w:jc w:val="both"/>
        <w:rPr>
          <w:rFonts w:ascii="Arial" w:hAnsi="Arial" w:cs="Arial"/>
          <w:szCs w:val="24"/>
        </w:rPr>
      </w:pPr>
    </w:p>
    <w:p w14:paraId="0E08F448" w14:textId="77777777" w:rsidR="003201AC" w:rsidRPr="00292B3A" w:rsidRDefault="003201AC" w:rsidP="003201AC">
      <w:pPr>
        <w:jc w:val="both"/>
        <w:rPr>
          <w:rFonts w:ascii="Arial" w:hAnsi="Arial" w:cs="Arial"/>
          <w:szCs w:val="24"/>
          <w:u w:val="single"/>
        </w:rPr>
      </w:pPr>
      <w:r>
        <w:rPr>
          <w:rFonts w:ascii="Arial" w:hAnsi="Arial" w:cs="Arial"/>
          <w:szCs w:val="24"/>
          <w:u w:val="single"/>
        </w:rPr>
        <w:t>Resource Recovery</w:t>
      </w:r>
    </w:p>
    <w:p w14:paraId="089037D1" w14:textId="636A626B" w:rsidR="003201AC" w:rsidRDefault="003201AC" w:rsidP="003201AC">
      <w:pPr>
        <w:jc w:val="both"/>
        <w:rPr>
          <w:rFonts w:ascii="Arial" w:hAnsi="Arial" w:cs="Arial"/>
          <w:szCs w:val="24"/>
        </w:rPr>
      </w:pPr>
      <w:r>
        <w:rPr>
          <w:rFonts w:ascii="Arial" w:hAnsi="Arial" w:cs="Arial"/>
          <w:szCs w:val="24"/>
        </w:rPr>
        <w:t>The Rate Study does not provide specifics regarding the</w:t>
      </w:r>
      <w:r w:rsidR="00423E6A">
        <w:rPr>
          <w:rFonts w:ascii="Arial" w:hAnsi="Arial" w:cs="Arial"/>
          <w:szCs w:val="24"/>
        </w:rPr>
        <w:t xml:space="preserve"> functions of the 10.25 new FTE</w:t>
      </w:r>
      <w:r>
        <w:rPr>
          <w:rFonts w:ascii="Arial" w:hAnsi="Arial" w:cs="Arial"/>
          <w:szCs w:val="24"/>
        </w:rPr>
        <w:t xml:space="preserve">s associated with the “Sustain Current Services” category.  Staff will inquire further regarding the function of these positions, and specifically whether some may be additional “resource recovery” positions.  In the 2015-2016 budget, the Executive requested, and the Council approved, 9 new positions designated to sort through waste piles at transfer stations, pulling out recyclable wood, metal and cardboard.  These positions were to be located at First Northeast, Enumclaw and Bow Lake transfer stations.  Questions were raised at the time regarding the cost-benefit of these positions, and Council </w:t>
      </w:r>
      <w:proofErr w:type="spellStart"/>
      <w:r>
        <w:rPr>
          <w:rFonts w:ascii="Arial" w:hAnsi="Arial" w:cs="Arial"/>
          <w:szCs w:val="24"/>
        </w:rPr>
        <w:t>proviso’d</w:t>
      </w:r>
      <w:proofErr w:type="spellEnd"/>
      <w:r>
        <w:rPr>
          <w:rFonts w:ascii="Arial" w:hAnsi="Arial" w:cs="Arial"/>
          <w:szCs w:val="24"/>
        </w:rPr>
        <w:t xml:space="preserve"> the budget with a requirement for consideration of a “self-haul surcharge” as an alternative approach to attaining progress in self-haul recycling and resource recovery.  Such a surcharge would be placed on self-haulers who choose not to sort their loads.  Commercial haulers deliver loads from residences and businesses that have largely been pre-sorted at the curbside; this suggests that residents and businesses, who utilize and pay for separate curbside collection of recyclables, </w:t>
      </w:r>
      <w:r w:rsidR="003627EB">
        <w:rPr>
          <w:rFonts w:ascii="Arial" w:hAnsi="Arial" w:cs="Arial"/>
          <w:szCs w:val="24"/>
        </w:rPr>
        <w:t>would be</w:t>
      </w:r>
      <w:r>
        <w:rPr>
          <w:rFonts w:ascii="Arial" w:hAnsi="Arial" w:cs="Arial"/>
          <w:szCs w:val="24"/>
        </w:rPr>
        <w:t xml:space="preserve"> asked to further pay for sorting waste piles at the transfer stations.  About 80% of the transfer station volumes are the pre-sorted household/business volumes; the remainder </w:t>
      </w:r>
      <w:r w:rsidR="003627EB">
        <w:rPr>
          <w:rFonts w:ascii="Arial" w:hAnsi="Arial" w:cs="Arial"/>
          <w:szCs w:val="24"/>
        </w:rPr>
        <w:t>are</w:t>
      </w:r>
      <w:r>
        <w:rPr>
          <w:rFonts w:ascii="Arial" w:hAnsi="Arial" w:cs="Arial"/>
          <w:szCs w:val="24"/>
        </w:rPr>
        <w:t xml:space="preserve"> self-haul volumes that are often not pre-sorted.  </w:t>
      </w:r>
    </w:p>
    <w:p w14:paraId="1FB9EF3F" w14:textId="77777777" w:rsidR="003201AC" w:rsidRDefault="003201AC" w:rsidP="003201AC">
      <w:pPr>
        <w:jc w:val="both"/>
        <w:rPr>
          <w:rFonts w:ascii="Arial" w:hAnsi="Arial" w:cs="Arial"/>
          <w:szCs w:val="24"/>
        </w:rPr>
      </w:pPr>
    </w:p>
    <w:p w14:paraId="3B1BFEB5" w14:textId="77777777" w:rsidR="003201AC" w:rsidRDefault="003201AC" w:rsidP="003201AC">
      <w:pPr>
        <w:jc w:val="both"/>
        <w:rPr>
          <w:rFonts w:ascii="Arial" w:hAnsi="Arial" w:cs="Arial"/>
          <w:szCs w:val="24"/>
        </w:rPr>
      </w:pPr>
      <w:r>
        <w:rPr>
          <w:rFonts w:ascii="Arial" w:hAnsi="Arial" w:cs="Arial"/>
          <w:szCs w:val="24"/>
        </w:rPr>
        <w:t>Staff is seeking further information as to the specific functions of the proposed additional transfer station staff.</w:t>
      </w:r>
    </w:p>
    <w:p w14:paraId="3C072FC9" w14:textId="77777777" w:rsidR="003201AC" w:rsidRDefault="003201AC" w:rsidP="003201AC">
      <w:pPr>
        <w:jc w:val="both"/>
        <w:rPr>
          <w:rFonts w:ascii="Arial" w:hAnsi="Arial" w:cs="Arial"/>
          <w:szCs w:val="24"/>
        </w:rPr>
      </w:pPr>
    </w:p>
    <w:p w14:paraId="7AC0F72D" w14:textId="77777777" w:rsidR="00BD021A" w:rsidRPr="00BD021A" w:rsidRDefault="00BD021A" w:rsidP="003201AC">
      <w:pPr>
        <w:jc w:val="both"/>
        <w:rPr>
          <w:rFonts w:ascii="Arial" w:hAnsi="Arial" w:cs="Arial"/>
          <w:szCs w:val="24"/>
          <w:u w:val="single"/>
        </w:rPr>
      </w:pPr>
      <w:r>
        <w:rPr>
          <w:rFonts w:ascii="Arial" w:hAnsi="Arial" w:cs="Arial"/>
          <w:szCs w:val="24"/>
          <w:u w:val="single"/>
        </w:rPr>
        <w:t>Transportation Services</w:t>
      </w:r>
    </w:p>
    <w:p w14:paraId="57D76C49" w14:textId="77777777" w:rsidR="003201AC" w:rsidRDefault="003201AC" w:rsidP="003201AC">
      <w:pPr>
        <w:jc w:val="both"/>
        <w:rPr>
          <w:rFonts w:ascii="Arial" w:hAnsi="Arial" w:cs="Arial"/>
          <w:szCs w:val="24"/>
        </w:rPr>
      </w:pPr>
      <w:r>
        <w:rPr>
          <w:rFonts w:ascii="Arial" w:hAnsi="Arial" w:cs="Arial"/>
          <w:szCs w:val="24"/>
        </w:rPr>
        <w:t xml:space="preserve">The </w:t>
      </w:r>
      <w:r w:rsidR="00BD021A">
        <w:rPr>
          <w:rFonts w:ascii="Arial" w:hAnsi="Arial" w:cs="Arial"/>
          <w:szCs w:val="24"/>
        </w:rPr>
        <w:t>r</w:t>
      </w:r>
      <w:r>
        <w:rPr>
          <w:rFonts w:ascii="Arial" w:hAnsi="Arial" w:cs="Arial"/>
          <w:szCs w:val="24"/>
        </w:rPr>
        <w:t xml:space="preserve">ate </w:t>
      </w:r>
      <w:r w:rsidR="00BD021A">
        <w:rPr>
          <w:rFonts w:ascii="Arial" w:hAnsi="Arial" w:cs="Arial"/>
          <w:szCs w:val="24"/>
        </w:rPr>
        <w:t>s</w:t>
      </w:r>
      <w:r>
        <w:rPr>
          <w:rFonts w:ascii="Arial" w:hAnsi="Arial" w:cs="Arial"/>
          <w:szCs w:val="24"/>
        </w:rPr>
        <w:t xml:space="preserve">tudy also refers to additional support for “transportation services”, as noted.  In early discussions regarding the transfer station upgrade project, one of the key reasons offered for constructing new transfer stations was the placement of “compactors” that would compress waste loads for placement in trailers bound for Cedar Hills, with the expectation of substantial reduction in the numbers of tractor/trailer trips required from transfer stations.  The </w:t>
      </w:r>
      <w:proofErr w:type="spellStart"/>
      <w:r>
        <w:rPr>
          <w:rFonts w:ascii="Arial" w:hAnsi="Arial" w:cs="Arial"/>
          <w:szCs w:val="24"/>
        </w:rPr>
        <w:t>Factoria</w:t>
      </w:r>
      <w:proofErr w:type="spellEnd"/>
      <w:r>
        <w:rPr>
          <w:rFonts w:ascii="Arial" w:hAnsi="Arial" w:cs="Arial"/>
          <w:szCs w:val="24"/>
        </w:rPr>
        <w:t xml:space="preserve"> Recycling and Transfer Station, largely completed, is making operational use of the new compactor at the station; June 2016 numbers show a 10% increase in tonnage over June 2015, but a 17% decline in numbers of loads leaving for Cedar Hills from that transfer station, from 533 to 443 trips.  A similar decline was seen upon the completion of the Bow Lake Recycling and Transfer Station several years ago.</w:t>
      </w:r>
    </w:p>
    <w:p w14:paraId="7E621EEE" w14:textId="77777777" w:rsidR="003201AC" w:rsidRDefault="003201AC" w:rsidP="003201AC">
      <w:pPr>
        <w:jc w:val="both"/>
        <w:rPr>
          <w:rFonts w:ascii="Arial" w:hAnsi="Arial" w:cs="Arial"/>
          <w:szCs w:val="24"/>
        </w:rPr>
      </w:pPr>
    </w:p>
    <w:p w14:paraId="15499EAE" w14:textId="77777777" w:rsidR="003201AC" w:rsidRDefault="003201AC" w:rsidP="003201AC">
      <w:pPr>
        <w:jc w:val="both"/>
        <w:rPr>
          <w:rFonts w:ascii="Arial" w:hAnsi="Arial" w:cs="Arial"/>
          <w:szCs w:val="24"/>
        </w:rPr>
      </w:pPr>
      <w:r>
        <w:rPr>
          <w:rFonts w:ascii="Arial" w:hAnsi="Arial" w:cs="Arial"/>
          <w:szCs w:val="24"/>
        </w:rPr>
        <w:t xml:space="preserve">In light of these considerations, staff analysis is continuing on the need for additional transfer station/transportation staff, as well as rate levels for self-haul.     </w:t>
      </w:r>
    </w:p>
    <w:p w14:paraId="44592365" w14:textId="77777777" w:rsidR="003201AC" w:rsidRDefault="003201AC" w:rsidP="003201AC">
      <w:pPr>
        <w:jc w:val="both"/>
        <w:rPr>
          <w:rFonts w:ascii="Arial" w:hAnsi="Arial" w:cs="Arial"/>
          <w:szCs w:val="24"/>
        </w:rPr>
      </w:pPr>
    </w:p>
    <w:p w14:paraId="2AAFBDA6" w14:textId="77777777" w:rsidR="003201AC" w:rsidRPr="00292B3A" w:rsidRDefault="003201AC" w:rsidP="003201AC">
      <w:pPr>
        <w:jc w:val="both"/>
        <w:rPr>
          <w:rFonts w:ascii="Arial" w:hAnsi="Arial" w:cs="Arial"/>
          <w:szCs w:val="24"/>
          <w:u w:val="single"/>
        </w:rPr>
      </w:pPr>
      <w:r>
        <w:rPr>
          <w:rFonts w:ascii="Arial" w:hAnsi="Arial" w:cs="Arial"/>
          <w:szCs w:val="24"/>
          <w:u w:val="single"/>
        </w:rPr>
        <w:t>Self-Haul/Recycling</w:t>
      </w:r>
    </w:p>
    <w:p w14:paraId="330B489F" w14:textId="4C64C97D" w:rsidR="003201AC" w:rsidRDefault="003201AC" w:rsidP="003201AC">
      <w:pPr>
        <w:jc w:val="both"/>
        <w:rPr>
          <w:rFonts w:ascii="Arial" w:hAnsi="Arial" w:cs="Arial"/>
          <w:szCs w:val="24"/>
        </w:rPr>
      </w:pPr>
      <w:r>
        <w:rPr>
          <w:rFonts w:ascii="Arial" w:hAnsi="Arial" w:cs="Arial"/>
          <w:szCs w:val="24"/>
        </w:rPr>
        <w:t xml:space="preserve">Self-haulers include clients who generate waste in different ways, including residents with large loads who are doing a major clean-up project, or who may not subscribe to </w:t>
      </w:r>
      <w:r w:rsidR="00423E6A">
        <w:rPr>
          <w:rFonts w:ascii="Arial" w:hAnsi="Arial" w:cs="Arial"/>
          <w:szCs w:val="24"/>
        </w:rPr>
        <w:t xml:space="preserve">curbside service; landscapers; </w:t>
      </w:r>
      <w:r>
        <w:rPr>
          <w:rFonts w:ascii="Arial" w:hAnsi="Arial" w:cs="Arial"/>
          <w:szCs w:val="24"/>
        </w:rPr>
        <w:t>home rehabilitation contractors; and others.  According to the most recent waste monitoring survey,</w:t>
      </w:r>
      <w:r w:rsidR="00423E6A">
        <w:rPr>
          <w:rStyle w:val="FootnoteReference"/>
          <w:rFonts w:ascii="Arial" w:hAnsi="Arial" w:cs="Arial"/>
          <w:szCs w:val="24"/>
        </w:rPr>
        <w:footnoteReference w:id="3"/>
      </w:r>
      <w:r>
        <w:rPr>
          <w:rFonts w:ascii="Arial" w:hAnsi="Arial" w:cs="Arial"/>
          <w:szCs w:val="24"/>
        </w:rPr>
        <w:t xml:space="preserve"> 11% of visitors to transfer station indicate that it is cheaper, or it saves them money.  Thirty-two percent of self-haul customers report that they do not subscribe to curbside garbage service at home.</w:t>
      </w:r>
      <w:r w:rsidR="00423E6A">
        <w:rPr>
          <w:rStyle w:val="FootnoteReference"/>
          <w:rFonts w:ascii="Arial" w:hAnsi="Arial" w:cs="Arial"/>
          <w:szCs w:val="24"/>
        </w:rPr>
        <w:footnoteReference w:id="4"/>
      </w:r>
      <w:r>
        <w:rPr>
          <w:rFonts w:ascii="Arial" w:hAnsi="Arial" w:cs="Arial"/>
          <w:szCs w:val="24"/>
        </w:rPr>
        <w:t xml:space="preserve">  Concurrently, self-haulers </w:t>
      </w:r>
      <w:r>
        <w:rPr>
          <w:rFonts w:ascii="Arial" w:hAnsi="Arial" w:cs="Arial"/>
          <w:szCs w:val="24"/>
        </w:rPr>
        <w:lastRenderedPageBreak/>
        <w:t>are among the lowest recycling waste generators; in 2011, they generated 208,815 tons</w:t>
      </w:r>
      <w:r w:rsidR="001C6D77">
        <w:rPr>
          <w:rFonts w:ascii="Arial" w:hAnsi="Arial" w:cs="Arial"/>
          <w:szCs w:val="24"/>
        </w:rPr>
        <w:t xml:space="preserve"> of garbage</w:t>
      </w:r>
      <w:r>
        <w:rPr>
          <w:rFonts w:ascii="Arial" w:hAnsi="Arial" w:cs="Arial"/>
          <w:szCs w:val="24"/>
        </w:rPr>
        <w:t>, of which 9,630 tons were recycled (4.6%).  Meanwhile, single family residents generated 376,537 tons</w:t>
      </w:r>
      <w:r w:rsidR="001C6D77">
        <w:rPr>
          <w:rFonts w:ascii="Arial" w:hAnsi="Arial" w:cs="Arial"/>
          <w:szCs w:val="24"/>
        </w:rPr>
        <w:t xml:space="preserve"> of garbage</w:t>
      </w:r>
      <w:r>
        <w:rPr>
          <w:rFonts w:ascii="Arial" w:hAnsi="Arial" w:cs="Arial"/>
          <w:szCs w:val="24"/>
        </w:rPr>
        <w:t xml:space="preserve"> in 2011, of which 248,727 w</w:t>
      </w:r>
      <w:r w:rsidR="001C6D77">
        <w:rPr>
          <w:rFonts w:ascii="Arial" w:hAnsi="Arial" w:cs="Arial"/>
          <w:szCs w:val="24"/>
        </w:rPr>
        <w:t>ere</w:t>
      </w:r>
      <w:r>
        <w:rPr>
          <w:rFonts w:ascii="Arial" w:hAnsi="Arial" w:cs="Arial"/>
          <w:szCs w:val="24"/>
        </w:rPr>
        <w:t xml:space="preserve"> recycled (66%)</w:t>
      </w:r>
      <w:r>
        <w:rPr>
          <w:rStyle w:val="FootnoteReference"/>
          <w:rFonts w:ascii="Arial" w:hAnsi="Arial" w:cs="Arial"/>
          <w:szCs w:val="24"/>
        </w:rPr>
        <w:footnoteReference w:id="5"/>
      </w:r>
      <w:r>
        <w:rPr>
          <w:rFonts w:ascii="Arial" w:hAnsi="Arial" w:cs="Arial"/>
          <w:szCs w:val="24"/>
        </w:rPr>
        <w:t>.</w:t>
      </w:r>
    </w:p>
    <w:p w14:paraId="52EDC1E5" w14:textId="77777777" w:rsidR="003201AC" w:rsidRDefault="003201AC" w:rsidP="003201AC">
      <w:pPr>
        <w:jc w:val="both"/>
        <w:rPr>
          <w:rFonts w:ascii="Arial" w:hAnsi="Arial" w:cs="Arial"/>
          <w:szCs w:val="24"/>
        </w:rPr>
      </w:pPr>
    </w:p>
    <w:p w14:paraId="063448A2" w14:textId="35D02F3D" w:rsidR="003201AC" w:rsidRDefault="003201AC" w:rsidP="003201AC">
      <w:pPr>
        <w:jc w:val="both"/>
        <w:rPr>
          <w:rFonts w:ascii="Arial" w:hAnsi="Arial" w:cs="Arial"/>
          <w:szCs w:val="24"/>
        </w:rPr>
      </w:pPr>
      <w:r>
        <w:rPr>
          <w:rFonts w:ascii="Arial" w:hAnsi="Arial" w:cs="Arial"/>
          <w:szCs w:val="24"/>
        </w:rPr>
        <w:t>The Executive is proposing increasing self-haul fees</w:t>
      </w:r>
      <w:r w:rsidR="001C6D77">
        <w:rPr>
          <w:rFonts w:ascii="Arial" w:hAnsi="Arial" w:cs="Arial"/>
          <w:szCs w:val="24"/>
        </w:rPr>
        <w:t xml:space="preserve"> from $19.22</w:t>
      </w:r>
      <w:r>
        <w:rPr>
          <w:rFonts w:ascii="Arial" w:hAnsi="Arial" w:cs="Arial"/>
          <w:szCs w:val="24"/>
        </w:rPr>
        <w:t xml:space="preserve"> to $22.08 per entry (plus tax/MHW fee)</w:t>
      </w:r>
      <w:r w:rsidR="001C6D77">
        <w:rPr>
          <w:rFonts w:ascii="Arial" w:hAnsi="Arial" w:cs="Arial"/>
          <w:szCs w:val="24"/>
        </w:rPr>
        <w:t>—</w:t>
      </w:r>
      <w:proofErr w:type="gramStart"/>
      <w:r w:rsidR="001C6D77">
        <w:rPr>
          <w:rFonts w:ascii="Arial" w:hAnsi="Arial" w:cs="Arial"/>
          <w:szCs w:val="24"/>
        </w:rPr>
        <w:t>an</w:t>
      </w:r>
      <w:proofErr w:type="gramEnd"/>
      <w:r w:rsidR="001C6D77">
        <w:rPr>
          <w:rFonts w:ascii="Arial" w:hAnsi="Arial" w:cs="Arial"/>
          <w:szCs w:val="24"/>
        </w:rPr>
        <w:t xml:space="preserve"> increase of 14.8%</w:t>
      </w:r>
      <w:r w:rsidR="00423E6A">
        <w:rPr>
          <w:rFonts w:ascii="Arial" w:hAnsi="Arial" w:cs="Arial"/>
          <w:szCs w:val="24"/>
        </w:rPr>
        <w:t>.</w:t>
      </w:r>
      <w:r>
        <w:rPr>
          <w:rFonts w:ascii="Arial" w:hAnsi="Arial" w:cs="Arial"/>
          <w:szCs w:val="24"/>
        </w:rPr>
        <w:t xml:space="preserve">  This increased rate </w:t>
      </w:r>
      <w:r w:rsidR="00423E6A">
        <w:rPr>
          <w:rFonts w:ascii="Arial" w:hAnsi="Arial" w:cs="Arial"/>
          <w:szCs w:val="24"/>
        </w:rPr>
        <w:t>will continue to leave the self-</w:t>
      </w:r>
      <w:r>
        <w:rPr>
          <w:rFonts w:ascii="Arial" w:hAnsi="Arial" w:cs="Arial"/>
          <w:szCs w:val="24"/>
        </w:rPr>
        <w:t xml:space="preserve">haul fee below that of local jurisdictions, except Snohomish County.  Seattle’s minimum self-haul fee is $30; Pierce County’s minimum fee is $26.73 (plus tax).  Snohomish County’s self-haul fee is $20, which includes tax.  Concurrently, many </w:t>
      </w:r>
      <w:r w:rsidR="001C6D77">
        <w:rPr>
          <w:rFonts w:ascii="Arial" w:hAnsi="Arial" w:cs="Arial"/>
          <w:szCs w:val="24"/>
        </w:rPr>
        <w:t xml:space="preserve">self-haul </w:t>
      </w:r>
      <w:r>
        <w:rPr>
          <w:rFonts w:ascii="Arial" w:hAnsi="Arial" w:cs="Arial"/>
          <w:szCs w:val="24"/>
        </w:rPr>
        <w:t xml:space="preserve">users of King County transfer facilities </w:t>
      </w:r>
      <w:r w:rsidR="001C6D77">
        <w:rPr>
          <w:rFonts w:ascii="Arial" w:hAnsi="Arial" w:cs="Arial"/>
          <w:szCs w:val="24"/>
        </w:rPr>
        <w:t>do not live in jurisdictions that are</w:t>
      </w:r>
      <w:r>
        <w:rPr>
          <w:rFonts w:ascii="Arial" w:hAnsi="Arial" w:cs="Arial"/>
          <w:szCs w:val="24"/>
        </w:rPr>
        <w:t xml:space="preserve"> system participants.  According to the Transfer Plan Review Final Report</w:t>
      </w:r>
      <w:r>
        <w:rPr>
          <w:rStyle w:val="FootnoteReference"/>
          <w:rFonts w:ascii="Arial" w:hAnsi="Arial" w:cs="Arial"/>
          <w:szCs w:val="24"/>
        </w:rPr>
        <w:footnoteReference w:id="6"/>
      </w:r>
      <w:r>
        <w:rPr>
          <w:rFonts w:ascii="Arial" w:hAnsi="Arial" w:cs="Arial"/>
          <w:szCs w:val="24"/>
        </w:rPr>
        <w:t>, 10% of Bow Lake weekend users are Seattle residents</w:t>
      </w:r>
      <w:r w:rsidR="001C6D77">
        <w:rPr>
          <w:rFonts w:ascii="Arial" w:hAnsi="Arial" w:cs="Arial"/>
          <w:szCs w:val="24"/>
        </w:rPr>
        <w:t xml:space="preserve"> (Seattle is not a participant in the regional system)</w:t>
      </w:r>
      <w:r>
        <w:rPr>
          <w:rFonts w:ascii="Arial" w:hAnsi="Arial" w:cs="Arial"/>
          <w:szCs w:val="24"/>
        </w:rPr>
        <w:t xml:space="preserve">; 61% of First Northeast (Shoreline) weekday users are Seattle residents (some proportion may return to the Seattle system upon completion of the Seattle North station, though </w:t>
      </w:r>
      <w:r w:rsidR="001C6D77">
        <w:rPr>
          <w:rFonts w:ascii="Arial" w:hAnsi="Arial" w:cs="Arial"/>
          <w:szCs w:val="24"/>
        </w:rPr>
        <w:t xml:space="preserve">Seattle minimum </w:t>
      </w:r>
      <w:r>
        <w:rPr>
          <w:rFonts w:ascii="Arial" w:hAnsi="Arial" w:cs="Arial"/>
          <w:szCs w:val="24"/>
        </w:rPr>
        <w:t>fees there are substantially higher, and cues may be longer); and 9% of First Northeast weekday users are from Snohomish County.</w:t>
      </w:r>
    </w:p>
    <w:p w14:paraId="1ED32B8C" w14:textId="77777777" w:rsidR="001C6D77" w:rsidRDefault="001C6D77" w:rsidP="003201AC">
      <w:pPr>
        <w:jc w:val="both"/>
        <w:rPr>
          <w:rFonts w:ascii="Arial" w:hAnsi="Arial" w:cs="Arial"/>
          <w:szCs w:val="24"/>
        </w:rPr>
      </w:pPr>
    </w:p>
    <w:p w14:paraId="263A5248" w14:textId="066AFB74" w:rsidR="001C6D77" w:rsidRDefault="001C6D77" w:rsidP="003201AC">
      <w:pPr>
        <w:jc w:val="both"/>
        <w:rPr>
          <w:rFonts w:ascii="Arial" w:hAnsi="Arial" w:cs="Arial"/>
          <w:szCs w:val="24"/>
        </w:rPr>
      </w:pPr>
      <w:r>
        <w:rPr>
          <w:rFonts w:ascii="Arial" w:hAnsi="Arial" w:cs="Arial"/>
          <w:szCs w:val="24"/>
        </w:rPr>
        <w:t>These circumstances raise question</w:t>
      </w:r>
      <w:r w:rsidR="00925CFF">
        <w:rPr>
          <w:rFonts w:ascii="Arial" w:hAnsi="Arial" w:cs="Arial"/>
          <w:szCs w:val="24"/>
        </w:rPr>
        <w:t>s</w:t>
      </w:r>
      <w:r>
        <w:rPr>
          <w:rFonts w:ascii="Arial" w:hAnsi="Arial" w:cs="Arial"/>
          <w:szCs w:val="24"/>
        </w:rPr>
        <w:t xml:space="preserve"> as to whether the proposed self-haul rate is comparatively low, resulting in system inflow of an expensive user type, at a time when the Division is facing potential </w:t>
      </w:r>
      <w:r w:rsidR="003629C2">
        <w:rPr>
          <w:rFonts w:ascii="Arial" w:hAnsi="Arial" w:cs="Arial"/>
          <w:szCs w:val="24"/>
        </w:rPr>
        <w:t>queueing</w:t>
      </w:r>
      <w:r>
        <w:rPr>
          <w:rFonts w:ascii="Arial" w:hAnsi="Arial" w:cs="Arial"/>
          <w:szCs w:val="24"/>
        </w:rPr>
        <w:t xml:space="preserve"> challenges at selected facilities.   It also raises question</w:t>
      </w:r>
      <w:r w:rsidR="00925CFF">
        <w:rPr>
          <w:rFonts w:ascii="Arial" w:hAnsi="Arial" w:cs="Arial"/>
          <w:szCs w:val="24"/>
        </w:rPr>
        <w:t>s</w:t>
      </w:r>
      <w:r>
        <w:rPr>
          <w:rFonts w:ascii="Arial" w:hAnsi="Arial" w:cs="Arial"/>
          <w:szCs w:val="24"/>
        </w:rPr>
        <w:t xml:space="preserve"> as to whether there are ways to encourage greater recycling, by incenting those in low-recycling user categories to make use of high-recycling service types. </w:t>
      </w:r>
    </w:p>
    <w:p w14:paraId="26736561" w14:textId="77777777" w:rsidR="003201AC" w:rsidRDefault="003201AC" w:rsidP="003201AC">
      <w:pPr>
        <w:jc w:val="both"/>
        <w:rPr>
          <w:rFonts w:ascii="Arial" w:hAnsi="Arial" w:cs="Arial"/>
          <w:szCs w:val="24"/>
        </w:rPr>
      </w:pPr>
    </w:p>
    <w:p w14:paraId="3405102F" w14:textId="77777777" w:rsidR="003201AC" w:rsidRPr="00292B3A" w:rsidRDefault="003201AC" w:rsidP="003201AC">
      <w:pPr>
        <w:jc w:val="both"/>
        <w:rPr>
          <w:rFonts w:ascii="Arial" w:hAnsi="Arial" w:cs="Arial"/>
          <w:szCs w:val="24"/>
          <w:u w:val="single"/>
        </w:rPr>
      </w:pPr>
      <w:r>
        <w:rPr>
          <w:rFonts w:ascii="Arial" w:hAnsi="Arial" w:cs="Arial"/>
          <w:szCs w:val="24"/>
          <w:u w:val="single"/>
        </w:rPr>
        <w:t>Construction/Demolition</w:t>
      </w:r>
    </w:p>
    <w:p w14:paraId="414A9BAA" w14:textId="365BB4A0" w:rsidR="003201AC" w:rsidRDefault="003201AC" w:rsidP="003201AC">
      <w:pPr>
        <w:jc w:val="both"/>
        <w:rPr>
          <w:rFonts w:ascii="Arial" w:hAnsi="Arial" w:cs="Arial"/>
          <w:szCs w:val="24"/>
        </w:rPr>
      </w:pPr>
      <w:r>
        <w:rPr>
          <w:rFonts w:ascii="Arial" w:hAnsi="Arial" w:cs="Arial"/>
          <w:szCs w:val="24"/>
        </w:rPr>
        <w:t>The Council has recently approved legislation to increase recycling at construction/demolition designated facilities</w:t>
      </w:r>
      <w:r w:rsidR="00CC6CB9">
        <w:rPr>
          <w:rFonts w:ascii="Arial" w:hAnsi="Arial" w:cs="Arial"/>
          <w:szCs w:val="24"/>
        </w:rPr>
        <w:t xml:space="preserve"> (2015 Ordinance 18166)</w:t>
      </w:r>
      <w:r>
        <w:rPr>
          <w:rFonts w:ascii="Arial" w:hAnsi="Arial" w:cs="Arial"/>
          <w:szCs w:val="24"/>
        </w:rPr>
        <w:t>.  The Solid Waste Division website currently lists an increased number of designated facilities where construction/demolition debris may be delivered.  While fees vary according to load, min</w:t>
      </w:r>
      <w:r w:rsidR="00925CFF">
        <w:rPr>
          <w:rFonts w:ascii="Arial" w:hAnsi="Arial" w:cs="Arial"/>
          <w:szCs w:val="24"/>
        </w:rPr>
        <w:t xml:space="preserve">imum fees listed range from $20 to </w:t>
      </w:r>
      <w:r>
        <w:rPr>
          <w:rFonts w:ascii="Arial" w:hAnsi="Arial" w:cs="Arial"/>
          <w:szCs w:val="24"/>
        </w:rPr>
        <w:t>$25 per visit.  Recycling at construction/demolition designated facilities is considered substantially higher than self-haul recycling rates: as an example, the Cascade Recycling Center, one of the Division’s designated facilities, indicates that less than 5% of the material that comes into the center is disposed as garbage.</w:t>
      </w:r>
      <w:r w:rsidR="00925CFF">
        <w:rPr>
          <w:rStyle w:val="FootnoteReference"/>
          <w:rFonts w:ascii="Arial" w:hAnsi="Arial" w:cs="Arial"/>
          <w:szCs w:val="24"/>
        </w:rPr>
        <w:footnoteReference w:id="7"/>
      </w:r>
      <w:r>
        <w:rPr>
          <w:rFonts w:ascii="Arial" w:hAnsi="Arial" w:cs="Arial"/>
          <w:szCs w:val="24"/>
        </w:rPr>
        <w:t xml:space="preserve">  According to the 2011 Waste Characterization Report</w:t>
      </w:r>
      <w:r>
        <w:rPr>
          <w:rStyle w:val="FootnoteReference"/>
          <w:rFonts w:ascii="Arial" w:hAnsi="Arial" w:cs="Arial"/>
          <w:szCs w:val="24"/>
        </w:rPr>
        <w:footnoteReference w:id="8"/>
      </w:r>
      <w:r>
        <w:rPr>
          <w:rFonts w:ascii="Arial" w:hAnsi="Arial" w:cs="Arial"/>
          <w:szCs w:val="24"/>
        </w:rPr>
        <w:t xml:space="preserve">, as of the date of that report, construction and demolition materials represented 19% of transfer station loads surveyed.  With the implementation of the new Construction/Demolition ordinance, dump trucks and dumping trailers may not bring </w:t>
      </w:r>
      <w:r w:rsidR="00925CFF">
        <w:rPr>
          <w:rFonts w:ascii="Arial" w:hAnsi="Arial" w:cs="Arial"/>
          <w:szCs w:val="24"/>
        </w:rPr>
        <w:t>construction/demolition materials</w:t>
      </w:r>
      <w:r>
        <w:rPr>
          <w:rFonts w:ascii="Arial" w:hAnsi="Arial" w:cs="Arial"/>
          <w:szCs w:val="24"/>
        </w:rPr>
        <w:t xml:space="preserve"> to county transfer stations; however, pickup truck loads are still accepted.  These circumstances raise the question of whether there will be a continuing pattern of using county transfer facilities by those bringing construction/demolition debris, whether this represents a significant diversion from designated c</w:t>
      </w:r>
      <w:r w:rsidR="00925CFF">
        <w:rPr>
          <w:rFonts w:ascii="Arial" w:hAnsi="Arial" w:cs="Arial"/>
          <w:szCs w:val="24"/>
        </w:rPr>
        <w:t>onstruction/demolition</w:t>
      </w:r>
      <w:r>
        <w:rPr>
          <w:rFonts w:ascii="Arial" w:hAnsi="Arial" w:cs="Arial"/>
          <w:szCs w:val="24"/>
        </w:rPr>
        <w:t xml:space="preserve"> processing facilities, and whether there are means to encourage use of those designated facilities by small generators of construction and demolition debris. </w:t>
      </w:r>
    </w:p>
    <w:p w14:paraId="66429243" w14:textId="77777777" w:rsidR="003201AC" w:rsidRDefault="003201AC" w:rsidP="003201AC">
      <w:pPr>
        <w:jc w:val="both"/>
        <w:rPr>
          <w:rFonts w:ascii="Arial" w:hAnsi="Arial" w:cs="Arial"/>
          <w:szCs w:val="24"/>
        </w:rPr>
      </w:pPr>
    </w:p>
    <w:p w14:paraId="22F1F573" w14:textId="77777777" w:rsidR="003201AC" w:rsidRDefault="003201AC" w:rsidP="003201AC">
      <w:pPr>
        <w:jc w:val="both"/>
        <w:rPr>
          <w:rFonts w:ascii="Arial" w:hAnsi="Arial" w:cs="Arial"/>
          <w:szCs w:val="24"/>
        </w:rPr>
      </w:pPr>
      <w:r>
        <w:rPr>
          <w:rFonts w:ascii="Arial" w:hAnsi="Arial" w:cs="Arial"/>
          <w:szCs w:val="24"/>
        </w:rPr>
        <w:t xml:space="preserve">Staff analysis is continuing regarding the relationship of </w:t>
      </w:r>
      <w:proofErr w:type="spellStart"/>
      <w:r>
        <w:rPr>
          <w:rFonts w:ascii="Arial" w:hAnsi="Arial" w:cs="Arial"/>
          <w:szCs w:val="24"/>
        </w:rPr>
        <w:t>self haul</w:t>
      </w:r>
      <w:proofErr w:type="spellEnd"/>
      <w:r>
        <w:rPr>
          <w:rFonts w:ascii="Arial" w:hAnsi="Arial" w:cs="Arial"/>
          <w:szCs w:val="24"/>
        </w:rPr>
        <w:t xml:space="preserve"> fees to station </w:t>
      </w:r>
      <w:proofErr w:type="gramStart"/>
      <w:r>
        <w:rPr>
          <w:rFonts w:ascii="Arial" w:hAnsi="Arial" w:cs="Arial"/>
          <w:szCs w:val="24"/>
        </w:rPr>
        <w:t>utilization</w:t>
      </w:r>
      <w:r w:rsidR="00BD021A">
        <w:rPr>
          <w:rFonts w:ascii="Arial" w:hAnsi="Arial" w:cs="Arial"/>
          <w:szCs w:val="24"/>
        </w:rPr>
        <w:t xml:space="preserve"> </w:t>
      </w:r>
      <w:r>
        <w:rPr>
          <w:rFonts w:ascii="Arial" w:hAnsi="Arial" w:cs="Arial"/>
          <w:szCs w:val="24"/>
        </w:rPr>
        <w:t xml:space="preserve"> and</w:t>
      </w:r>
      <w:proofErr w:type="gramEnd"/>
      <w:r>
        <w:rPr>
          <w:rFonts w:ascii="Arial" w:hAnsi="Arial" w:cs="Arial"/>
          <w:szCs w:val="24"/>
        </w:rPr>
        <w:t xml:space="preserve"> recycling rates.</w:t>
      </w:r>
    </w:p>
    <w:p w14:paraId="3761FFD7" w14:textId="77777777" w:rsidR="003201AC" w:rsidRDefault="003201AC" w:rsidP="003201AC">
      <w:pPr>
        <w:jc w:val="both"/>
        <w:rPr>
          <w:rFonts w:ascii="Arial" w:hAnsi="Arial" w:cs="Arial"/>
          <w:szCs w:val="24"/>
        </w:rPr>
      </w:pPr>
    </w:p>
    <w:p w14:paraId="45A0A463" w14:textId="77777777" w:rsidR="003201AC" w:rsidRPr="00292B3A" w:rsidRDefault="003201AC" w:rsidP="003201AC">
      <w:pPr>
        <w:jc w:val="both"/>
        <w:rPr>
          <w:rFonts w:ascii="Arial" w:hAnsi="Arial" w:cs="Arial"/>
          <w:szCs w:val="24"/>
          <w:u w:val="single"/>
        </w:rPr>
      </w:pPr>
      <w:r>
        <w:rPr>
          <w:rFonts w:ascii="Arial" w:hAnsi="Arial" w:cs="Arial"/>
          <w:szCs w:val="24"/>
          <w:u w:val="single"/>
        </w:rPr>
        <w:t>Demand Management Pilot</w:t>
      </w:r>
    </w:p>
    <w:p w14:paraId="3ECF362B" w14:textId="772D1C3D" w:rsidR="003201AC" w:rsidRDefault="003201AC" w:rsidP="003201AC">
      <w:pPr>
        <w:jc w:val="both"/>
        <w:rPr>
          <w:rFonts w:ascii="Arial" w:hAnsi="Arial" w:cs="Arial"/>
          <w:szCs w:val="24"/>
        </w:rPr>
      </w:pPr>
      <w:r>
        <w:rPr>
          <w:rFonts w:ascii="Arial" w:hAnsi="Arial" w:cs="Arial"/>
          <w:szCs w:val="24"/>
        </w:rPr>
        <w:t xml:space="preserve">As noted earlier, this proposed rate adjustment supports a demand management project intended to assess strategies to limit the extent of </w:t>
      </w:r>
      <w:r w:rsidR="003629C2">
        <w:rPr>
          <w:rFonts w:ascii="Arial" w:hAnsi="Arial" w:cs="Arial"/>
          <w:szCs w:val="24"/>
        </w:rPr>
        <w:t>queueing</w:t>
      </w:r>
      <w:r>
        <w:rPr>
          <w:rFonts w:ascii="Arial" w:hAnsi="Arial" w:cs="Arial"/>
          <w:szCs w:val="24"/>
        </w:rPr>
        <w:t xml:space="preserve">, primarily at the </w:t>
      </w:r>
      <w:proofErr w:type="spellStart"/>
      <w:r>
        <w:rPr>
          <w:rFonts w:ascii="Arial" w:hAnsi="Arial" w:cs="Arial"/>
          <w:szCs w:val="24"/>
        </w:rPr>
        <w:t>Factoria</w:t>
      </w:r>
      <w:proofErr w:type="spellEnd"/>
      <w:r>
        <w:rPr>
          <w:rFonts w:ascii="Arial" w:hAnsi="Arial" w:cs="Arial"/>
          <w:szCs w:val="24"/>
        </w:rPr>
        <w:t xml:space="preserve"> Recycling and Transfer Station.  This project is a follow-on to system discussions regarding potential wait-time impacts at the </w:t>
      </w:r>
      <w:proofErr w:type="spellStart"/>
      <w:r>
        <w:rPr>
          <w:rFonts w:ascii="Arial" w:hAnsi="Arial" w:cs="Arial"/>
          <w:szCs w:val="24"/>
        </w:rPr>
        <w:t>Factoria</w:t>
      </w:r>
      <w:proofErr w:type="spellEnd"/>
      <w:r>
        <w:rPr>
          <w:rFonts w:ascii="Arial" w:hAnsi="Arial" w:cs="Arial"/>
          <w:szCs w:val="24"/>
        </w:rPr>
        <w:t xml:space="preserve"> station, in the instance that the Houghton Transfer Station were closed and not replaced.  The </w:t>
      </w:r>
      <w:r w:rsidR="00BD021A">
        <w:rPr>
          <w:rFonts w:ascii="Arial" w:hAnsi="Arial" w:cs="Arial"/>
          <w:szCs w:val="24"/>
        </w:rPr>
        <w:t>r</w:t>
      </w:r>
      <w:r>
        <w:rPr>
          <w:rFonts w:ascii="Arial" w:hAnsi="Arial" w:cs="Arial"/>
          <w:szCs w:val="24"/>
        </w:rPr>
        <w:t xml:space="preserve">ate </w:t>
      </w:r>
      <w:r w:rsidR="00BD021A">
        <w:rPr>
          <w:rFonts w:ascii="Arial" w:hAnsi="Arial" w:cs="Arial"/>
          <w:szCs w:val="24"/>
        </w:rPr>
        <w:t>s</w:t>
      </w:r>
      <w:r>
        <w:rPr>
          <w:rFonts w:ascii="Arial" w:hAnsi="Arial" w:cs="Arial"/>
          <w:szCs w:val="24"/>
        </w:rPr>
        <w:t xml:space="preserve">tudy indicates that the demonstration project is anticipated for 2018.  </w:t>
      </w:r>
    </w:p>
    <w:p w14:paraId="2E5DDF0C" w14:textId="77777777" w:rsidR="003201AC" w:rsidRDefault="003201AC" w:rsidP="003201AC">
      <w:pPr>
        <w:jc w:val="both"/>
        <w:rPr>
          <w:rFonts w:ascii="Arial" w:hAnsi="Arial" w:cs="Arial"/>
          <w:szCs w:val="24"/>
        </w:rPr>
      </w:pPr>
    </w:p>
    <w:p w14:paraId="62429783" w14:textId="18A14041" w:rsidR="003201AC" w:rsidRDefault="003201AC" w:rsidP="003201AC">
      <w:pPr>
        <w:jc w:val="both"/>
        <w:rPr>
          <w:rFonts w:ascii="Arial" w:hAnsi="Arial" w:cs="Arial"/>
          <w:szCs w:val="24"/>
        </w:rPr>
      </w:pPr>
      <w:r>
        <w:rPr>
          <w:rFonts w:ascii="Arial" w:hAnsi="Arial" w:cs="Arial"/>
          <w:szCs w:val="24"/>
        </w:rPr>
        <w:t>However, there are uncertainties regarding the project.  As noted by the rate study, there is</w:t>
      </w:r>
      <w:r w:rsidR="00925CFF">
        <w:rPr>
          <w:rFonts w:ascii="Arial" w:hAnsi="Arial" w:cs="Arial"/>
          <w:szCs w:val="24"/>
        </w:rPr>
        <w:t xml:space="preserve"> a</w:t>
      </w:r>
      <w:r>
        <w:rPr>
          <w:rFonts w:ascii="Arial" w:hAnsi="Arial" w:cs="Arial"/>
          <w:szCs w:val="24"/>
        </w:rPr>
        <w:t xml:space="preserve"> question as to whether the review will involve a closure of the Houghton station during implementation.  Station closure would clearly be disruptive to current facility </w:t>
      </w:r>
      <w:r w:rsidR="00925CFF">
        <w:rPr>
          <w:rFonts w:ascii="Arial" w:hAnsi="Arial" w:cs="Arial"/>
          <w:szCs w:val="24"/>
        </w:rPr>
        <w:t>users, both commercial and self-</w:t>
      </w:r>
      <w:r>
        <w:rPr>
          <w:rFonts w:ascii="Arial" w:hAnsi="Arial" w:cs="Arial"/>
          <w:szCs w:val="24"/>
        </w:rPr>
        <w:t xml:space="preserve">haulers.  Certainly, discussions and outreach to the affected users would be required.  Without a facility closure, however, it is unclear how the agency could assess the effectiveness of various alternatives, in terms of the choices of Houghton users to access alternative service options—as well as potential </w:t>
      </w:r>
      <w:r w:rsidR="003629C2">
        <w:rPr>
          <w:rFonts w:ascii="Arial" w:hAnsi="Arial" w:cs="Arial"/>
          <w:szCs w:val="24"/>
        </w:rPr>
        <w:t>queueing</w:t>
      </w:r>
      <w:r>
        <w:rPr>
          <w:rFonts w:ascii="Arial" w:hAnsi="Arial" w:cs="Arial"/>
          <w:szCs w:val="24"/>
        </w:rPr>
        <w:t xml:space="preserve"> impacts on next-closest transfer stations.  </w:t>
      </w:r>
    </w:p>
    <w:p w14:paraId="2FBB79B9" w14:textId="77777777" w:rsidR="003201AC" w:rsidRDefault="003201AC" w:rsidP="003201AC">
      <w:pPr>
        <w:jc w:val="both"/>
        <w:rPr>
          <w:rFonts w:ascii="Arial" w:hAnsi="Arial" w:cs="Arial"/>
          <w:szCs w:val="24"/>
        </w:rPr>
      </w:pPr>
    </w:p>
    <w:p w14:paraId="46396EB8" w14:textId="7D2ACD42" w:rsidR="003201AC" w:rsidRDefault="003201AC" w:rsidP="003201AC">
      <w:pPr>
        <w:jc w:val="both"/>
        <w:rPr>
          <w:rFonts w:ascii="Arial" w:hAnsi="Arial" w:cs="Arial"/>
          <w:szCs w:val="24"/>
        </w:rPr>
      </w:pPr>
      <w:r>
        <w:rPr>
          <w:rFonts w:ascii="Arial" w:hAnsi="Arial" w:cs="Arial"/>
          <w:szCs w:val="24"/>
        </w:rPr>
        <w:t xml:space="preserve">The </w:t>
      </w:r>
      <w:r w:rsidR="00BD021A">
        <w:rPr>
          <w:rFonts w:ascii="Arial" w:hAnsi="Arial" w:cs="Arial"/>
          <w:szCs w:val="24"/>
        </w:rPr>
        <w:t>r</w:t>
      </w:r>
      <w:r>
        <w:rPr>
          <w:rFonts w:ascii="Arial" w:hAnsi="Arial" w:cs="Arial"/>
          <w:szCs w:val="24"/>
        </w:rPr>
        <w:t xml:space="preserve">ate </w:t>
      </w:r>
      <w:r w:rsidR="00BD021A">
        <w:rPr>
          <w:rFonts w:ascii="Arial" w:hAnsi="Arial" w:cs="Arial"/>
          <w:szCs w:val="24"/>
        </w:rPr>
        <w:t>s</w:t>
      </w:r>
      <w:r w:rsidR="00925CFF">
        <w:rPr>
          <w:rFonts w:ascii="Arial" w:hAnsi="Arial" w:cs="Arial"/>
          <w:szCs w:val="24"/>
        </w:rPr>
        <w:t>tudy indicates that ten TLT</w:t>
      </w:r>
      <w:r>
        <w:rPr>
          <w:rFonts w:ascii="Arial" w:hAnsi="Arial" w:cs="Arial"/>
          <w:szCs w:val="24"/>
        </w:rPr>
        <w:t xml:space="preserve">s will be assigned to the demand management pilot program.  Discussion of the actual function of these staff is limited; it is indicated that temporary staff would be added to assist customers at the Shoreline station.  Presumably, these additional staff would be intended to mitigate impacts of additional </w:t>
      </w:r>
      <w:r w:rsidR="003629C2" w:rsidRPr="0072448B">
        <w:rPr>
          <w:rFonts w:ascii="Arial" w:hAnsi="Arial" w:cs="Arial"/>
          <w:szCs w:val="24"/>
        </w:rPr>
        <w:t>queueing</w:t>
      </w:r>
      <w:r>
        <w:rPr>
          <w:rFonts w:ascii="Arial" w:hAnsi="Arial" w:cs="Arial"/>
          <w:szCs w:val="24"/>
        </w:rPr>
        <w:t xml:space="preserve"> times at Shoreline, by helping to move customers more quickly through the unloading process.  It is noted that the Executive is projecting reduced self-haul usage at Shoreline with the opening of the Seattle North station.  The Rate Study notes that the self-haul fee at </w:t>
      </w:r>
      <w:proofErr w:type="spellStart"/>
      <w:r>
        <w:rPr>
          <w:rFonts w:ascii="Arial" w:hAnsi="Arial" w:cs="Arial"/>
          <w:szCs w:val="24"/>
        </w:rPr>
        <w:t>Factoria</w:t>
      </w:r>
      <w:proofErr w:type="spellEnd"/>
      <w:r>
        <w:rPr>
          <w:rFonts w:ascii="Arial" w:hAnsi="Arial" w:cs="Arial"/>
          <w:szCs w:val="24"/>
        </w:rPr>
        <w:t xml:space="preserve"> would be increased, and operating hours would be extended.  The fee increase should not require additional staffing, though the extended operating hours may.  Staff is seeking more information on the utilization of these staff.  </w:t>
      </w:r>
    </w:p>
    <w:p w14:paraId="245971BF" w14:textId="77777777" w:rsidR="00BD021A" w:rsidRDefault="00BD021A" w:rsidP="003201AC">
      <w:pPr>
        <w:jc w:val="both"/>
        <w:rPr>
          <w:rFonts w:ascii="Arial" w:hAnsi="Arial" w:cs="Arial"/>
          <w:szCs w:val="24"/>
        </w:rPr>
      </w:pPr>
    </w:p>
    <w:p w14:paraId="166D6B41" w14:textId="77777777" w:rsidR="00BD021A" w:rsidRDefault="003201AC" w:rsidP="003201AC">
      <w:pPr>
        <w:jc w:val="both"/>
        <w:rPr>
          <w:rFonts w:ascii="Arial" w:hAnsi="Arial" w:cs="Arial"/>
          <w:szCs w:val="24"/>
        </w:rPr>
      </w:pPr>
      <w:r>
        <w:rPr>
          <w:rFonts w:ascii="Arial" w:hAnsi="Arial" w:cs="Arial"/>
          <w:szCs w:val="24"/>
        </w:rPr>
        <w:t xml:space="preserve">The </w:t>
      </w:r>
      <w:r w:rsidR="00BD021A">
        <w:rPr>
          <w:rFonts w:ascii="Arial" w:hAnsi="Arial" w:cs="Arial"/>
          <w:szCs w:val="24"/>
        </w:rPr>
        <w:t>demand management pilot</w:t>
      </w:r>
      <w:r>
        <w:rPr>
          <w:rFonts w:ascii="Arial" w:hAnsi="Arial" w:cs="Arial"/>
          <w:szCs w:val="24"/>
        </w:rPr>
        <w:t xml:space="preserve"> will either A) demonstrate the viability of demand management strategies, or B) fail to demonstrate their viability.  If the strategies are not proven viable, the region would need to assess its options, including whether to proceed with a North Recycling and Transfer Station</w:t>
      </w:r>
      <w:r w:rsidR="00BD021A">
        <w:rPr>
          <w:rFonts w:ascii="Arial" w:hAnsi="Arial" w:cs="Arial"/>
          <w:szCs w:val="24"/>
        </w:rPr>
        <w:t>, or how long to continue serving the disposal needs of the Houghton service area with the existing station</w:t>
      </w:r>
      <w:r>
        <w:rPr>
          <w:rFonts w:ascii="Arial" w:hAnsi="Arial" w:cs="Arial"/>
          <w:szCs w:val="24"/>
        </w:rPr>
        <w:t xml:space="preserve">. </w:t>
      </w:r>
    </w:p>
    <w:p w14:paraId="7EB85F4C" w14:textId="77777777" w:rsidR="00BD021A" w:rsidRDefault="00BD021A" w:rsidP="003201AC">
      <w:pPr>
        <w:jc w:val="both"/>
        <w:rPr>
          <w:rFonts w:ascii="Arial" w:hAnsi="Arial" w:cs="Arial"/>
          <w:szCs w:val="24"/>
        </w:rPr>
      </w:pPr>
    </w:p>
    <w:p w14:paraId="022CD9C7" w14:textId="77777777" w:rsidR="00BD021A" w:rsidRDefault="00BD021A" w:rsidP="003201AC">
      <w:pPr>
        <w:jc w:val="both"/>
        <w:rPr>
          <w:rFonts w:ascii="Arial" w:hAnsi="Arial" w:cs="Arial"/>
          <w:szCs w:val="24"/>
        </w:rPr>
      </w:pPr>
      <w:r>
        <w:rPr>
          <w:rFonts w:ascii="Arial" w:hAnsi="Arial" w:cs="Arial"/>
          <w:szCs w:val="24"/>
        </w:rPr>
        <w:t xml:space="preserve">By way of context, it is important to note the concerns of the County Auditor in the </w:t>
      </w:r>
      <w:r w:rsidRPr="00BD021A">
        <w:rPr>
          <w:rFonts w:ascii="Arial" w:hAnsi="Arial" w:cs="Arial"/>
          <w:szCs w:val="24"/>
          <w:u w:val="single"/>
        </w:rPr>
        <w:t>2011 Performance Audit of Solid Waste Transfer Station Capital Projects</w:t>
      </w:r>
      <w:r w:rsidRPr="00BD021A">
        <w:rPr>
          <w:rFonts w:ascii="Arial" w:hAnsi="Arial" w:cs="Arial"/>
          <w:szCs w:val="24"/>
        </w:rPr>
        <w:t>.</w:t>
      </w:r>
      <w:r>
        <w:rPr>
          <w:rFonts w:ascii="Arial" w:hAnsi="Arial" w:cs="Arial"/>
          <w:szCs w:val="24"/>
        </w:rPr>
        <w:t xml:space="preserve">  The Auditor expressed concern about the potential for “overbuilding” the transfer network upgrade:</w:t>
      </w:r>
    </w:p>
    <w:p w14:paraId="0DAB61D1" w14:textId="77777777" w:rsidR="00BD021A" w:rsidRDefault="00BD021A" w:rsidP="003201AC">
      <w:pPr>
        <w:jc w:val="both"/>
        <w:rPr>
          <w:rFonts w:ascii="Arial" w:hAnsi="Arial" w:cs="Arial"/>
          <w:szCs w:val="24"/>
        </w:rPr>
      </w:pPr>
    </w:p>
    <w:p w14:paraId="02D43D17" w14:textId="77777777" w:rsidR="00BD021A" w:rsidRPr="00BD021A" w:rsidRDefault="00BD021A" w:rsidP="00BD021A">
      <w:pPr>
        <w:ind w:left="720"/>
        <w:jc w:val="both"/>
        <w:rPr>
          <w:rFonts w:ascii="Arial" w:hAnsi="Arial" w:cs="Arial"/>
          <w:szCs w:val="24"/>
        </w:rPr>
      </w:pPr>
      <w:r w:rsidRPr="00BD021A">
        <w:rPr>
          <w:rFonts w:ascii="Arial" w:hAnsi="Arial" w:cs="Arial"/>
          <w:szCs w:val="24"/>
        </w:rPr>
        <w:t>“</w:t>
      </w:r>
      <w:r w:rsidRPr="00BD021A">
        <w:rPr>
          <w:rFonts w:ascii="Arial" w:hAnsi="Arial" w:cs="Arial"/>
        </w:rPr>
        <w:t xml:space="preserve">An additional risk is that current rate payers could be financing more infrastructure than would be needed in the future, especially if cities drop out of the system after 2028 when the current </w:t>
      </w:r>
      <w:proofErr w:type="spellStart"/>
      <w:r w:rsidRPr="00BD021A">
        <w:rPr>
          <w:rFonts w:ascii="Arial" w:hAnsi="Arial" w:cs="Arial"/>
        </w:rPr>
        <w:t>interlocal</w:t>
      </w:r>
      <w:proofErr w:type="spellEnd"/>
      <w:r w:rsidRPr="00BD021A">
        <w:rPr>
          <w:rFonts w:ascii="Arial" w:hAnsi="Arial" w:cs="Arial"/>
        </w:rPr>
        <w:t xml:space="preserve"> agreement with the 37 city partners to the County’s solid waste system expires.”</w:t>
      </w:r>
      <w:r w:rsidRPr="00BD021A">
        <w:rPr>
          <w:rStyle w:val="FootnoteReference"/>
          <w:rFonts w:ascii="Arial" w:hAnsi="Arial" w:cs="Arial"/>
          <w:szCs w:val="24"/>
        </w:rPr>
        <w:t xml:space="preserve"> </w:t>
      </w:r>
      <w:r w:rsidRPr="00BD021A">
        <w:rPr>
          <w:rStyle w:val="FootnoteReference"/>
          <w:rFonts w:ascii="Arial" w:hAnsi="Arial" w:cs="Arial"/>
          <w:szCs w:val="24"/>
        </w:rPr>
        <w:footnoteReference w:id="9"/>
      </w:r>
    </w:p>
    <w:p w14:paraId="23383B47" w14:textId="77777777" w:rsidR="00BD021A" w:rsidRDefault="00BD021A" w:rsidP="003201AC">
      <w:pPr>
        <w:jc w:val="both"/>
        <w:rPr>
          <w:rFonts w:ascii="Arial" w:hAnsi="Arial" w:cs="Arial"/>
          <w:szCs w:val="24"/>
        </w:rPr>
      </w:pPr>
    </w:p>
    <w:p w14:paraId="3F46D4CF" w14:textId="77777777" w:rsidR="00BD021A" w:rsidRDefault="00BD021A" w:rsidP="003201AC">
      <w:pPr>
        <w:jc w:val="both"/>
        <w:rPr>
          <w:rFonts w:ascii="Arial" w:hAnsi="Arial" w:cs="Arial"/>
          <w:szCs w:val="24"/>
        </w:rPr>
      </w:pPr>
      <w:r>
        <w:rPr>
          <w:rFonts w:ascii="Arial" w:hAnsi="Arial" w:cs="Arial"/>
          <w:szCs w:val="24"/>
        </w:rPr>
        <w:t xml:space="preserve">Since the 2011 Performance Audit, all but five of the city participants in the system have signed extended agreements, through 2040, as noted earlier.  </w:t>
      </w:r>
    </w:p>
    <w:p w14:paraId="1B5ED4A8" w14:textId="77777777" w:rsidR="00BD021A" w:rsidRDefault="00BD021A" w:rsidP="003201AC">
      <w:pPr>
        <w:jc w:val="both"/>
        <w:rPr>
          <w:rFonts w:ascii="Arial" w:hAnsi="Arial" w:cs="Arial"/>
          <w:szCs w:val="24"/>
        </w:rPr>
      </w:pPr>
      <w:r>
        <w:rPr>
          <w:rFonts w:ascii="Arial" w:hAnsi="Arial" w:cs="Arial"/>
          <w:szCs w:val="24"/>
        </w:rPr>
        <w:t xml:space="preserve"> </w:t>
      </w:r>
    </w:p>
    <w:p w14:paraId="2010E123" w14:textId="77777777" w:rsidR="003201AC" w:rsidRDefault="003201AC" w:rsidP="003201AC">
      <w:pPr>
        <w:jc w:val="both"/>
        <w:rPr>
          <w:rFonts w:ascii="Arial" w:hAnsi="Arial" w:cs="Arial"/>
          <w:szCs w:val="24"/>
        </w:rPr>
      </w:pPr>
      <w:r>
        <w:rPr>
          <w:rFonts w:ascii="Arial" w:hAnsi="Arial" w:cs="Arial"/>
          <w:szCs w:val="24"/>
        </w:rPr>
        <w:lastRenderedPageBreak/>
        <w:t xml:space="preserve">As noted above, the South County project will have taken over a decade to site, design, permit, construct and open.  A siting process in northeast King County may encounter obstacles as well.  Opponents of various site options are likely to challenge the wisdom and expense of the project, in light of the pending departure from the system of five cities from the northeast region in 2028, reducing </w:t>
      </w:r>
      <w:proofErr w:type="spellStart"/>
      <w:r>
        <w:rPr>
          <w:rFonts w:ascii="Arial" w:hAnsi="Arial" w:cs="Arial"/>
          <w:szCs w:val="24"/>
        </w:rPr>
        <w:t>Factoria</w:t>
      </w:r>
      <w:proofErr w:type="spellEnd"/>
      <w:r>
        <w:rPr>
          <w:rFonts w:ascii="Arial" w:hAnsi="Arial" w:cs="Arial"/>
          <w:szCs w:val="24"/>
        </w:rPr>
        <w:t xml:space="preserve"> tonnage by perhaps half.  The Rate Study indicates that the demonstration project will run for 12 months, beginning in 2018.</w:t>
      </w:r>
    </w:p>
    <w:p w14:paraId="4299C6B8" w14:textId="77777777" w:rsidR="003201AC" w:rsidRDefault="003201AC" w:rsidP="003201AC">
      <w:pPr>
        <w:jc w:val="both"/>
        <w:rPr>
          <w:rFonts w:ascii="Arial" w:hAnsi="Arial" w:cs="Arial"/>
          <w:szCs w:val="24"/>
        </w:rPr>
      </w:pPr>
    </w:p>
    <w:p w14:paraId="206953DE" w14:textId="77777777" w:rsidR="00BD021A" w:rsidRDefault="00BD021A" w:rsidP="003201AC">
      <w:pPr>
        <w:jc w:val="both"/>
        <w:rPr>
          <w:rFonts w:ascii="Arial" w:hAnsi="Arial" w:cs="Arial"/>
          <w:szCs w:val="24"/>
          <w:u w:val="single"/>
        </w:rPr>
      </w:pPr>
      <w:r>
        <w:rPr>
          <w:rFonts w:ascii="Arial" w:hAnsi="Arial" w:cs="Arial"/>
          <w:szCs w:val="24"/>
          <w:u w:val="single"/>
        </w:rPr>
        <w:t>Landfill Reserve Fund</w:t>
      </w:r>
    </w:p>
    <w:p w14:paraId="03C32905" w14:textId="77777777" w:rsidR="00BD021A" w:rsidRDefault="00BD021A" w:rsidP="003201AC">
      <w:pPr>
        <w:jc w:val="both"/>
        <w:rPr>
          <w:rFonts w:ascii="Arial" w:hAnsi="Arial" w:cs="Arial"/>
          <w:szCs w:val="24"/>
        </w:rPr>
      </w:pPr>
      <w:r>
        <w:rPr>
          <w:rFonts w:ascii="Arial" w:hAnsi="Arial" w:cs="Arial"/>
          <w:szCs w:val="24"/>
        </w:rPr>
        <w:t xml:space="preserve">Staff has previously noted an opportunity for additional rate savings that was identified in the County Auditor’s 2011 Performance Audit, having to do with the investment strategy of the Landfill Reserve Fund.  The Audit noted, </w:t>
      </w:r>
    </w:p>
    <w:p w14:paraId="71094F39" w14:textId="77777777" w:rsidR="00BD021A" w:rsidRDefault="00BD021A" w:rsidP="003201AC">
      <w:pPr>
        <w:jc w:val="both"/>
        <w:rPr>
          <w:rFonts w:ascii="Arial" w:hAnsi="Arial" w:cs="Arial"/>
          <w:szCs w:val="24"/>
        </w:rPr>
      </w:pPr>
    </w:p>
    <w:p w14:paraId="0D313692" w14:textId="77777777" w:rsidR="00BD021A" w:rsidRDefault="00BD021A" w:rsidP="00BD021A">
      <w:pPr>
        <w:ind w:left="720"/>
        <w:jc w:val="both"/>
      </w:pPr>
      <w:r>
        <w:rPr>
          <w:rFonts w:ascii="Arial" w:hAnsi="Arial" w:cs="Arial"/>
        </w:rPr>
        <w:t>“</w:t>
      </w:r>
      <w:r w:rsidRPr="00BD021A">
        <w:rPr>
          <w:rFonts w:ascii="Arial" w:hAnsi="Arial" w:cs="Arial"/>
        </w:rPr>
        <w:t>Finally, as previously noted, part of the Landfill Reserve Fund (LRF) balance has an investment horizon extending to the year 2058. Nevertheless, the fund is invested in the same investment pool as other funds, whose overall liquidity objectives and needs are shorter term, for example, less than one year. It may be to the benefit of the Landfill Reserve Fund to have an alternative investment strategy. As an example, increasing the real (before inflation) rate of return on the LRF balance by a full one-percent could result in lowering the tipping fee by $.87 per ton in 2012. At the estimated 826,000 tons of waste for 2012, this would translate into a savings to rate payers of $717,000</w:t>
      </w:r>
      <w:r>
        <w:t>.”</w:t>
      </w:r>
    </w:p>
    <w:p w14:paraId="34073211" w14:textId="77777777" w:rsidR="00BD021A" w:rsidRDefault="00BD021A" w:rsidP="00BD021A">
      <w:pPr>
        <w:ind w:left="720"/>
        <w:jc w:val="both"/>
      </w:pPr>
    </w:p>
    <w:p w14:paraId="13188467" w14:textId="41723A62" w:rsidR="00BD021A" w:rsidRPr="00BD021A" w:rsidRDefault="00BD021A" w:rsidP="00BD021A">
      <w:pPr>
        <w:jc w:val="both"/>
        <w:rPr>
          <w:rFonts w:ascii="Arial" w:hAnsi="Arial" w:cs="Arial"/>
        </w:rPr>
      </w:pPr>
      <w:r w:rsidRPr="00BD021A">
        <w:rPr>
          <w:rFonts w:ascii="Arial" w:hAnsi="Arial" w:cs="Arial"/>
        </w:rPr>
        <w:t xml:space="preserve">This LRF investment strategy revision has not yet been completed, though the Division has pursued a strategy review.  Implementation of this recommendation during the 2017-2018 biennium has the potential to generate additional revenue for the Division.  </w:t>
      </w:r>
      <w:r w:rsidR="0072448B" w:rsidRPr="0072448B">
        <w:rPr>
          <w:rFonts w:ascii="Arial" w:hAnsi="Arial" w:cs="Arial"/>
        </w:rPr>
        <w:t xml:space="preserve">The Executive’s proposed rate does not assume implementation of this recommendation in 2017/2018 – implementation of the recommendation would have the potential to generate additional revenue for the Division. </w:t>
      </w:r>
      <w:r w:rsidR="0072448B">
        <w:rPr>
          <w:rFonts w:ascii="Arial" w:hAnsi="Arial" w:cs="Arial"/>
        </w:rPr>
        <w:t xml:space="preserve">Council may want to consider inquiring of the Executive as to the status of this policy review, and encourage expeditious completion.  </w:t>
      </w:r>
      <w:r w:rsidRPr="00BD021A">
        <w:rPr>
          <w:rFonts w:ascii="Arial" w:hAnsi="Arial" w:cs="Arial"/>
        </w:rPr>
        <w:t xml:space="preserve">Staff inquiry on this matter is continuing.     </w:t>
      </w:r>
    </w:p>
    <w:p w14:paraId="2E9C2F2C" w14:textId="77777777" w:rsidR="00BD021A" w:rsidRPr="00BD021A" w:rsidRDefault="00BD021A" w:rsidP="00BD021A">
      <w:pPr>
        <w:ind w:left="720"/>
        <w:jc w:val="both"/>
        <w:rPr>
          <w:rFonts w:ascii="Arial" w:hAnsi="Arial" w:cs="Arial"/>
          <w:szCs w:val="24"/>
        </w:rPr>
      </w:pPr>
    </w:p>
    <w:p w14:paraId="38CA76F6" w14:textId="77777777" w:rsidR="003201AC" w:rsidRPr="00292B3A" w:rsidRDefault="003201AC" w:rsidP="003201AC">
      <w:pPr>
        <w:jc w:val="both"/>
        <w:rPr>
          <w:rFonts w:ascii="Arial" w:hAnsi="Arial" w:cs="Arial"/>
          <w:szCs w:val="24"/>
          <w:u w:val="single"/>
        </w:rPr>
      </w:pPr>
      <w:r w:rsidRPr="00292B3A">
        <w:rPr>
          <w:rFonts w:ascii="Arial" w:hAnsi="Arial" w:cs="Arial"/>
          <w:szCs w:val="24"/>
          <w:u w:val="single"/>
        </w:rPr>
        <w:t>Debt Service for New Transfer Stations</w:t>
      </w:r>
    </w:p>
    <w:p w14:paraId="4A429C40" w14:textId="5F782937" w:rsidR="003201AC" w:rsidRDefault="003201AC" w:rsidP="003201AC">
      <w:pPr>
        <w:jc w:val="both"/>
        <w:rPr>
          <w:rFonts w:ascii="Arial" w:hAnsi="Arial" w:cs="Arial"/>
          <w:szCs w:val="24"/>
        </w:rPr>
      </w:pPr>
      <w:r>
        <w:rPr>
          <w:rFonts w:ascii="Arial" w:hAnsi="Arial" w:cs="Arial"/>
          <w:szCs w:val="24"/>
        </w:rPr>
        <w:t>The 2012 Rate Study, in support of the approved 2013-2015 rate proposal, discussed the projected repayment of bonded in</w:t>
      </w:r>
      <w:r w:rsidR="00925CFF">
        <w:rPr>
          <w:rFonts w:ascii="Arial" w:hAnsi="Arial" w:cs="Arial"/>
          <w:szCs w:val="24"/>
        </w:rPr>
        <w:t xml:space="preserve">debtedness that the Division </w:t>
      </w:r>
      <w:proofErr w:type="spellStart"/>
      <w:r w:rsidR="00925CFF">
        <w:rPr>
          <w:rFonts w:ascii="Arial" w:hAnsi="Arial" w:cs="Arial"/>
          <w:szCs w:val="24"/>
        </w:rPr>
        <w:t>the</w:t>
      </w:r>
      <w:r>
        <w:rPr>
          <w:rFonts w:ascii="Arial" w:hAnsi="Arial" w:cs="Arial"/>
          <w:szCs w:val="24"/>
        </w:rPr>
        <w:t>n</w:t>
      </w:r>
      <w:proofErr w:type="spellEnd"/>
      <w:r>
        <w:rPr>
          <w:rFonts w:ascii="Arial" w:hAnsi="Arial" w:cs="Arial"/>
          <w:szCs w:val="24"/>
        </w:rPr>
        <w:t xml:space="preserve"> anticipated.  At the time, there were a number of conditions that have since changed.  The Council has directed a deferral in expenditures for the North Recycling and Transfer Station, pending demonstration of need; the Executive has included funding for a demand management </w:t>
      </w:r>
      <w:r w:rsidR="00BD021A">
        <w:rPr>
          <w:rFonts w:ascii="Arial" w:hAnsi="Arial" w:cs="Arial"/>
          <w:szCs w:val="24"/>
        </w:rPr>
        <w:t>pilot</w:t>
      </w:r>
      <w:r>
        <w:rPr>
          <w:rFonts w:ascii="Arial" w:hAnsi="Arial" w:cs="Arial"/>
          <w:szCs w:val="24"/>
        </w:rPr>
        <w:t xml:space="preserve"> in this proposed rate.  Additionally, in 2012, there was an expectation of further progress in the replacement of the Algona Transfer Station with a new South </w:t>
      </w:r>
      <w:r w:rsidR="00BD021A">
        <w:rPr>
          <w:rFonts w:ascii="Arial" w:hAnsi="Arial" w:cs="Arial"/>
          <w:szCs w:val="24"/>
        </w:rPr>
        <w:t xml:space="preserve">Recycling and </w:t>
      </w:r>
      <w:r>
        <w:rPr>
          <w:rFonts w:ascii="Arial" w:hAnsi="Arial" w:cs="Arial"/>
          <w:szCs w:val="24"/>
        </w:rPr>
        <w:t xml:space="preserve">Transfer </w:t>
      </w:r>
      <w:r w:rsidR="00BD021A">
        <w:rPr>
          <w:rFonts w:ascii="Arial" w:hAnsi="Arial" w:cs="Arial"/>
          <w:szCs w:val="24"/>
        </w:rPr>
        <w:t>Station.</w:t>
      </w:r>
      <w:r>
        <w:rPr>
          <w:rFonts w:ascii="Arial" w:hAnsi="Arial" w:cs="Arial"/>
          <w:szCs w:val="24"/>
        </w:rPr>
        <w:t xml:space="preserve"> </w:t>
      </w:r>
    </w:p>
    <w:p w14:paraId="787117C4" w14:textId="77777777" w:rsidR="003201AC" w:rsidRDefault="003201AC" w:rsidP="003201AC">
      <w:pPr>
        <w:jc w:val="both"/>
        <w:rPr>
          <w:rFonts w:ascii="Arial" w:hAnsi="Arial" w:cs="Arial"/>
          <w:szCs w:val="24"/>
        </w:rPr>
      </w:pPr>
    </w:p>
    <w:p w14:paraId="25A9B636" w14:textId="77777777" w:rsidR="00BD021A" w:rsidRPr="00292B3A" w:rsidRDefault="00BD021A" w:rsidP="00BD021A">
      <w:pPr>
        <w:jc w:val="center"/>
        <w:rPr>
          <w:rFonts w:ascii="Arial" w:hAnsi="Arial" w:cs="Arial"/>
          <w:b/>
          <w:szCs w:val="24"/>
          <w:u w:val="single"/>
        </w:rPr>
      </w:pPr>
      <w:r>
        <w:rPr>
          <w:rFonts w:ascii="Arial" w:hAnsi="Arial" w:cs="Arial"/>
          <w:b/>
          <w:szCs w:val="24"/>
          <w:u w:val="single"/>
        </w:rPr>
        <w:t>Table 4</w:t>
      </w:r>
      <w:r w:rsidRPr="00292B3A">
        <w:rPr>
          <w:rFonts w:ascii="Arial" w:hAnsi="Arial" w:cs="Arial"/>
          <w:b/>
          <w:szCs w:val="24"/>
          <w:u w:val="single"/>
        </w:rPr>
        <w:t xml:space="preserve">.  </w:t>
      </w:r>
      <w:r w:rsidRPr="00BD021A">
        <w:rPr>
          <w:rFonts w:ascii="Arial" w:hAnsi="Arial" w:cs="Arial"/>
          <w:b/>
          <w:szCs w:val="24"/>
          <w:u w:val="single"/>
        </w:rPr>
        <w:t>2012 Rate Study:  Anticipated Station Upgrade Project Schedule</w:t>
      </w:r>
    </w:p>
    <w:p w14:paraId="7AC000C4" w14:textId="77777777" w:rsidR="00BD021A" w:rsidRDefault="00BD021A" w:rsidP="003201AC">
      <w:pPr>
        <w:jc w:val="both"/>
        <w:rPr>
          <w:rFonts w:ascii="Arial" w:hAnsi="Arial" w:cs="Arial"/>
          <w:szCs w:val="24"/>
        </w:rPr>
      </w:pPr>
    </w:p>
    <w:tbl>
      <w:tblPr>
        <w:tblStyle w:val="TableGrid"/>
        <w:tblW w:w="0" w:type="auto"/>
        <w:tblLook w:val="04A0" w:firstRow="1" w:lastRow="0" w:firstColumn="1" w:lastColumn="0" w:noHBand="0" w:noVBand="1"/>
      </w:tblPr>
      <w:tblGrid>
        <w:gridCol w:w="1171"/>
        <w:gridCol w:w="1167"/>
        <w:gridCol w:w="1168"/>
        <w:gridCol w:w="1168"/>
        <w:gridCol w:w="1169"/>
        <w:gridCol w:w="1169"/>
        <w:gridCol w:w="1169"/>
        <w:gridCol w:w="1169"/>
      </w:tblGrid>
      <w:tr w:rsidR="003201AC" w14:paraId="1E51FCD8" w14:textId="77777777" w:rsidTr="003116FA">
        <w:tc>
          <w:tcPr>
            <w:tcW w:w="1171" w:type="dxa"/>
            <w:shd w:val="clear" w:color="auto" w:fill="D9D9D9" w:themeFill="background1" w:themeFillShade="D9"/>
          </w:tcPr>
          <w:p w14:paraId="32EA6686" w14:textId="77777777" w:rsidR="003201AC" w:rsidRPr="007B1B1A" w:rsidRDefault="003201AC" w:rsidP="003116FA">
            <w:pPr>
              <w:jc w:val="both"/>
              <w:rPr>
                <w:rFonts w:ascii="Arial" w:hAnsi="Arial" w:cs="Arial"/>
                <w:sz w:val="22"/>
                <w:szCs w:val="22"/>
              </w:rPr>
            </w:pPr>
          </w:p>
        </w:tc>
        <w:tc>
          <w:tcPr>
            <w:tcW w:w="1167" w:type="dxa"/>
            <w:shd w:val="clear" w:color="auto" w:fill="D9D9D9" w:themeFill="background1" w:themeFillShade="D9"/>
          </w:tcPr>
          <w:p w14:paraId="656BFE51" w14:textId="77777777" w:rsidR="003201AC" w:rsidRPr="007B1B1A" w:rsidRDefault="003201AC" w:rsidP="003116FA">
            <w:pPr>
              <w:jc w:val="both"/>
              <w:rPr>
                <w:rFonts w:ascii="Arial" w:hAnsi="Arial" w:cs="Arial"/>
                <w:sz w:val="22"/>
                <w:szCs w:val="22"/>
              </w:rPr>
            </w:pPr>
            <w:r>
              <w:rPr>
                <w:rFonts w:ascii="Arial" w:hAnsi="Arial" w:cs="Arial"/>
                <w:sz w:val="22"/>
                <w:szCs w:val="22"/>
              </w:rPr>
              <w:t>2013</w:t>
            </w:r>
          </w:p>
        </w:tc>
        <w:tc>
          <w:tcPr>
            <w:tcW w:w="1168" w:type="dxa"/>
            <w:shd w:val="clear" w:color="auto" w:fill="D9D9D9" w:themeFill="background1" w:themeFillShade="D9"/>
          </w:tcPr>
          <w:p w14:paraId="7B0848E2" w14:textId="77777777" w:rsidR="003201AC" w:rsidRPr="007B1B1A" w:rsidRDefault="003201AC" w:rsidP="003116FA">
            <w:pPr>
              <w:jc w:val="both"/>
              <w:rPr>
                <w:rFonts w:ascii="Arial" w:hAnsi="Arial" w:cs="Arial"/>
                <w:sz w:val="22"/>
                <w:szCs w:val="22"/>
              </w:rPr>
            </w:pPr>
            <w:r>
              <w:rPr>
                <w:rFonts w:ascii="Arial" w:hAnsi="Arial" w:cs="Arial"/>
                <w:sz w:val="22"/>
                <w:szCs w:val="22"/>
              </w:rPr>
              <w:t>2014</w:t>
            </w:r>
          </w:p>
        </w:tc>
        <w:tc>
          <w:tcPr>
            <w:tcW w:w="1168" w:type="dxa"/>
            <w:shd w:val="clear" w:color="auto" w:fill="D9D9D9" w:themeFill="background1" w:themeFillShade="D9"/>
          </w:tcPr>
          <w:p w14:paraId="07E0EFAE" w14:textId="77777777" w:rsidR="003201AC" w:rsidRPr="007B1B1A" w:rsidRDefault="003201AC" w:rsidP="003116FA">
            <w:pPr>
              <w:jc w:val="both"/>
              <w:rPr>
                <w:rFonts w:ascii="Arial" w:hAnsi="Arial" w:cs="Arial"/>
                <w:sz w:val="22"/>
                <w:szCs w:val="22"/>
              </w:rPr>
            </w:pPr>
            <w:r>
              <w:rPr>
                <w:rFonts w:ascii="Arial" w:hAnsi="Arial" w:cs="Arial"/>
                <w:sz w:val="22"/>
                <w:szCs w:val="22"/>
              </w:rPr>
              <w:t>2015</w:t>
            </w:r>
          </w:p>
        </w:tc>
        <w:tc>
          <w:tcPr>
            <w:tcW w:w="1169" w:type="dxa"/>
            <w:shd w:val="clear" w:color="auto" w:fill="D9D9D9" w:themeFill="background1" w:themeFillShade="D9"/>
          </w:tcPr>
          <w:p w14:paraId="5B579723" w14:textId="77777777" w:rsidR="003201AC" w:rsidRPr="007B1B1A" w:rsidRDefault="003201AC" w:rsidP="003116FA">
            <w:pPr>
              <w:jc w:val="both"/>
              <w:rPr>
                <w:rFonts w:ascii="Arial" w:hAnsi="Arial" w:cs="Arial"/>
                <w:sz w:val="22"/>
                <w:szCs w:val="22"/>
              </w:rPr>
            </w:pPr>
            <w:r>
              <w:rPr>
                <w:rFonts w:ascii="Arial" w:hAnsi="Arial" w:cs="Arial"/>
                <w:sz w:val="22"/>
                <w:szCs w:val="22"/>
              </w:rPr>
              <w:t>2016</w:t>
            </w:r>
          </w:p>
        </w:tc>
        <w:tc>
          <w:tcPr>
            <w:tcW w:w="1169" w:type="dxa"/>
            <w:shd w:val="clear" w:color="auto" w:fill="D9D9D9" w:themeFill="background1" w:themeFillShade="D9"/>
          </w:tcPr>
          <w:p w14:paraId="4A4E0B02" w14:textId="77777777" w:rsidR="003201AC" w:rsidRPr="007B1B1A" w:rsidRDefault="003201AC" w:rsidP="003116FA">
            <w:pPr>
              <w:jc w:val="both"/>
              <w:rPr>
                <w:rFonts w:ascii="Arial" w:hAnsi="Arial" w:cs="Arial"/>
                <w:sz w:val="22"/>
                <w:szCs w:val="22"/>
              </w:rPr>
            </w:pPr>
            <w:r>
              <w:rPr>
                <w:rFonts w:ascii="Arial" w:hAnsi="Arial" w:cs="Arial"/>
                <w:sz w:val="22"/>
                <w:szCs w:val="22"/>
              </w:rPr>
              <w:t>2017</w:t>
            </w:r>
          </w:p>
        </w:tc>
        <w:tc>
          <w:tcPr>
            <w:tcW w:w="1169" w:type="dxa"/>
            <w:shd w:val="clear" w:color="auto" w:fill="D9D9D9" w:themeFill="background1" w:themeFillShade="D9"/>
          </w:tcPr>
          <w:p w14:paraId="2F0917C8" w14:textId="77777777" w:rsidR="003201AC" w:rsidRPr="007B1B1A" w:rsidRDefault="003201AC" w:rsidP="003116FA">
            <w:pPr>
              <w:jc w:val="both"/>
              <w:rPr>
                <w:rFonts w:ascii="Arial" w:hAnsi="Arial" w:cs="Arial"/>
                <w:sz w:val="22"/>
                <w:szCs w:val="22"/>
              </w:rPr>
            </w:pPr>
            <w:r>
              <w:rPr>
                <w:rFonts w:ascii="Arial" w:hAnsi="Arial" w:cs="Arial"/>
                <w:sz w:val="22"/>
                <w:szCs w:val="22"/>
              </w:rPr>
              <w:t>2018</w:t>
            </w:r>
          </w:p>
        </w:tc>
        <w:tc>
          <w:tcPr>
            <w:tcW w:w="1169" w:type="dxa"/>
            <w:shd w:val="clear" w:color="auto" w:fill="D9D9D9" w:themeFill="background1" w:themeFillShade="D9"/>
          </w:tcPr>
          <w:p w14:paraId="0AE21526" w14:textId="77777777" w:rsidR="003201AC" w:rsidRDefault="003201AC" w:rsidP="003116FA">
            <w:pPr>
              <w:jc w:val="both"/>
              <w:rPr>
                <w:rFonts w:ascii="Arial" w:hAnsi="Arial" w:cs="Arial"/>
                <w:szCs w:val="24"/>
              </w:rPr>
            </w:pPr>
            <w:r>
              <w:rPr>
                <w:rFonts w:ascii="Arial" w:hAnsi="Arial" w:cs="Arial"/>
                <w:szCs w:val="24"/>
              </w:rPr>
              <w:t>2019</w:t>
            </w:r>
          </w:p>
        </w:tc>
      </w:tr>
      <w:tr w:rsidR="003201AC" w14:paraId="1370594D" w14:textId="77777777" w:rsidTr="003116FA">
        <w:tc>
          <w:tcPr>
            <w:tcW w:w="1171" w:type="dxa"/>
          </w:tcPr>
          <w:p w14:paraId="4A5D9A1F" w14:textId="77777777" w:rsidR="003201AC" w:rsidRPr="007B1B1A" w:rsidRDefault="003201AC" w:rsidP="003116FA">
            <w:pPr>
              <w:jc w:val="both"/>
              <w:rPr>
                <w:rFonts w:ascii="Arial" w:hAnsi="Arial" w:cs="Arial"/>
                <w:sz w:val="22"/>
                <w:szCs w:val="22"/>
              </w:rPr>
            </w:pPr>
            <w:r w:rsidRPr="007B1B1A">
              <w:rPr>
                <w:rFonts w:ascii="Arial" w:hAnsi="Arial" w:cs="Arial"/>
                <w:sz w:val="22"/>
                <w:szCs w:val="22"/>
              </w:rPr>
              <w:t>Bow Lake</w:t>
            </w:r>
          </w:p>
        </w:tc>
        <w:tc>
          <w:tcPr>
            <w:tcW w:w="1167" w:type="dxa"/>
          </w:tcPr>
          <w:p w14:paraId="03EE852F" w14:textId="77777777" w:rsidR="003201AC" w:rsidRPr="007B1B1A" w:rsidRDefault="003201AC" w:rsidP="003116FA">
            <w:pPr>
              <w:jc w:val="both"/>
              <w:rPr>
                <w:rFonts w:ascii="Arial" w:hAnsi="Arial" w:cs="Arial"/>
                <w:sz w:val="20"/>
              </w:rPr>
            </w:pPr>
            <w:r>
              <w:rPr>
                <w:rFonts w:ascii="Arial" w:hAnsi="Arial" w:cs="Arial"/>
                <w:sz w:val="20"/>
              </w:rPr>
              <w:t>open</w:t>
            </w:r>
          </w:p>
        </w:tc>
        <w:tc>
          <w:tcPr>
            <w:tcW w:w="1168" w:type="dxa"/>
          </w:tcPr>
          <w:p w14:paraId="70782175" w14:textId="77777777" w:rsidR="003201AC" w:rsidRPr="007B1B1A" w:rsidRDefault="003201AC" w:rsidP="003116FA">
            <w:pPr>
              <w:jc w:val="both"/>
              <w:rPr>
                <w:rFonts w:ascii="Arial" w:hAnsi="Arial" w:cs="Arial"/>
                <w:sz w:val="20"/>
              </w:rPr>
            </w:pPr>
          </w:p>
        </w:tc>
        <w:tc>
          <w:tcPr>
            <w:tcW w:w="1168" w:type="dxa"/>
          </w:tcPr>
          <w:p w14:paraId="4BA866FC" w14:textId="77777777" w:rsidR="003201AC" w:rsidRPr="007B1B1A" w:rsidRDefault="003201AC" w:rsidP="003116FA">
            <w:pPr>
              <w:jc w:val="both"/>
              <w:rPr>
                <w:rFonts w:ascii="Arial" w:hAnsi="Arial" w:cs="Arial"/>
                <w:sz w:val="20"/>
              </w:rPr>
            </w:pPr>
          </w:p>
        </w:tc>
        <w:tc>
          <w:tcPr>
            <w:tcW w:w="1169" w:type="dxa"/>
          </w:tcPr>
          <w:p w14:paraId="1683B787" w14:textId="77777777" w:rsidR="003201AC" w:rsidRPr="007B1B1A" w:rsidRDefault="003201AC" w:rsidP="003116FA">
            <w:pPr>
              <w:jc w:val="both"/>
              <w:rPr>
                <w:rFonts w:ascii="Arial" w:hAnsi="Arial" w:cs="Arial"/>
                <w:sz w:val="20"/>
              </w:rPr>
            </w:pPr>
          </w:p>
        </w:tc>
        <w:tc>
          <w:tcPr>
            <w:tcW w:w="1169" w:type="dxa"/>
          </w:tcPr>
          <w:p w14:paraId="562471AF" w14:textId="77777777" w:rsidR="003201AC" w:rsidRPr="007B1B1A" w:rsidRDefault="003201AC" w:rsidP="003116FA">
            <w:pPr>
              <w:jc w:val="both"/>
              <w:rPr>
                <w:rFonts w:ascii="Arial" w:hAnsi="Arial" w:cs="Arial"/>
                <w:sz w:val="20"/>
              </w:rPr>
            </w:pPr>
          </w:p>
        </w:tc>
        <w:tc>
          <w:tcPr>
            <w:tcW w:w="1169" w:type="dxa"/>
          </w:tcPr>
          <w:p w14:paraId="4F2A36E4" w14:textId="77777777" w:rsidR="003201AC" w:rsidRPr="007B1B1A" w:rsidRDefault="003201AC" w:rsidP="003116FA">
            <w:pPr>
              <w:jc w:val="both"/>
              <w:rPr>
                <w:rFonts w:ascii="Arial" w:hAnsi="Arial" w:cs="Arial"/>
                <w:sz w:val="20"/>
              </w:rPr>
            </w:pPr>
          </w:p>
        </w:tc>
        <w:tc>
          <w:tcPr>
            <w:tcW w:w="1169" w:type="dxa"/>
          </w:tcPr>
          <w:p w14:paraId="2188AD62" w14:textId="77777777" w:rsidR="003201AC" w:rsidRDefault="003201AC" w:rsidP="003116FA">
            <w:pPr>
              <w:jc w:val="both"/>
              <w:rPr>
                <w:rFonts w:ascii="Arial" w:hAnsi="Arial" w:cs="Arial"/>
                <w:szCs w:val="24"/>
              </w:rPr>
            </w:pPr>
          </w:p>
        </w:tc>
      </w:tr>
      <w:tr w:rsidR="003201AC" w14:paraId="46CE6207" w14:textId="77777777" w:rsidTr="003116FA">
        <w:tc>
          <w:tcPr>
            <w:tcW w:w="1171" w:type="dxa"/>
          </w:tcPr>
          <w:p w14:paraId="581EAA80" w14:textId="77777777" w:rsidR="003201AC" w:rsidRPr="007B1B1A" w:rsidRDefault="003201AC" w:rsidP="003116FA">
            <w:pPr>
              <w:jc w:val="both"/>
              <w:rPr>
                <w:rFonts w:ascii="Arial" w:hAnsi="Arial" w:cs="Arial"/>
                <w:sz w:val="22"/>
                <w:szCs w:val="22"/>
              </w:rPr>
            </w:pPr>
            <w:proofErr w:type="spellStart"/>
            <w:r>
              <w:rPr>
                <w:rFonts w:ascii="Arial" w:hAnsi="Arial" w:cs="Arial"/>
                <w:sz w:val="22"/>
                <w:szCs w:val="22"/>
              </w:rPr>
              <w:t>Factoria</w:t>
            </w:r>
            <w:proofErr w:type="spellEnd"/>
          </w:p>
        </w:tc>
        <w:tc>
          <w:tcPr>
            <w:tcW w:w="1167" w:type="dxa"/>
          </w:tcPr>
          <w:p w14:paraId="2B7FCDF0" w14:textId="77777777" w:rsidR="003201AC" w:rsidRDefault="003201AC" w:rsidP="003116FA">
            <w:pPr>
              <w:jc w:val="both"/>
              <w:rPr>
                <w:rFonts w:ascii="Arial" w:hAnsi="Arial" w:cs="Arial"/>
                <w:sz w:val="20"/>
              </w:rPr>
            </w:pPr>
            <w:r>
              <w:rPr>
                <w:rFonts w:ascii="Arial" w:hAnsi="Arial" w:cs="Arial"/>
                <w:sz w:val="20"/>
              </w:rPr>
              <w:t>Design and permit</w:t>
            </w:r>
          </w:p>
        </w:tc>
        <w:tc>
          <w:tcPr>
            <w:tcW w:w="2336" w:type="dxa"/>
            <w:gridSpan w:val="2"/>
          </w:tcPr>
          <w:p w14:paraId="610C3711" w14:textId="77777777" w:rsidR="003201AC" w:rsidRPr="007B1B1A" w:rsidRDefault="003201AC" w:rsidP="003116FA">
            <w:pPr>
              <w:jc w:val="both"/>
              <w:rPr>
                <w:rFonts w:ascii="Arial" w:hAnsi="Arial" w:cs="Arial"/>
                <w:sz w:val="20"/>
              </w:rPr>
            </w:pPr>
            <w:r>
              <w:rPr>
                <w:rFonts w:ascii="Arial" w:hAnsi="Arial" w:cs="Arial"/>
                <w:sz w:val="20"/>
              </w:rPr>
              <w:t>construction</w:t>
            </w:r>
          </w:p>
        </w:tc>
        <w:tc>
          <w:tcPr>
            <w:tcW w:w="1169" w:type="dxa"/>
          </w:tcPr>
          <w:p w14:paraId="2CA980F0" w14:textId="77777777" w:rsidR="003201AC" w:rsidRPr="007B1B1A" w:rsidRDefault="003201AC" w:rsidP="003116FA">
            <w:pPr>
              <w:jc w:val="both"/>
              <w:rPr>
                <w:rFonts w:ascii="Arial" w:hAnsi="Arial" w:cs="Arial"/>
                <w:sz w:val="20"/>
              </w:rPr>
            </w:pPr>
            <w:r>
              <w:rPr>
                <w:rFonts w:ascii="Arial" w:hAnsi="Arial" w:cs="Arial"/>
                <w:sz w:val="20"/>
              </w:rPr>
              <w:t>open</w:t>
            </w:r>
          </w:p>
        </w:tc>
        <w:tc>
          <w:tcPr>
            <w:tcW w:w="1169" w:type="dxa"/>
          </w:tcPr>
          <w:p w14:paraId="7DC43107" w14:textId="77777777" w:rsidR="003201AC" w:rsidRPr="007B1B1A" w:rsidRDefault="003201AC" w:rsidP="003116FA">
            <w:pPr>
              <w:jc w:val="both"/>
              <w:rPr>
                <w:rFonts w:ascii="Arial" w:hAnsi="Arial" w:cs="Arial"/>
                <w:sz w:val="20"/>
              </w:rPr>
            </w:pPr>
          </w:p>
        </w:tc>
        <w:tc>
          <w:tcPr>
            <w:tcW w:w="1169" w:type="dxa"/>
          </w:tcPr>
          <w:p w14:paraId="6A99E26F" w14:textId="77777777" w:rsidR="003201AC" w:rsidRPr="007B1B1A" w:rsidRDefault="003201AC" w:rsidP="003116FA">
            <w:pPr>
              <w:jc w:val="both"/>
              <w:rPr>
                <w:rFonts w:ascii="Arial" w:hAnsi="Arial" w:cs="Arial"/>
                <w:sz w:val="20"/>
              </w:rPr>
            </w:pPr>
          </w:p>
        </w:tc>
        <w:tc>
          <w:tcPr>
            <w:tcW w:w="1169" w:type="dxa"/>
          </w:tcPr>
          <w:p w14:paraId="2C90B722" w14:textId="77777777" w:rsidR="003201AC" w:rsidRDefault="003201AC" w:rsidP="003116FA">
            <w:pPr>
              <w:jc w:val="both"/>
              <w:rPr>
                <w:rFonts w:ascii="Arial" w:hAnsi="Arial" w:cs="Arial"/>
                <w:szCs w:val="24"/>
              </w:rPr>
            </w:pPr>
          </w:p>
        </w:tc>
      </w:tr>
      <w:tr w:rsidR="003201AC" w14:paraId="1DF47BC2" w14:textId="77777777" w:rsidTr="003116FA">
        <w:tc>
          <w:tcPr>
            <w:tcW w:w="1171" w:type="dxa"/>
          </w:tcPr>
          <w:p w14:paraId="769375BD" w14:textId="77777777" w:rsidR="003201AC" w:rsidRPr="007B1B1A" w:rsidRDefault="003201AC" w:rsidP="003116FA">
            <w:pPr>
              <w:jc w:val="both"/>
              <w:rPr>
                <w:rFonts w:ascii="Arial" w:hAnsi="Arial" w:cs="Arial"/>
                <w:sz w:val="22"/>
                <w:szCs w:val="22"/>
              </w:rPr>
            </w:pPr>
            <w:r>
              <w:rPr>
                <w:rFonts w:ascii="Arial" w:hAnsi="Arial" w:cs="Arial"/>
                <w:sz w:val="22"/>
                <w:szCs w:val="22"/>
              </w:rPr>
              <w:t>South County</w:t>
            </w:r>
          </w:p>
        </w:tc>
        <w:tc>
          <w:tcPr>
            <w:tcW w:w="1167" w:type="dxa"/>
          </w:tcPr>
          <w:p w14:paraId="1218D3A4" w14:textId="77777777" w:rsidR="003201AC" w:rsidRPr="007B1B1A" w:rsidRDefault="003201AC" w:rsidP="003116FA">
            <w:pPr>
              <w:jc w:val="both"/>
              <w:rPr>
                <w:rFonts w:ascii="Arial" w:hAnsi="Arial" w:cs="Arial"/>
                <w:sz w:val="20"/>
              </w:rPr>
            </w:pPr>
            <w:r>
              <w:rPr>
                <w:rFonts w:ascii="Arial" w:hAnsi="Arial" w:cs="Arial"/>
                <w:sz w:val="20"/>
              </w:rPr>
              <w:t>Siting</w:t>
            </w:r>
          </w:p>
        </w:tc>
        <w:tc>
          <w:tcPr>
            <w:tcW w:w="2336" w:type="dxa"/>
            <w:gridSpan w:val="2"/>
          </w:tcPr>
          <w:p w14:paraId="5D7BF758" w14:textId="77777777" w:rsidR="003201AC" w:rsidRPr="007B1B1A" w:rsidRDefault="003201AC" w:rsidP="003116FA">
            <w:pPr>
              <w:jc w:val="both"/>
              <w:rPr>
                <w:rFonts w:ascii="Arial" w:hAnsi="Arial" w:cs="Arial"/>
                <w:sz w:val="20"/>
              </w:rPr>
            </w:pPr>
            <w:r>
              <w:rPr>
                <w:rFonts w:ascii="Arial" w:hAnsi="Arial" w:cs="Arial"/>
                <w:sz w:val="20"/>
              </w:rPr>
              <w:t>Design and permit</w:t>
            </w:r>
          </w:p>
        </w:tc>
        <w:tc>
          <w:tcPr>
            <w:tcW w:w="2338" w:type="dxa"/>
            <w:gridSpan w:val="2"/>
          </w:tcPr>
          <w:p w14:paraId="77CCD0B8" w14:textId="77777777" w:rsidR="003201AC" w:rsidRPr="007B1B1A" w:rsidRDefault="003201AC" w:rsidP="003116FA">
            <w:pPr>
              <w:jc w:val="both"/>
              <w:rPr>
                <w:rFonts w:ascii="Arial" w:hAnsi="Arial" w:cs="Arial"/>
                <w:sz w:val="20"/>
              </w:rPr>
            </w:pPr>
            <w:r>
              <w:rPr>
                <w:rFonts w:ascii="Arial" w:hAnsi="Arial" w:cs="Arial"/>
                <w:sz w:val="20"/>
              </w:rPr>
              <w:t>Construction</w:t>
            </w:r>
          </w:p>
        </w:tc>
        <w:tc>
          <w:tcPr>
            <w:tcW w:w="1169" w:type="dxa"/>
          </w:tcPr>
          <w:p w14:paraId="07701650" w14:textId="77777777" w:rsidR="003201AC" w:rsidRPr="007B1B1A" w:rsidRDefault="003201AC" w:rsidP="003116FA">
            <w:pPr>
              <w:jc w:val="both"/>
              <w:rPr>
                <w:rFonts w:ascii="Arial" w:hAnsi="Arial" w:cs="Arial"/>
                <w:sz w:val="20"/>
              </w:rPr>
            </w:pPr>
          </w:p>
        </w:tc>
        <w:tc>
          <w:tcPr>
            <w:tcW w:w="1169" w:type="dxa"/>
          </w:tcPr>
          <w:p w14:paraId="7214AB17" w14:textId="77777777" w:rsidR="003201AC" w:rsidRDefault="003201AC" w:rsidP="003116FA">
            <w:pPr>
              <w:jc w:val="both"/>
              <w:rPr>
                <w:rFonts w:ascii="Arial" w:hAnsi="Arial" w:cs="Arial"/>
                <w:szCs w:val="24"/>
              </w:rPr>
            </w:pPr>
          </w:p>
        </w:tc>
      </w:tr>
      <w:tr w:rsidR="003201AC" w14:paraId="67F74C06" w14:textId="77777777" w:rsidTr="003116FA">
        <w:tc>
          <w:tcPr>
            <w:tcW w:w="1171" w:type="dxa"/>
          </w:tcPr>
          <w:p w14:paraId="473C7241" w14:textId="77777777" w:rsidR="003201AC" w:rsidRPr="007B1B1A" w:rsidRDefault="003201AC" w:rsidP="003116FA">
            <w:pPr>
              <w:jc w:val="both"/>
              <w:rPr>
                <w:rFonts w:ascii="Arial" w:hAnsi="Arial" w:cs="Arial"/>
                <w:sz w:val="22"/>
                <w:szCs w:val="22"/>
              </w:rPr>
            </w:pPr>
            <w:r>
              <w:rPr>
                <w:rFonts w:ascii="Arial" w:hAnsi="Arial" w:cs="Arial"/>
                <w:sz w:val="22"/>
                <w:szCs w:val="22"/>
              </w:rPr>
              <w:t>Northeast</w:t>
            </w:r>
          </w:p>
        </w:tc>
        <w:tc>
          <w:tcPr>
            <w:tcW w:w="2335" w:type="dxa"/>
            <w:gridSpan w:val="2"/>
          </w:tcPr>
          <w:p w14:paraId="74F80AF7" w14:textId="77777777" w:rsidR="003201AC" w:rsidRPr="007B1B1A" w:rsidRDefault="003201AC" w:rsidP="003116FA">
            <w:pPr>
              <w:jc w:val="both"/>
              <w:rPr>
                <w:rFonts w:ascii="Arial" w:hAnsi="Arial" w:cs="Arial"/>
                <w:sz w:val="20"/>
              </w:rPr>
            </w:pPr>
            <w:r>
              <w:rPr>
                <w:rFonts w:ascii="Arial" w:hAnsi="Arial" w:cs="Arial"/>
                <w:sz w:val="20"/>
              </w:rPr>
              <w:t>siting</w:t>
            </w:r>
          </w:p>
        </w:tc>
        <w:tc>
          <w:tcPr>
            <w:tcW w:w="2337" w:type="dxa"/>
            <w:gridSpan w:val="2"/>
          </w:tcPr>
          <w:p w14:paraId="6AC9A063" w14:textId="77777777" w:rsidR="003201AC" w:rsidRPr="007B1B1A" w:rsidRDefault="003201AC" w:rsidP="003116FA">
            <w:pPr>
              <w:jc w:val="both"/>
              <w:rPr>
                <w:rFonts w:ascii="Arial" w:hAnsi="Arial" w:cs="Arial"/>
                <w:sz w:val="20"/>
              </w:rPr>
            </w:pPr>
            <w:r>
              <w:rPr>
                <w:rFonts w:ascii="Arial" w:hAnsi="Arial" w:cs="Arial"/>
                <w:sz w:val="20"/>
              </w:rPr>
              <w:t>Design and permit</w:t>
            </w:r>
          </w:p>
        </w:tc>
        <w:tc>
          <w:tcPr>
            <w:tcW w:w="2338" w:type="dxa"/>
            <w:gridSpan w:val="2"/>
          </w:tcPr>
          <w:p w14:paraId="541ADD24" w14:textId="77777777" w:rsidR="003201AC" w:rsidRPr="007B1B1A" w:rsidRDefault="003201AC" w:rsidP="003116FA">
            <w:pPr>
              <w:jc w:val="both"/>
              <w:rPr>
                <w:rFonts w:ascii="Arial" w:hAnsi="Arial" w:cs="Arial"/>
                <w:sz w:val="20"/>
              </w:rPr>
            </w:pPr>
            <w:r>
              <w:rPr>
                <w:rFonts w:ascii="Arial" w:hAnsi="Arial" w:cs="Arial"/>
                <w:sz w:val="20"/>
              </w:rPr>
              <w:t>construction</w:t>
            </w:r>
          </w:p>
        </w:tc>
        <w:tc>
          <w:tcPr>
            <w:tcW w:w="1169" w:type="dxa"/>
          </w:tcPr>
          <w:p w14:paraId="25A28C91" w14:textId="77777777" w:rsidR="003201AC" w:rsidRPr="007B1B1A" w:rsidRDefault="003201AC" w:rsidP="003116FA">
            <w:pPr>
              <w:jc w:val="both"/>
              <w:rPr>
                <w:rFonts w:ascii="Arial" w:hAnsi="Arial" w:cs="Arial"/>
                <w:sz w:val="22"/>
                <w:szCs w:val="22"/>
              </w:rPr>
            </w:pPr>
            <w:r w:rsidRPr="007B1B1A">
              <w:rPr>
                <w:rFonts w:ascii="Arial" w:hAnsi="Arial" w:cs="Arial"/>
                <w:sz w:val="22"/>
                <w:szCs w:val="22"/>
              </w:rPr>
              <w:t>open</w:t>
            </w:r>
          </w:p>
        </w:tc>
      </w:tr>
      <w:tr w:rsidR="003201AC" w14:paraId="4248A99B" w14:textId="77777777" w:rsidTr="003116FA">
        <w:tc>
          <w:tcPr>
            <w:tcW w:w="1171" w:type="dxa"/>
          </w:tcPr>
          <w:p w14:paraId="152C689C" w14:textId="77777777" w:rsidR="003201AC" w:rsidRPr="007B1B1A" w:rsidRDefault="003201AC" w:rsidP="003116FA">
            <w:pPr>
              <w:jc w:val="both"/>
              <w:rPr>
                <w:rFonts w:ascii="Arial" w:hAnsi="Arial" w:cs="Arial"/>
                <w:sz w:val="22"/>
                <w:szCs w:val="22"/>
              </w:rPr>
            </w:pPr>
            <w:r>
              <w:rPr>
                <w:rFonts w:ascii="Arial" w:hAnsi="Arial" w:cs="Arial"/>
                <w:sz w:val="22"/>
                <w:szCs w:val="22"/>
              </w:rPr>
              <w:lastRenderedPageBreak/>
              <w:t>Algona</w:t>
            </w:r>
          </w:p>
        </w:tc>
        <w:tc>
          <w:tcPr>
            <w:tcW w:w="1167" w:type="dxa"/>
          </w:tcPr>
          <w:p w14:paraId="63B5E7C2" w14:textId="77777777" w:rsidR="003201AC" w:rsidRPr="007B1B1A" w:rsidRDefault="003201AC" w:rsidP="003116FA">
            <w:pPr>
              <w:jc w:val="both"/>
              <w:rPr>
                <w:rFonts w:ascii="Arial" w:hAnsi="Arial" w:cs="Arial"/>
                <w:sz w:val="20"/>
              </w:rPr>
            </w:pPr>
          </w:p>
        </w:tc>
        <w:tc>
          <w:tcPr>
            <w:tcW w:w="1168" w:type="dxa"/>
          </w:tcPr>
          <w:p w14:paraId="5488FB6E" w14:textId="77777777" w:rsidR="003201AC" w:rsidRPr="007B1B1A" w:rsidRDefault="003201AC" w:rsidP="003116FA">
            <w:pPr>
              <w:jc w:val="both"/>
              <w:rPr>
                <w:rFonts w:ascii="Arial" w:hAnsi="Arial" w:cs="Arial"/>
                <w:sz w:val="20"/>
              </w:rPr>
            </w:pPr>
          </w:p>
        </w:tc>
        <w:tc>
          <w:tcPr>
            <w:tcW w:w="1168" w:type="dxa"/>
          </w:tcPr>
          <w:p w14:paraId="262291C4" w14:textId="77777777" w:rsidR="003201AC" w:rsidRPr="007B1B1A" w:rsidRDefault="003201AC" w:rsidP="003116FA">
            <w:pPr>
              <w:jc w:val="both"/>
              <w:rPr>
                <w:rFonts w:ascii="Arial" w:hAnsi="Arial" w:cs="Arial"/>
                <w:sz w:val="20"/>
              </w:rPr>
            </w:pPr>
          </w:p>
        </w:tc>
        <w:tc>
          <w:tcPr>
            <w:tcW w:w="1169" w:type="dxa"/>
          </w:tcPr>
          <w:p w14:paraId="173EC7C6" w14:textId="77777777" w:rsidR="003201AC" w:rsidRPr="007B1B1A" w:rsidRDefault="003201AC" w:rsidP="003116FA">
            <w:pPr>
              <w:jc w:val="both"/>
              <w:rPr>
                <w:rFonts w:ascii="Arial" w:hAnsi="Arial" w:cs="Arial"/>
                <w:sz w:val="20"/>
              </w:rPr>
            </w:pPr>
          </w:p>
        </w:tc>
        <w:tc>
          <w:tcPr>
            <w:tcW w:w="1169" w:type="dxa"/>
          </w:tcPr>
          <w:p w14:paraId="5E82B9EA" w14:textId="77777777" w:rsidR="003201AC" w:rsidRPr="007B1B1A" w:rsidRDefault="003201AC" w:rsidP="003116FA">
            <w:pPr>
              <w:jc w:val="both"/>
              <w:rPr>
                <w:rFonts w:ascii="Arial" w:hAnsi="Arial" w:cs="Arial"/>
                <w:sz w:val="20"/>
              </w:rPr>
            </w:pPr>
          </w:p>
        </w:tc>
        <w:tc>
          <w:tcPr>
            <w:tcW w:w="1169" w:type="dxa"/>
          </w:tcPr>
          <w:p w14:paraId="58232EAE" w14:textId="77777777" w:rsidR="003201AC" w:rsidRPr="007B1B1A" w:rsidRDefault="003201AC" w:rsidP="003116FA">
            <w:pPr>
              <w:jc w:val="both"/>
              <w:rPr>
                <w:rFonts w:ascii="Arial" w:hAnsi="Arial" w:cs="Arial"/>
                <w:sz w:val="20"/>
              </w:rPr>
            </w:pPr>
            <w:r>
              <w:rPr>
                <w:rFonts w:ascii="Arial" w:hAnsi="Arial" w:cs="Arial"/>
                <w:sz w:val="20"/>
              </w:rPr>
              <w:t>close</w:t>
            </w:r>
          </w:p>
        </w:tc>
        <w:tc>
          <w:tcPr>
            <w:tcW w:w="1169" w:type="dxa"/>
          </w:tcPr>
          <w:p w14:paraId="58C2BFE5" w14:textId="77777777" w:rsidR="003201AC" w:rsidRPr="007B1B1A" w:rsidRDefault="003201AC" w:rsidP="003116FA">
            <w:pPr>
              <w:jc w:val="both"/>
              <w:rPr>
                <w:rFonts w:ascii="Arial" w:hAnsi="Arial" w:cs="Arial"/>
                <w:sz w:val="22"/>
                <w:szCs w:val="22"/>
              </w:rPr>
            </w:pPr>
          </w:p>
        </w:tc>
      </w:tr>
      <w:tr w:rsidR="003201AC" w14:paraId="128F6DE5" w14:textId="77777777" w:rsidTr="003116FA">
        <w:tc>
          <w:tcPr>
            <w:tcW w:w="1171" w:type="dxa"/>
          </w:tcPr>
          <w:p w14:paraId="789F6AFC" w14:textId="77777777" w:rsidR="003201AC" w:rsidRPr="007B1B1A" w:rsidRDefault="003201AC" w:rsidP="003116FA">
            <w:pPr>
              <w:jc w:val="both"/>
              <w:rPr>
                <w:rFonts w:ascii="Arial" w:hAnsi="Arial" w:cs="Arial"/>
                <w:sz w:val="22"/>
                <w:szCs w:val="22"/>
              </w:rPr>
            </w:pPr>
            <w:r>
              <w:rPr>
                <w:rFonts w:ascii="Arial" w:hAnsi="Arial" w:cs="Arial"/>
                <w:sz w:val="22"/>
                <w:szCs w:val="22"/>
              </w:rPr>
              <w:t>Houghton</w:t>
            </w:r>
          </w:p>
        </w:tc>
        <w:tc>
          <w:tcPr>
            <w:tcW w:w="1167" w:type="dxa"/>
          </w:tcPr>
          <w:p w14:paraId="16D830EC" w14:textId="77777777" w:rsidR="003201AC" w:rsidRPr="007B1B1A" w:rsidRDefault="003201AC" w:rsidP="003116FA">
            <w:pPr>
              <w:jc w:val="both"/>
              <w:rPr>
                <w:rFonts w:ascii="Arial" w:hAnsi="Arial" w:cs="Arial"/>
                <w:sz w:val="20"/>
              </w:rPr>
            </w:pPr>
          </w:p>
        </w:tc>
        <w:tc>
          <w:tcPr>
            <w:tcW w:w="1168" w:type="dxa"/>
          </w:tcPr>
          <w:p w14:paraId="7ED98C72" w14:textId="77777777" w:rsidR="003201AC" w:rsidRPr="007B1B1A" w:rsidRDefault="003201AC" w:rsidP="003116FA">
            <w:pPr>
              <w:jc w:val="both"/>
              <w:rPr>
                <w:rFonts w:ascii="Arial" w:hAnsi="Arial" w:cs="Arial"/>
                <w:sz w:val="20"/>
              </w:rPr>
            </w:pPr>
          </w:p>
        </w:tc>
        <w:tc>
          <w:tcPr>
            <w:tcW w:w="1168" w:type="dxa"/>
          </w:tcPr>
          <w:p w14:paraId="7AEDF2E3" w14:textId="77777777" w:rsidR="003201AC" w:rsidRPr="007B1B1A" w:rsidRDefault="003201AC" w:rsidP="003116FA">
            <w:pPr>
              <w:jc w:val="both"/>
              <w:rPr>
                <w:rFonts w:ascii="Arial" w:hAnsi="Arial" w:cs="Arial"/>
                <w:sz w:val="20"/>
              </w:rPr>
            </w:pPr>
          </w:p>
        </w:tc>
        <w:tc>
          <w:tcPr>
            <w:tcW w:w="1169" w:type="dxa"/>
          </w:tcPr>
          <w:p w14:paraId="158BE9E0" w14:textId="77777777" w:rsidR="003201AC" w:rsidRPr="007B1B1A" w:rsidRDefault="003201AC" w:rsidP="003116FA">
            <w:pPr>
              <w:jc w:val="both"/>
              <w:rPr>
                <w:rFonts w:ascii="Arial" w:hAnsi="Arial" w:cs="Arial"/>
                <w:sz w:val="20"/>
              </w:rPr>
            </w:pPr>
          </w:p>
        </w:tc>
        <w:tc>
          <w:tcPr>
            <w:tcW w:w="1169" w:type="dxa"/>
          </w:tcPr>
          <w:p w14:paraId="3397F025" w14:textId="77777777" w:rsidR="003201AC" w:rsidRPr="007B1B1A" w:rsidRDefault="003201AC" w:rsidP="003116FA">
            <w:pPr>
              <w:jc w:val="both"/>
              <w:rPr>
                <w:rFonts w:ascii="Arial" w:hAnsi="Arial" w:cs="Arial"/>
                <w:sz w:val="20"/>
              </w:rPr>
            </w:pPr>
          </w:p>
        </w:tc>
        <w:tc>
          <w:tcPr>
            <w:tcW w:w="1169" w:type="dxa"/>
          </w:tcPr>
          <w:p w14:paraId="66E49700" w14:textId="77777777" w:rsidR="003201AC" w:rsidRPr="007B1B1A" w:rsidRDefault="003201AC" w:rsidP="003116FA">
            <w:pPr>
              <w:jc w:val="both"/>
              <w:rPr>
                <w:rFonts w:ascii="Arial" w:hAnsi="Arial" w:cs="Arial"/>
                <w:sz w:val="20"/>
              </w:rPr>
            </w:pPr>
          </w:p>
        </w:tc>
        <w:tc>
          <w:tcPr>
            <w:tcW w:w="1169" w:type="dxa"/>
          </w:tcPr>
          <w:p w14:paraId="6A81D9DA" w14:textId="77777777" w:rsidR="003201AC" w:rsidRPr="007B1B1A" w:rsidRDefault="003201AC" w:rsidP="003116FA">
            <w:pPr>
              <w:jc w:val="both"/>
              <w:rPr>
                <w:rFonts w:ascii="Arial" w:hAnsi="Arial" w:cs="Arial"/>
                <w:sz w:val="22"/>
                <w:szCs w:val="22"/>
              </w:rPr>
            </w:pPr>
            <w:r w:rsidRPr="007B1B1A">
              <w:rPr>
                <w:rFonts w:ascii="Arial" w:hAnsi="Arial" w:cs="Arial"/>
                <w:sz w:val="22"/>
                <w:szCs w:val="22"/>
              </w:rPr>
              <w:t>close</w:t>
            </w:r>
          </w:p>
        </w:tc>
      </w:tr>
      <w:tr w:rsidR="003201AC" w14:paraId="63889D41" w14:textId="77777777" w:rsidTr="003116FA">
        <w:tc>
          <w:tcPr>
            <w:tcW w:w="1171" w:type="dxa"/>
          </w:tcPr>
          <w:p w14:paraId="23779AAC" w14:textId="77777777" w:rsidR="003201AC" w:rsidRDefault="003201AC" w:rsidP="003116FA">
            <w:pPr>
              <w:jc w:val="both"/>
              <w:rPr>
                <w:rFonts w:ascii="Arial" w:hAnsi="Arial" w:cs="Arial"/>
                <w:sz w:val="22"/>
                <w:szCs w:val="22"/>
              </w:rPr>
            </w:pPr>
            <w:r>
              <w:rPr>
                <w:rFonts w:ascii="Arial" w:hAnsi="Arial" w:cs="Arial"/>
                <w:sz w:val="22"/>
                <w:szCs w:val="22"/>
              </w:rPr>
              <w:t>Renton</w:t>
            </w:r>
          </w:p>
        </w:tc>
        <w:tc>
          <w:tcPr>
            <w:tcW w:w="1167" w:type="dxa"/>
          </w:tcPr>
          <w:p w14:paraId="3E757FF7" w14:textId="77777777" w:rsidR="003201AC" w:rsidRPr="007B1B1A" w:rsidRDefault="003201AC" w:rsidP="003116FA">
            <w:pPr>
              <w:jc w:val="both"/>
              <w:rPr>
                <w:rFonts w:ascii="Arial" w:hAnsi="Arial" w:cs="Arial"/>
                <w:sz w:val="20"/>
              </w:rPr>
            </w:pPr>
          </w:p>
        </w:tc>
        <w:tc>
          <w:tcPr>
            <w:tcW w:w="1168" w:type="dxa"/>
          </w:tcPr>
          <w:p w14:paraId="3CBB0B82" w14:textId="77777777" w:rsidR="003201AC" w:rsidRPr="007B1B1A" w:rsidRDefault="003201AC" w:rsidP="003116FA">
            <w:pPr>
              <w:jc w:val="both"/>
              <w:rPr>
                <w:rFonts w:ascii="Arial" w:hAnsi="Arial" w:cs="Arial"/>
                <w:sz w:val="20"/>
              </w:rPr>
            </w:pPr>
          </w:p>
        </w:tc>
        <w:tc>
          <w:tcPr>
            <w:tcW w:w="1168" w:type="dxa"/>
          </w:tcPr>
          <w:p w14:paraId="6EB55FD4" w14:textId="77777777" w:rsidR="003201AC" w:rsidRPr="007B1B1A" w:rsidRDefault="003201AC" w:rsidP="003116FA">
            <w:pPr>
              <w:jc w:val="both"/>
              <w:rPr>
                <w:rFonts w:ascii="Arial" w:hAnsi="Arial" w:cs="Arial"/>
                <w:sz w:val="20"/>
              </w:rPr>
            </w:pPr>
          </w:p>
        </w:tc>
        <w:tc>
          <w:tcPr>
            <w:tcW w:w="1169" w:type="dxa"/>
          </w:tcPr>
          <w:p w14:paraId="3F2A2D8B" w14:textId="77777777" w:rsidR="003201AC" w:rsidRPr="007B1B1A" w:rsidRDefault="003201AC" w:rsidP="003116FA">
            <w:pPr>
              <w:jc w:val="both"/>
              <w:rPr>
                <w:rFonts w:ascii="Arial" w:hAnsi="Arial" w:cs="Arial"/>
                <w:sz w:val="20"/>
              </w:rPr>
            </w:pPr>
          </w:p>
        </w:tc>
        <w:tc>
          <w:tcPr>
            <w:tcW w:w="1169" w:type="dxa"/>
          </w:tcPr>
          <w:p w14:paraId="50220C21" w14:textId="77777777" w:rsidR="003201AC" w:rsidRPr="007B1B1A" w:rsidRDefault="003201AC" w:rsidP="003116FA">
            <w:pPr>
              <w:jc w:val="both"/>
              <w:rPr>
                <w:rFonts w:ascii="Arial" w:hAnsi="Arial" w:cs="Arial"/>
                <w:sz w:val="20"/>
              </w:rPr>
            </w:pPr>
          </w:p>
        </w:tc>
        <w:tc>
          <w:tcPr>
            <w:tcW w:w="1169" w:type="dxa"/>
          </w:tcPr>
          <w:p w14:paraId="453837A3" w14:textId="77777777" w:rsidR="003201AC" w:rsidRPr="007B1B1A" w:rsidRDefault="003201AC" w:rsidP="003116FA">
            <w:pPr>
              <w:jc w:val="both"/>
              <w:rPr>
                <w:rFonts w:ascii="Arial" w:hAnsi="Arial" w:cs="Arial"/>
                <w:sz w:val="20"/>
              </w:rPr>
            </w:pPr>
            <w:r>
              <w:rPr>
                <w:rFonts w:ascii="Arial" w:hAnsi="Arial" w:cs="Arial"/>
                <w:sz w:val="20"/>
              </w:rPr>
              <w:t>Close or modify operations</w:t>
            </w:r>
          </w:p>
        </w:tc>
        <w:tc>
          <w:tcPr>
            <w:tcW w:w="1169" w:type="dxa"/>
          </w:tcPr>
          <w:p w14:paraId="18BB4667" w14:textId="77777777" w:rsidR="003201AC" w:rsidRDefault="003201AC" w:rsidP="003116FA">
            <w:pPr>
              <w:jc w:val="both"/>
              <w:rPr>
                <w:rFonts w:ascii="Arial" w:hAnsi="Arial" w:cs="Arial"/>
                <w:szCs w:val="24"/>
              </w:rPr>
            </w:pPr>
          </w:p>
        </w:tc>
      </w:tr>
    </w:tbl>
    <w:p w14:paraId="0B05BD87" w14:textId="77777777" w:rsidR="003201AC" w:rsidRDefault="003201AC" w:rsidP="003201AC">
      <w:pPr>
        <w:jc w:val="both"/>
        <w:rPr>
          <w:rFonts w:ascii="Arial" w:hAnsi="Arial" w:cs="Arial"/>
          <w:szCs w:val="24"/>
        </w:rPr>
      </w:pPr>
    </w:p>
    <w:p w14:paraId="41F9A988" w14:textId="77777777" w:rsidR="003201AC" w:rsidRDefault="003201AC" w:rsidP="003201AC">
      <w:pPr>
        <w:jc w:val="both"/>
        <w:rPr>
          <w:rFonts w:ascii="Arial" w:hAnsi="Arial" w:cs="Arial"/>
          <w:szCs w:val="24"/>
        </w:rPr>
      </w:pPr>
      <w:r>
        <w:rPr>
          <w:rFonts w:ascii="Arial" w:hAnsi="Arial" w:cs="Arial"/>
          <w:szCs w:val="24"/>
        </w:rPr>
        <w:t xml:space="preserve">However, progress in siting the South County facility has been delayed.  After an extended effort to move forward in siting the facility, in February of this year, the Division issued a new “Notice of Availability of Draft EIS”.  A final EIS is anticipated for October of 2016.  It is not clear that siting decisions will be completed this year, or precisely when design and permitting efforts, and subsequent construction activity--will begin.  Initial project expenditures for the South County project began in about 2008, according to the 2006 </w:t>
      </w:r>
      <w:r w:rsidR="00BD021A">
        <w:rPr>
          <w:rFonts w:ascii="Arial" w:hAnsi="Arial" w:cs="Arial"/>
          <w:szCs w:val="24"/>
        </w:rPr>
        <w:t>r</w:t>
      </w:r>
      <w:r>
        <w:rPr>
          <w:rFonts w:ascii="Arial" w:hAnsi="Arial" w:cs="Arial"/>
          <w:szCs w:val="24"/>
        </w:rPr>
        <w:t xml:space="preserve">ate </w:t>
      </w:r>
      <w:r w:rsidR="00BD021A">
        <w:rPr>
          <w:rFonts w:ascii="Arial" w:hAnsi="Arial" w:cs="Arial"/>
          <w:szCs w:val="24"/>
        </w:rPr>
        <w:t>s</w:t>
      </w:r>
      <w:r>
        <w:rPr>
          <w:rFonts w:ascii="Arial" w:hAnsi="Arial" w:cs="Arial"/>
          <w:szCs w:val="24"/>
        </w:rPr>
        <w:t xml:space="preserve">tudy.  By the time of completion, it is likely that the project would have taken over a decade from start to finish. </w:t>
      </w:r>
    </w:p>
    <w:p w14:paraId="21E98C9E" w14:textId="77777777" w:rsidR="003201AC" w:rsidRDefault="003201AC" w:rsidP="003201AC">
      <w:pPr>
        <w:jc w:val="both"/>
        <w:rPr>
          <w:rFonts w:ascii="Arial" w:hAnsi="Arial" w:cs="Arial"/>
          <w:szCs w:val="24"/>
        </w:rPr>
      </w:pPr>
    </w:p>
    <w:p w14:paraId="17C44472" w14:textId="77777777" w:rsidR="00BD021A" w:rsidRPr="00292B3A" w:rsidRDefault="00BD021A" w:rsidP="00BD021A">
      <w:pPr>
        <w:jc w:val="center"/>
        <w:rPr>
          <w:rFonts w:ascii="Arial" w:hAnsi="Arial" w:cs="Arial"/>
          <w:b/>
          <w:szCs w:val="24"/>
          <w:u w:val="single"/>
        </w:rPr>
      </w:pPr>
      <w:r>
        <w:rPr>
          <w:rFonts w:ascii="Arial" w:hAnsi="Arial" w:cs="Arial"/>
          <w:b/>
          <w:szCs w:val="24"/>
          <w:u w:val="single"/>
        </w:rPr>
        <w:t>Table 5</w:t>
      </w:r>
      <w:r w:rsidRPr="00292B3A">
        <w:rPr>
          <w:rFonts w:ascii="Arial" w:hAnsi="Arial" w:cs="Arial"/>
          <w:b/>
          <w:szCs w:val="24"/>
          <w:u w:val="single"/>
        </w:rPr>
        <w:t xml:space="preserve">.  </w:t>
      </w:r>
      <w:r w:rsidRPr="00BD021A">
        <w:rPr>
          <w:rFonts w:ascii="Arial" w:hAnsi="Arial" w:cs="Arial"/>
          <w:b/>
          <w:szCs w:val="24"/>
          <w:u w:val="single"/>
        </w:rPr>
        <w:t>2012 Rate Study:  Anticipated Transfer Station Upgrade Project Schedule</w:t>
      </w:r>
    </w:p>
    <w:p w14:paraId="5F8281FC" w14:textId="77777777" w:rsidR="00BD021A" w:rsidRDefault="00BD021A" w:rsidP="003201AC">
      <w:pPr>
        <w:jc w:val="both"/>
        <w:rPr>
          <w:rFonts w:ascii="Arial" w:hAnsi="Arial" w:cs="Arial"/>
          <w:szCs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3201AC" w14:paraId="164D1075" w14:textId="77777777" w:rsidTr="003116FA">
        <w:tc>
          <w:tcPr>
            <w:tcW w:w="9350" w:type="dxa"/>
            <w:gridSpan w:val="6"/>
            <w:shd w:val="clear" w:color="auto" w:fill="D9D9D9" w:themeFill="background1" w:themeFillShade="D9"/>
          </w:tcPr>
          <w:p w14:paraId="2CC17FB5" w14:textId="77777777" w:rsidR="003201AC" w:rsidRPr="00292B3A" w:rsidRDefault="003201AC" w:rsidP="003116FA">
            <w:pPr>
              <w:jc w:val="center"/>
              <w:rPr>
                <w:rFonts w:ascii="Arial" w:hAnsi="Arial" w:cs="Arial"/>
                <w:b/>
                <w:sz w:val="22"/>
                <w:szCs w:val="22"/>
              </w:rPr>
            </w:pPr>
            <w:r w:rsidRPr="00292B3A">
              <w:rPr>
                <w:rFonts w:ascii="Arial" w:hAnsi="Arial" w:cs="Arial"/>
                <w:b/>
                <w:sz w:val="22"/>
                <w:szCs w:val="22"/>
              </w:rPr>
              <w:t>Comparison of Projected Northeast and South County Transfer Station Expenditures, 2012 v. 2016</w:t>
            </w:r>
          </w:p>
        </w:tc>
      </w:tr>
      <w:tr w:rsidR="003201AC" w14:paraId="1E2B0056" w14:textId="77777777" w:rsidTr="003116FA">
        <w:tc>
          <w:tcPr>
            <w:tcW w:w="1558" w:type="dxa"/>
            <w:shd w:val="clear" w:color="auto" w:fill="D9D9D9" w:themeFill="background1" w:themeFillShade="D9"/>
          </w:tcPr>
          <w:p w14:paraId="257D19D8" w14:textId="77777777" w:rsidR="003201AC" w:rsidRPr="007B1B1A" w:rsidRDefault="003201AC" w:rsidP="003116FA">
            <w:pPr>
              <w:jc w:val="both"/>
              <w:rPr>
                <w:rFonts w:ascii="Arial" w:hAnsi="Arial" w:cs="Arial"/>
                <w:sz w:val="22"/>
                <w:szCs w:val="22"/>
              </w:rPr>
            </w:pPr>
          </w:p>
        </w:tc>
        <w:tc>
          <w:tcPr>
            <w:tcW w:w="1558" w:type="dxa"/>
            <w:shd w:val="clear" w:color="auto" w:fill="D9D9D9" w:themeFill="background1" w:themeFillShade="D9"/>
          </w:tcPr>
          <w:p w14:paraId="4B5535EE" w14:textId="77777777" w:rsidR="003201AC" w:rsidRPr="007B1B1A" w:rsidRDefault="003201AC" w:rsidP="003116FA">
            <w:pPr>
              <w:jc w:val="both"/>
              <w:rPr>
                <w:rFonts w:ascii="Arial" w:hAnsi="Arial" w:cs="Arial"/>
                <w:sz w:val="22"/>
                <w:szCs w:val="22"/>
              </w:rPr>
            </w:pPr>
            <w:r w:rsidRPr="007B1B1A">
              <w:rPr>
                <w:rFonts w:ascii="Arial" w:hAnsi="Arial" w:cs="Arial"/>
                <w:sz w:val="22"/>
                <w:szCs w:val="22"/>
              </w:rPr>
              <w:t>2016</w:t>
            </w:r>
          </w:p>
        </w:tc>
        <w:tc>
          <w:tcPr>
            <w:tcW w:w="1558" w:type="dxa"/>
            <w:shd w:val="clear" w:color="auto" w:fill="D9D9D9" w:themeFill="background1" w:themeFillShade="D9"/>
          </w:tcPr>
          <w:p w14:paraId="1F02C9B9" w14:textId="77777777" w:rsidR="003201AC" w:rsidRPr="007B1B1A" w:rsidRDefault="003201AC" w:rsidP="003116FA">
            <w:pPr>
              <w:jc w:val="both"/>
              <w:rPr>
                <w:rFonts w:ascii="Arial" w:hAnsi="Arial" w:cs="Arial"/>
                <w:sz w:val="22"/>
                <w:szCs w:val="22"/>
              </w:rPr>
            </w:pPr>
            <w:r>
              <w:rPr>
                <w:rFonts w:ascii="Arial" w:hAnsi="Arial" w:cs="Arial"/>
                <w:sz w:val="22"/>
                <w:szCs w:val="22"/>
              </w:rPr>
              <w:t>2017</w:t>
            </w:r>
          </w:p>
        </w:tc>
        <w:tc>
          <w:tcPr>
            <w:tcW w:w="1558" w:type="dxa"/>
            <w:shd w:val="clear" w:color="auto" w:fill="D9D9D9" w:themeFill="background1" w:themeFillShade="D9"/>
          </w:tcPr>
          <w:p w14:paraId="49018504" w14:textId="77777777" w:rsidR="003201AC" w:rsidRPr="007B1B1A" w:rsidRDefault="003201AC" w:rsidP="003116FA">
            <w:pPr>
              <w:jc w:val="both"/>
              <w:rPr>
                <w:rFonts w:ascii="Arial" w:hAnsi="Arial" w:cs="Arial"/>
                <w:sz w:val="22"/>
                <w:szCs w:val="22"/>
              </w:rPr>
            </w:pPr>
            <w:r>
              <w:rPr>
                <w:rFonts w:ascii="Arial" w:hAnsi="Arial" w:cs="Arial"/>
                <w:sz w:val="22"/>
                <w:szCs w:val="22"/>
              </w:rPr>
              <w:t>2018</w:t>
            </w:r>
          </w:p>
        </w:tc>
        <w:tc>
          <w:tcPr>
            <w:tcW w:w="1559" w:type="dxa"/>
            <w:shd w:val="clear" w:color="auto" w:fill="D9D9D9" w:themeFill="background1" w:themeFillShade="D9"/>
          </w:tcPr>
          <w:p w14:paraId="5A58B6E1" w14:textId="77777777" w:rsidR="003201AC" w:rsidRPr="007B1B1A" w:rsidRDefault="003201AC" w:rsidP="003116FA">
            <w:pPr>
              <w:jc w:val="both"/>
              <w:rPr>
                <w:rFonts w:ascii="Arial" w:hAnsi="Arial" w:cs="Arial"/>
                <w:sz w:val="22"/>
                <w:szCs w:val="22"/>
              </w:rPr>
            </w:pPr>
            <w:r>
              <w:rPr>
                <w:rFonts w:ascii="Arial" w:hAnsi="Arial" w:cs="Arial"/>
                <w:sz w:val="22"/>
                <w:szCs w:val="22"/>
              </w:rPr>
              <w:t>2019</w:t>
            </w:r>
          </w:p>
        </w:tc>
        <w:tc>
          <w:tcPr>
            <w:tcW w:w="1559" w:type="dxa"/>
            <w:shd w:val="clear" w:color="auto" w:fill="D9D9D9" w:themeFill="background1" w:themeFillShade="D9"/>
          </w:tcPr>
          <w:p w14:paraId="186CBA12" w14:textId="77777777" w:rsidR="003201AC" w:rsidRPr="007B1B1A" w:rsidRDefault="003201AC" w:rsidP="003116FA">
            <w:pPr>
              <w:jc w:val="both"/>
              <w:rPr>
                <w:rFonts w:ascii="Arial" w:hAnsi="Arial" w:cs="Arial"/>
                <w:sz w:val="22"/>
                <w:szCs w:val="22"/>
              </w:rPr>
            </w:pPr>
            <w:r>
              <w:rPr>
                <w:rFonts w:ascii="Arial" w:hAnsi="Arial" w:cs="Arial"/>
                <w:sz w:val="22"/>
                <w:szCs w:val="22"/>
              </w:rPr>
              <w:t>2020</w:t>
            </w:r>
          </w:p>
        </w:tc>
      </w:tr>
      <w:tr w:rsidR="003201AC" w14:paraId="47CBBC33" w14:textId="77777777" w:rsidTr="003116FA">
        <w:tc>
          <w:tcPr>
            <w:tcW w:w="1558" w:type="dxa"/>
          </w:tcPr>
          <w:p w14:paraId="72B894C4" w14:textId="77777777" w:rsidR="003201AC" w:rsidRPr="007B1B1A" w:rsidRDefault="003201AC" w:rsidP="003116FA">
            <w:pPr>
              <w:jc w:val="both"/>
              <w:rPr>
                <w:rFonts w:ascii="Arial" w:hAnsi="Arial" w:cs="Arial"/>
                <w:sz w:val="20"/>
              </w:rPr>
            </w:pPr>
            <w:r w:rsidRPr="007B1B1A">
              <w:rPr>
                <w:rFonts w:ascii="Arial" w:hAnsi="Arial" w:cs="Arial"/>
                <w:sz w:val="20"/>
              </w:rPr>
              <w:t>Northeast</w:t>
            </w:r>
            <w:r w:rsidR="00BD021A">
              <w:rPr>
                <w:rFonts w:ascii="Arial" w:hAnsi="Arial" w:cs="Arial"/>
                <w:sz w:val="20"/>
              </w:rPr>
              <w:t xml:space="preserve"> 2012</w:t>
            </w:r>
          </w:p>
        </w:tc>
        <w:tc>
          <w:tcPr>
            <w:tcW w:w="1558" w:type="dxa"/>
          </w:tcPr>
          <w:p w14:paraId="2E3025E1" w14:textId="77777777" w:rsidR="003201AC" w:rsidRPr="007B1B1A" w:rsidRDefault="003201AC" w:rsidP="003116FA">
            <w:pPr>
              <w:jc w:val="both"/>
              <w:rPr>
                <w:rFonts w:ascii="Arial" w:hAnsi="Arial" w:cs="Arial"/>
                <w:sz w:val="22"/>
                <w:szCs w:val="22"/>
              </w:rPr>
            </w:pPr>
            <w:r>
              <w:rPr>
                <w:rFonts w:ascii="Arial" w:hAnsi="Arial" w:cs="Arial"/>
                <w:sz w:val="22"/>
                <w:szCs w:val="22"/>
              </w:rPr>
              <w:t>3,991,918</w:t>
            </w:r>
          </w:p>
        </w:tc>
        <w:tc>
          <w:tcPr>
            <w:tcW w:w="1558" w:type="dxa"/>
          </w:tcPr>
          <w:p w14:paraId="0829FA30" w14:textId="77777777" w:rsidR="003201AC" w:rsidRPr="007B1B1A" w:rsidRDefault="003201AC" w:rsidP="003116FA">
            <w:pPr>
              <w:jc w:val="both"/>
              <w:rPr>
                <w:rFonts w:ascii="Arial" w:hAnsi="Arial" w:cs="Arial"/>
                <w:sz w:val="22"/>
                <w:szCs w:val="22"/>
              </w:rPr>
            </w:pPr>
            <w:r>
              <w:rPr>
                <w:rFonts w:ascii="Arial" w:hAnsi="Arial" w:cs="Arial"/>
                <w:sz w:val="22"/>
                <w:szCs w:val="22"/>
              </w:rPr>
              <w:t>7,441,963</w:t>
            </w:r>
          </w:p>
        </w:tc>
        <w:tc>
          <w:tcPr>
            <w:tcW w:w="1558" w:type="dxa"/>
          </w:tcPr>
          <w:p w14:paraId="4D6FC7EC" w14:textId="77777777" w:rsidR="003201AC" w:rsidRPr="007B1B1A" w:rsidRDefault="003201AC" w:rsidP="003116FA">
            <w:pPr>
              <w:jc w:val="both"/>
              <w:rPr>
                <w:rFonts w:ascii="Arial" w:hAnsi="Arial" w:cs="Arial"/>
                <w:sz w:val="22"/>
                <w:szCs w:val="22"/>
              </w:rPr>
            </w:pPr>
            <w:r>
              <w:rPr>
                <w:rFonts w:ascii="Arial" w:hAnsi="Arial" w:cs="Arial"/>
                <w:sz w:val="22"/>
                <w:szCs w:val="22"/>
              </w:rPr>
              <w:t>22,436,238</w:t>
            </w:r>
          </w:p>
        </w:tc>
        <w:tc>
          <w:tcPr>
            <w:tcW w:w="1559" w:type="dxa"/>
          </w:tcPr>
          <w:p w14:paraId="54558352" w14:textId="77777777" w:rsidR="003201AC" w:rsidRPr="007B1B1A" w:rsidRDefault="003201AC" w:rsidP="003116FA">
            <w:pPr>
              <w:jc w:val="both"/>
              <w:rPr>
                <w:rFonts w:ascii="Arial" w:hAnsi="Arial" w:cs="Arial"/>
                <w:sz w:val="22"/>
                <w:szCs w:val="22"/>
              </w:rPr>
            </w:pPr>
            <w:r>
              <w:rPr>
                <w:rFonts w:ascii="Arial" w:hAnsi="Arial" w:cs="Arial"/>
                <w:sz w:val="22"/>
                <w:szCs w:val="22"/>
              </w:rPr>
              <w:t>24,124,598</w:t>
            </w:r>
          </w:p>
        </w:tc>
        <w:tc>
          <w:tcPr>
            <w:tcW w:w="1559" w:type="dxa"/>
          </w:tcPr>
          <w:p w14:paraId="6F9BD1C7" w14:textId="77777777" w:rsidR="003201AC" w:rsidRPr="007B1B1A" w:rsidRDefault="003201AC" w:rsidP="003116FA">
            <w:pPr>
              <w:jc w:val="both"/>
              <w:rPr>
                <w:rFonts w:ascii="Arial" w:hAnsi="Arial" w:cs="Arial"/>
                <w:sz w:val="22"/>
                <w:szCs w:val="22"/>
              </w:rPr>
            </w:pPr>
            <w:r>
              <w:rPr>
                <w:rFonts w:ascii="Arial" w:hAnsi="Arial" w:cs="Arial"/>
                <w:sz w:val="22"/>
                <w:szCs w:val="22"/>
              </w:rPr>
              <w:t>7,622,063</w:t>
            </w:r>
          </w:p>
        </w:tc>
      </w:tr>
      <w:tr w:rsidR="003201AC" w14:paraId="55E3CA19" w14:textId="77777777" w:rsidTr="003116FA">
        <w:tc>
          <w:tcPr>
            <w:tcW w:w="1558" w:type="dxa"/>
          </w:tcPr>
          <w:p w14:paraId="6DFFC292" w14:textId="77777777" w:rsidR="003201AC" w:rsidRPr="007B1B1A" w:rsidRDefault="003201AC" w:rsidP="003116FA">
            <w:pPr>
              <w:jc w:val="both"/>
              <w:rPr>
                <w:rFonts w:ascii="Arial" w:hAnsi="Arial" w:cs="Arial"/>
                <w:sz w:val="20"/>
              </w:rPr>
            </w:pPr>
            <w:r w:rsidRPr="007B1B1A">
              <w:rPr>
                <w:rFonts w:ascii="Arial" w:hAnsi="Arial" w:cs="Arial"/>
                <w:sz w:val="20"/>
              </w:rPr>
              <w:t>Northeast</w:t>
            </w:r>
            <w:r>
              <w:rPr>
                <w:rFonts w:ascii="Arial" w:hAnsi="Arial" w:cs="Arial"/>
                <w:sz w:val="20"/>
              </w:rPr>
              <w:t xml:space="preserve"> 2016</w:t>
            </w:r>
          </w:p>
        </w:tc>
        <w:tc>
          <w:tcPr>
            <w:tcW w:w="1558" w:type="dxa"/>
          </w:tcPr>
          <w:p w14:paraId="07D85746" w14:textId="77777777" w:rsidR="003201AC" w:rsidRDefault="003201AC" w:rsidP="003116FA">
            <w:pPr>
              <w:jc w:val="both"/>
              <w:rPr>
                <w:rFonts w:ascii="Arial" w:hAnsi="Arial" w:cs="Arial"/>
                <w:sz w:val="22"/>
                <w:szCs w:val="22"/>
              </w:rPr>
            </w:pPr>
            <w:r>
              <w:rPr>
                <w:rFonts w:ascii="Arial" w:hAnsi="Arial" w:cs="Arial"/>
                <w:sz w:val="22"/>
                <w:szCs w:val="22"/>
              </w:rPr>
              <w:t>0</w:t>
            </w:r>
          </w:p>
        </w:tc>
        <w:tc>
          <w:tcPr>
            <w:tcW w:w="1558" w:type="dxa"/>
          </w:tcPr>
          <w:p w14:paraId="1198D234" w14:textId="77777777" w:rsidR="003201AC" w:rsidRDefault="003201AC" w:rsidP="003116FA">
            <w:pPr>
              <w:jc w:val="both"/>
              <w:rPr>
                <w:rFonts w:ascii="Arial" w:hAnsi="Arial" w:cs="Arial"/>
                <w:sz w:val="22"/>
                <w:szCs w:val="22"/>
              </w:rPr>
            </w:pPr>
            <w:r>
              <w:rPr>
                <w:rFonts w:ascii="Arial" w:hAnsi="Arial" w:cs="Arial"/>
                <w:sz w:val="22"/>
                <w:szCs w:val="22"/>
              </w:rPr>
              <w:t>0</w:t>
            </w:r>
          </w:p>
        </w:tc>
        <w:tc>
          <w:tcPr>
            <w:tcW w:w="1558" w:type="dxa"/>
          </w:tcPr>
          <w:p w14:paraId="2EC4CA17" w14:textId="77777777" w:rsidR="003201AC" w:rsidRDefault="003201AC" w:rsidP="003116FA">
            <w:pPr>
              <w:jc w:val="both"/>
              <w:rPr>
                <w:rFonts w:ascii="Arial" w:hAnsi="Arial" w:cs="Arial"/>
                <w:sz w:val="22"/>
                <w:szCs w:val="22"/>
              </w:rPr>
            </w:pPr>
            <w:r>
              <w:rPr>
                <w:rFonts w:ascii="Arial" w:hAnsi="Arial" w:cs="Arial"/>
                <w:sz w:val="22"/>
                <w:szCs w:val="22"/>
              </w:rPr>
              <w:t>0</w:t>
            </w:r>
          </w:p>
        </w:tc>
        <w:tc>
          <w:tcPr>
            <w:tcW w:w="1559" w:type="dxa"/>
          </w:tcPr>
          <w:p w14:paraId="4E89ACD8" w14:textId="77777777" w:rsidR="003201AC" w:rsidRDefault="003201AC" w:rsidP="003116FA">
            <w:pPr>
              <w:jc w:val="both"/>
              <w:rPr>
                <w:rFonts w:ascii="Arial" w:hAnsi="Arial" w:cs="Arial"/>
                <w:sz w:val="22"/>
                <w:szCs w:val="22"/>
              </w:rPr>
            </w:pPr>
            <w:r>
              <w:rPr>
                <w:rFonts w:ascii="Arial" w:hAnsi="Arial" w:cs="Arial"/>
                <w:sz w:val="22"/>
                <w:szCs w:val="22"/>
              </w:rPr>
              <w:t>0</w:t>
            </w:r>
          </w:p>
        </w:tc>
        <w:tc>
          <w:tcPr>
            <w:tcW w:w="1559" w:type="dxa"/>
          </w:tcPr>
          <w:p w14:paraId="12B8C82B" w14:textId="77777777" w:rsidR="003201AC" w:rsidRDefault="003201AC" w:rsidP="003116FA">
            <w:pPr>
              <w:jc w:val="both"/>
              <w:rPr>
                <w:rFonts w:ascii="Arial" w:hAnsi="Arial" w:cs="Arial"/>
                <w:sz w:val="22"/>
                <w:szCs w:val="22"/>
              </w:rPr>
            </w:pPr>
            <w:r>
              <w:rPr>
                <w:rFonts w:ascii="Arial" w:hAnsi="Arial" w:cs="Arial"/>
                <w:sz w:val="22"/>
                <w:szCs w:val="22"/>
              </w:rPr>
              <w:t>0</w:t>
            </w:r>
          </w:p>
        </w:tc>
      </w:tr>
      <w:tr w:rsidR="003201AC" w14:paraId="04F7B289" w14:textId="77777777" w:rsidTr="003116FA">
        <w:tc>
          <w:tcPr>
            <w:tcW w:w="1558" w:type="dxa"/>
          </w:tcPr>
          <w:p w14:paraId="1ECD0EEE" w14:textId="77777777" w:rsidR="003201AC" w:rsidRPr="007B1B1A" w:rsidRDefault="003201AC" w:rsidP="003116FA">
            <w:pPr>
              <w:jc w:val="both"/>
              <w:rPr>
                <w:rFonts w:ascii="Arial" w:hAnsi="Arial" w:cs="Arial"/>
                <w:sz w:val="20"/>
              </w:rPr>
            </w:pPr>
            <w:r w:rsidRPr="007B1B1A">
              <w:rPr>
                <w:rFonts w:ascii="Arial" w:hAnsi="Arial" w:cs="Arial"/>
                <w:sz w:val="20"/>
              </w:rPr>
              <w:t>South County</w:t>
            </w:r>
            <w:r>
              <w:rPr>
                <w:rFonts w:ascii="Arial" w:hAnsi="Arial" w:cs="Arial"/>
                <w:sz w:val="20"/>
              </w:rPr>
              <w:t xml:space="preserve"> 2012</w:t>
            </w:r>
          </w:p>
        </w:tc>
        <w:tc>
          <w:tcPr>
            <w:tcW w:w="1558" w:type="dxa"/>
          </w:tcPr>
          <w:p w14:paraId="3BC27EE0" w14:textId="77777777" w:rsidR="003201AC" w:rsidRDefault="003201AC" w:rsidP="003116FA">
            <w:pPr>
              <w:jc w:val="both"/>
              <w:rPr>
                <w:rFonts w:ascii="Arial" w:hAnsi="Arial" w:cs="Arial"/>
                <w:sz w:val="22"/>
                <w:szCs w:val="22"/>
              </w:rPr>
            </w:pPr>
            <w:r>
              <w:rPr>
                <w:rFonts w:ascii="Arial" w:hAnsi="Arial" w:cs="Arial"/>
                <w:sz w:val="22"/>
                <w:szCs w:val="22"/>
              </w:rPr>
              <w:t>22,068,323</w:t>
            </w:r>
          </w:p>
        </w:tc>
        <w:tc>
          <w:tcPr>
            <w:tcW w:w="1558" w:type="dxa"/>
          </w:tcPr>
          <w:p w14:paraId="2F8A3CFB" w14:textId="77777777" w:rsidR="003201AC" w:rsidRDefault="003201AC" w:rsidP="003116FA">
            <w:pPr>
              <w:jc w:val="both"/>
              <w:rPr>
                <w:rFonts w:ascii="Arial" w:hAnsi="Arial" w:cs="Arial"/>
                <w:sz w:val="22"/>
                <w:szCs w:val="22"/>
              </w:rPr>
            </w:pPr>
            <w:r>
              <w:rPr>
                <w:rFonts w:ascii="Arial" w:hAnsi="Arial" w:cs="Arial"/>
                <w:sz w:val="22"/>
                <w:szCs w:val="22"/>
              </w:rPr>
              <w:t>23,737,848</w:t>
            </w:r>
          </w:p>
        </w:tc>
        <w:tc>
          <w:tcPr>
            <w:tcW w:w="1558" w:type="dxa"/>
          </w:tcPr>
          <w:p w14:paraId="65522859" w14:textId="77777777" w:rsidR="003201AC" w:rsidRDefault="003201AC" w:rsidP="003116FA">
            <w:pPr>
              <w:jc w:val="both"/>
              <w:rPr>
                <w:rFonts w:ascii="Arial" w:hAnsi="Arial" w:cs="Arial"/>
                <w:sz w:val="22"/>
                <w:szCs w:val="22"/>
              </w:rPr>
            </w:pPr>
            <w:r>
              <w:rPr>
                <w:rFonts w:ascii="Arial" w:hAnsi="Arial" w:cs="Arial"/>
                <w:sz w:val="22"/>
                <w:szCs w:val="22"/>
              </w:rPr>
              <w:t>7,636,261</w:t>
            </w:r>
          </w:p>
        </w:tc>
        <w:tc>
          <w:tcPr>
            <w:tcW w:w="1559" w:type="dxa"/>
          </w:tcPr>
          <w:p w14:paraId="1BE2BCE5" w14:textId="77777777" w:rsidR="003201AC" w:rsidRDefault="003201AC" w:rsidP="003116FA">
            <w:pPr>
              <w:jc w:val="both"/>
              <w:rPr>
                <w:rFonts w:ascii="Arial" w:hAnsi="Arial" w:cs="Arial"/>
                <w:sz w:val="22"/>
                <w:szCs w:val="22"/>
              </w:rPr>
            </w:pPr>
          </w:p>
        </w:tc>
        <w:tc>
          <w:tcPr>
            <w:tcW w:w="1559" w:type="dxa"/>
          </w:tcPr>
          <w:p w14:paraId="64755982" w14:textId="77777777" w:rsidR="003201AC" w:rsidRDefault="003201AC" w:rsidP="003116FA">
            <w:pPr>
              <w:jc w:val="both"/>
              <w:rPr>
                <w:rFonts w:ascii="Arial" w:hAnsi="Arial" w:cs="Arial"/>
                <w:sz w:val="22"/>
                <w:szCs w:val="22"/>
              </w:rPr>
            </w:pPr>
          </w:p>
        </w:tc>
      </w:tr>
      <w:tr w:rsidR="003201AC" w14:paraId="16740451" w14:textId="77777777" w:rsidTr="003116FA">
        <w:tc>
          <w:tcPr>
            <w:tcW w:w="1558" w:type="dxa"/>
          </w:tcPr>
          <w:p w14:paraId="2D88F13C" w14:textId="77777777" w:rsidR="003201AC" w:rsidRPr="007B1B1A" w:rsidRDefault="003201AC" w:rsidP="003116FA">
            <w:pPr>
              <w:jc w:val="both"/>
              <w:rPr>
                <w:rFonts w:ascii="Arial" w:hAnsi="Arial" w:cs="Arial"/>
                <w:sz w:val="20"/>
              </w:rPr>
            </w:pPr>
            <w:r w:rsidRPr="007B1B1A">
              <w:rPr>
                <w:rFonts w:ascii="Arial" w:hAnsi="Arial" w:cs="Arial"/>
                <w:sz w:val="20"/>
              </w:rPr>
              <w:t>South County</w:t>
            </w:r>
            <w:r>
              <w:rPr>
                <w:rFonts w:ascii="Arial" w:hAnsi="Arial" w:cs="Arial"/>
                <w:sz w:val="20"/>
              </w:rPr>
              <w:t xml:space="preserve"> 2016</w:t>
            </w:r>
          </w:p>
        </w:tc>
        <w:tc>
          <w:tcPr>
            <w:tcW w:w="1558" w:type="dxa"/>
          </w:tcPr>
          <w:p w14:paraId="799B5EDD" w14:textId="77777777" w:rsidR="003201AC" w:rsidRDefault="003201AC" w:rsidP="003116FA">
            <w:pPr>
              <w:jc w:val="both"/>
              <w:rPr>
                <w:rFonts w:ascii="Arial" w:hAnsi="Arial" w:cs="Arial"/>
                <w:sz w:val="22"/>
                <w:szCs w:val="22"/>
              </w:rPr>
            </w:pPr>
            <w:r>
              <w:rPr>
                <w:rFonts w:ascii="Arial" w:hAnsi="Arial" w:cs="Arial"/>
                <w:sz w:val="22"/>
                <w:szCs w:val="22"/>
              </w:rPr>
              <w:t>798,000</w:t>
            </w:r>
          </w:p>
        </w:tc>
        <w:tc>
          <w:tcPr>
            <w:tcW w:w="1558" w:type="dxa"/>
          </w:tcPr>
          <w:p w14:paraId="58933CD8" w14:textId="77777777" w:rsidR="003201AC" w:rsidRDefault="003201AC" w:rsidP="003116FA">
            <w:pPr>
              <w:jc w:val="both"/>
              <w:rPr>
                <w:rFonts w:ascii="Arial" w:hAnsi="Arial" w:cs="Arial"/>
                <w:sz w:val="22"/>
                <w:szCs w:val="22"/>
              </w:rPr>
            </w:pPr>
            <w:r>
              <w:rPr>
                <w:rFonts w:ascii="Arial" w:hAnsi="Arial" w:cs="Arial"/>
                <w:sz w:val="22"/>
                <w:szCs w:val="22"/>
              </w:rPr>
              <w:t>2,509,510</w:t>
            </w:r>
          </w:p>
        </w:tc>
        <w:tc>
          <w:tcPr>
            <w:tcW w:w="1558" w:type="dxa"/>
          </w:tcPr>
          <w:p w14:paraId="23920E5A" w14:textId="77777777" w:rsidR="003201AC" w:rsidRDefault="003201AC" w:rsidP="003116FA">
            <w:pPr>
              <w:jc w:val="both"/>
              <w:rPr>
                <w:rFonts w:ascii="Arial" w:hAnsi="Arial" w:cs="Arial"/>
                <w:sz w:val="22"/>
                <w:szCs w:val="22"/>
              </w:rPr>
            </w:pPr>
            <w:r>
              <w:rPr>
                <w:rFonts w:ascii="Arial" w:hAnsi="Arial" w:cs="Arial"/>
                <w:sz w:val="22"/>
                <w:szCs w:val="22"/>
              </w:rPr>
              <w:t>6,275,223</w:t>
            </w:r>
          </w:p>
        </w:tc>
        <w:tc>
          <w:tcPr>
            <w:tcW w:w="1559" w:type="dxa"/>
          </w:tcPr>
          <w:p w14:paraId="353D4B0B" w14:textId="77777777" w:rsidR="003201AC" w:rsidRDefault="003201AC" w:rsidP="003116FA">
            <w:pPr>
              <w:jc w:val="both"/>
              <w:rPr>
                <w:rFonts w:ascii="Arial" w:hAnsi="Arial" w:cs="Arial"/>
                <w:sz w:val="22"/>
                <w:szCs w:val="22"/>
              </w:rPr>
            </w:pPr>
            <w:r>
              <w:rPr>
                <w:rFonts w:ascii="Arial" w:hAnsi="Arial" w:cs="Arial"/>
                <w:sz w:val="22"/>
                <w:szCs w:val="22"/>
              </w:rPr>
              <w:t>6,441,625</w:t>
            </w:r>
          </w:p>
        </w:tc>
        <w:tc>
          <w:tcPr>
            <w:tcW w:w="1559" w:type="dxa"/>
          </w:tcPr>
          <w:p w14:paraId="0B74AF41" w14:textId="77777777" w:rsidR="003201AC" w:rsidRDefault="003201AC" w:rsidP="003116FA">
            <w:pPr>
              <w:jc w:val="both"/>
              <w:rPr>
                <w:rFonts w:ascii="Arial" w:hAnsi="Arial" w:cs="Arial"/>
                <w:sz w:val="22"/>
                <w:szCs w:val="22"/>
              </w:rPr>
            </w:pPr>
            <w:r>
              <w:rPr>
                <w:rFonts w:ascii="Arial" w:hAnsi="Arial" w:cs="Arial"/>
                <w:sz w:val="22"/>
                <w:szCs w:val="22"/>
              </w:rPr>
              <w:t>34,153,561</w:t>
            </w:r>
          </w:p>
        </w:tc>
      </w:tr>
    </w:tbl>
    <w:p w14:paraId="7BD657A3" w14:textId="77777777" w:rsidR="003201AC" w:rsidRDefault="003201AC" w:rsidP="003201AC">
      <w:pPr>
        <w:jc w:val="both"/>
        <w:rPr>
          <w:rFonts w:ascii="Arial" w:hAnsi="Arial" w:cs="Arial"/>
          <w:szCs w:val="24"/>
        </w:rPr>
      </w:pPr>
    </w:p>
    <w:p w14:paraId="68ECFB9A" w14:textId="77777777" w:rsidR="003201AC" w:rsidRDefault="003201AC" w:rsidP="003201AC">
      <w:pPr>
        <w:jc w:val="both"/>
        <w:rPr>
          <w:rFonts w:ascii="Arial" w:hAnsi="Arial" w:cs="Arial"/>
          <w:szCs w:val="24"/>
        </w:rPr>
      </w:pPr>
      <w:r>
        <w:rPr>
          <w:rFonts w:ascii="Arial" w:hAnsi="Arial" w:cs="Arial"/>
          <w:szCs w:val="24"/>
        </w:rPr>
        <w:t>The outcome of the process described above has been a delay in project expenditures, and in the case of Northeast, a deferral pending demonstration of need.  As a result, anticipated bond sales have been delayed, and bond repayment has been rescheduled.</w:t>
      </w:r>
    </w:p>
    <w:p w14:paraId="667D38A8" w14:textId="77777777" w:rsidR="003201AC" w:rsidRDefault="003201AC" w:rsidP="003201AC">
      <w:pPr>
        <w:jc w:val="both"/>
        <w:rPr>
          <w:rFonts w:ascii="Arial" w:hAnsi="Arial" w:cs="Arial"/>
          <w:szCs w:val="24"/>
        </w:rPr>
      </w:pPr>
    </w:p>
    <w:p w14:paraId="6CF36C94" w14:textId="77777777" w:rsidR="003201AC" w:rsidRDefault="003201AC" w:rsidP="003201AC">
      <w:pPr>
        <w:jc w:val="both"/>
        <w:rPr>
          <w:rFonts w:ascii="Arial" w:hAnsi="Arial" w:cs="Arial"/>
          <w:szCs w:val="24"/>
        </w:rPr>
      </w:pPr>
      <w:r>
        <w:rPr>
          <w:rFonts w:ascii="Arial" w:hAnsi="Arial" w:cs="Arial"/>
          <w:szCs w:val="24"/>
        </w:rPr>
        <w:t>In addition to the rescheduling described above, most participating cities in the s</w:t>
      </w:r>
      <w:r w:rsidR="00BD021A">
        <w:rPr>
          <w:rFonts w:ascii="Arial" w:hAnsi="Arial" w:cs="Arial"/>
          <w:szCs w:val="24"/>
        </w:rPr>
        <w:t>ystem have executed an extended</w:t>
      </w:r>
      <w:r>
        <w:rPr>
          <w:rFonts w:ascii="Arial" w:hAnsi="Arial" w:cs="Arial"/>
          <w:szCs w:val="24"/>
        </w:rPr>
        <w:t xml:space="preserve"> and amended </w:t>
      </w:r>
      <w:proofErr w:type="spellStart"/>
      <w:r>
        <w:rPr>
          <w:rFonts w:ascii="Arial" w:hAnsi="Arial" w:cs="Arial"/>
          <w:szCs w:val="24"/>
        </w:rPr>
        <w:t>Interlocal</w:t>
      </w:r>
      <w:proofErr w:type="spellEnd"/>
      <w:r>
        <w:rPr>
          <w:rFonts w:ascii="Arial" w:hAnsi="Arial" w:cs="Arial"/>
          <w:szCs w:val="24"/>
        </w:rPr>
        <w:t xml:space="preserve"> Agreement committing to the regional solid waste system, continuing through 2040.  This has had the effect of allowing bond sales that may be repaid over several decades, rather than having to be repaid by 2028, reducing the required level of annual payments.  </w:t>
      </w:r>
    </w:p>
    <w:p w14:paraId="51996B04" w14:textId="77777777" w:rsidR="003201AC" w:rsidRDefault="003201AC" w:rsidP="003201AC">
      <w:pPr>
        <w:jc w:val="both"/>
        <w:rPr>
          <w:rFonts w:ascii="Arial" w:hAnsi="Arial" w:cs="Arial"/>
          <w:szCs w:val="24"/>
        </w:rPr>
      </w:pPr>
    </w:p>
    <w:p w14:paraId="05AB5F09" w14:textId="77777777" w:rsidR="003201AC" w:rsidRDefault="003201AC" w:rsidP="003201AC">
      <w:pPr>
        <w:jc w:val="both"/>
        <w:rPr>
          <w:rFonts w:ascii="Arial" w:hAnsi="Arial" w:cs="Arial"/>
          <w:szCs w:val="24"/>
        </w:rPr>
      </w:pPr>
      <w:r>
        <w:rPr>
          <w:rFonts w:ascii="Arial" w:hAnsi="Arial" w:cs="Arial"/>
          <w:szCs w:val="24"/>
        </w:rPr>
        <w:t xml:space="preserve">The table below demonstrates the projected bond repayment schedule </w:t>
      </w:r>
      <w:proofErr w:type="spellStart"/>
      <w:r>
        <w:rPr>
          <w:rFonts w:ascii="Arial" w:hAnsi="Arial" w:cs="Arial"/>
          <w:szCs w:val="24"/>
        </w:rPr>
        <w:t>systemwide</w:t>
      </w:r>
      <w:proofErr w:type="spellEnd"/>
      <w:r>
        <w:rPr>
          <w:rFonts w:ascii="Arial" w:hAnsi="Arial" w:cs="Arial"/>
          <w:szCs w:val="24"/>
        </w:rPr>
        <w:t>, anticipated in 2012, compared to the bond repayment schedule as currently projected.  In 2018, for example, the difference between the amount that had been projected for repayment, and the amount currently anticipated, is $14,414,424.</w:t>
      </w:r>
    </w:p>
    <w:p w14:paraId="1A6982EF" w14:textId="77777777" w:rsidR="003201AC" w:rsidRDefault="003201AC" w:rsidP="003201AC">
      <w:pPr>
        <w:jc w:val="both"/>
        <w:rPr>
          <w:rFonts w:ascii="Arial" w:hAnsi="Arial" w:cs="Arial"/>
          <w:szCs w:val="24"/>
        </w:rPr>
      </w:pPr>
    </w:p>
    <w:p w14:paraId="5CD0DA2C" w14:textId="77777777" w:rsidR="00BD021A" w:rsidRPr="00292B3A" w:rsidRDefault="00BD021A" w:rsidP="00BD021A">
      <w:pPr>
        <w:jc w:val="center"/>
        <w:rPr>
          <w:rFonts w:ascii="Arial" w:hAnsi="Arial" w:cs="Arial"/>
          <w:b/>
          <w:szCs w:val="24"/>
          <w:u w:val="single"/>
        </w:rPr>
      </w:pPr>
      <w:r>
        <w:rPr>
          <w:rFonts w:ascii="Arial" w:hAnsi="Arial" w:cs="Arial"/>
          <w:b/>
          <w:szCs w:val="24"/>
          <w:u w:val="single"/>
        </w:rPr>
        <w:t>Table 6</w:t>
      </w:r>
      <w:r w:rsidRPr="00292B3A">
        <w:rPr>
          <w:rFonts w:ascii="Arial" w:hAnsi="Arial" w:cs="Arial"/>
          <w:b/>
          <w:szCs w:val="24"/>
          <w:u w:val="single"/>
        </w:rPr>
        <w:t xml:space="preserve">.  </w:t>
      </w:r>
      <w:r w:rsidRPr="00BD021A">
        <w:rPr>
          <w:rFonts w:ascii="Arial" w:hAnsi="Arial" w:cs="Arial"/>
          <w:b/>
          <w:szCs w:val="24"/>
          <w:u w:val="single"/>
        </w:rPr>
        <w:t>Payments on Bonded Indebtedness:  2012 Projections v 2016 Projections</w:t>
      </w:r>
    </w:p>
    <w:p w14:paraId="534EB189" w14:textId="77777777" w:rsidR="003201AC" w:rsidRDefault="003201AC" w:rsidP="003201AC">
      <w:pPr>
        <w:jc w:val="both"/>
        <w:rPr>
          <w:rFonts w:ascii="Arial" w:hAnsi="Arial" w:cs="Arial"/>
          <w:szCs w:val="24"/>
        </w:rPr>
      </w:pPr>
    </w:p>
    <w:tbl>
      <w:tblPr>
        <w:tblStyle w:val="TableGrid"/>
        <w:tblW w:w="0" w:type="auto"/>
        <w:tblLook w:val="04A0" w:firstRow="1" w:lastRow="0" w:firstColumn="1" w:lastColumn="0" w:noHBand="0" w:noVBand="1"/>
      </w:tblPr>
      <w:tblGrid>
        <w:gridCol w:w="1705"/>
        <w:gridCol w:w="1411"/>
        <w:gridCol w:w="1558"/>
        <w:gridCol w:w="1558"/>
        <w:gridCol w:w="1559"/>
        <w:gridCol w:w="1559"/>
      </w:tblGrid>
      <w:tr w:rsidR="003201AC" w14:paraId="53F2A7EB" w14:textId="77777777" w:rsidTr="003116FA">
        <w:tc>
          <w:tcPr>
            <w:tcW w:w="1705" w:type="dxa"/>
            <w:shd w:val="clear" w:color="auto" w:fill="D0CECE" w:themeFill="background2" w:themeFillShade="E6"/>
          </w:tcPr>
          <w:p w14:paraId="0CFDAFA9" w14:textId="77777777" w:rsidR="003201AC" w:rsidRDefault="003201AC" w:rsidP="003116FA">
            <w:pPr>
              <w:jc w:val="both"/>
              <w:rPr>
                <w:rFonts w:ascii="Arial" w:hAnsi="Arial" w:cs="Arial"/>
                <w:szCs w:val="24"/>
              </w:rPr>
            </w:pPr>
          </w:p>
        </w:tc>
        <w:tc>
          <w:tcPr>
            <w:tcW w:w="1411" w:type="dxa"/>
            <w:shd w:val="clear" w:color="auto" w:fill="D0CECE" w:themeFill="background2" w:themeFillShade="E6"/>
          </w:tcPr>
          <w:p w14:paraId="7B48A688" w14:textId="77777777" w:rsidR="003201AC" w:rsidRPr="007B1B1A" w:rsidRDefault="003201AC" w:rsidP="003116FA">
            <w:pPr>
              <w:jc w:val="center"/>
              <w:rPr>
                <w:rFonts w:ascii="Arial" w:hAnsi="Arial" w:cs="Arial"/>
                <w:szCs w:val="24"/>
              </w:rPr>
            </w:pPr>
            <w:r w:rsidRPr="007B1B1A">
              <w:rPr>
                <w:rFonts w:ascii="Arial" w:hAnsi="Arial" w:cs="Arial"/>
                <w:szCs w:val="24"/>
              </w:rPr>
              <w:t>2016</w:t>
            </w:r>
          </w:p>
        </w:tc>
        <w:tc>
          <w:tcPr>
            <w:tcW w:w="1558" w:type="dxa"/>
            <w:shd w:val="clear" w:color="auto" w:fill="D0CECE" w:themeFill="background2" w:themeFillShade="E6"/>
          </w:tcPr>
          <w:p w14:paraId="2D299BD4" w14:textId="77777777" w:rsidR="003201AC" w:rsidRPr="007B1B1A" w:rsidRDefault="003201AC" w:rsidP="003116FA">
            <w:pPr>
              <w:jc w:val="center"/>
              <w:rPr>
                <w:rFonts w:ascii="Arial" w:hAnsi="Arial" w:cs="Arial"/>
                <w:szCs w:val="24"/>
              </w:rPr>
            </w:pPr>
            <w:r w:rsidRPr="007B1B1A">
              <w:rPr>
                <w:rFonts w:ascii="Arial" w:hAnsi="Arial" w:cs="Arial"/>
                <w:szCs w:val="24"/>
              </w:rPr>
              <w:t>2017</w:t>
            </w:r>
          </w:p>
        </w:tc>
        <w:tc>
          <w:tcPr>
            <w:tcW w:w="1558" w:type="dxa"/>
            <w:shd w:val="clear" w:color="auto" w:fill="D0CECE" w:themeFill="background2" w:themeFillShade="E6"/>
          </w:tcPr>
          <w:p w14:paraId="304BE790" w14:textId="77777777" w:rsidR="003201AC" w:rsidRPr="007B1B1A" w:rsidRDefault="003201AC" w:rsidP="003116FA">
            <w:pPr>
              <w:jc w:val="center"/>
              <w:rPr>
                <w:rFonts w:ascii="Arial" w:hAnsi="Arial" w:cs="Arial"/>
                <w:szCs w:val="24"/>
              </w:rPr>
            </w:pPr>
            <w:r w:rsidRPr="007B1B1A">
              <w:rPr>
                <w:rFonts w:ascii="Arial" w:hAnsi="Arial" w:cs="Arial"/>
                <w:szCs w:val="24"/>
              </w:rPr>
              <w:t>2018</w:t>
            </w:r>
          </w:p>
        </w:tc>
        <w:tc>
          <w:tcPr>
            <w:tcW w:w="1559" w:type="dxa"/>
            <w:shd w:val="clear" w:color="auto" w:fill="D0CECE" w:themeFill="background2" w:themeFillShade="E6"/>
          </w:tcPr>
          <w:p w14:paraId="6AFF4717" w14:textId="77777777" w:rsidR="003201AC" w:rsidRPr="007B1B1A" w:rsidRDefault="003201AC" w:rsidP="003116FA">
            <w:pPr>
              <w:jc w:val="center"/>
              <w:rPr>
                <w:rFonts w:ascii="Arial" w:hAnsi="Arial" w:cs="Arial"/>
                <w:szCs w:val="24"/>
              </w:rPr>
            </w:pPr>
            <w:r w:rsidRPr="007B1B1A">
              <w:rPr>
                <w:rFonts w:ascii="Arial" w:hAnsi="Arial" w:cs="Arial"/>
                <w:szCs w:val="24"/>
              </w:rPr>
              <w:t>2019</w:t>
            </w:r>
          </w:p>
        </w:tc>
        <w:tc>
          <w:tcPr>
            <w:tcW w:w="1559" w:type="dxa"/>
            <w:shd w:val="clear" w:color="auto" w:fill="D0CECE" w:themeFill="background2" w:themeFillShade="E6"/>
          </w:tcPr>
          <w:p w14:paraId="5E573E01" w14:textId="77777777" w:rsidR="003201AC" w:rsidRPr="007B1B1A" w:rsidRDefault="003201AC" w:rsidP="003116FA">
            <w:pPr>
              <w:jc w:val="center"/>
              <w:rPr>
                <w:rFonts w:ascii="Arial" w:hAnsi="Arial" w:cs="Arial"/>
                <w:szCs w:val="24"/>
              </w:rPr>
            </w:pPr>
            <w:r w:rsidRPr="007B1B1A">
              <w:rPr>
                <w:rFonts w:ascii="Arial" w:hAnsi="Arial" w:cs="Arial"/>
                <w:szCs w:val="24"/>
              </w:rPr>
              <w:t>2020</w:t>
            </w:r>
          </w:p>
        </w:tc>
      </w:tr>
      <w:tr w:rsidR="003201AC" w14:paraId="73CD3311" w14:textId="77777777" w:rsidTr="003116FA">
        <w:tc>
          <w:tcPr>
            <w:tcW w:w="1705" w:type="dxa"/>
          </w:tcPr>
          <w:p w14:paraId="1F20D05E" w14:textId="77777777" w:rsidR="003201AC" w:rsidRPr="007B1B1A" w:rsidRDefault="003201AC" w:rsidP="003116FA">
            <w:pPr>
              <w:jc w:val="both"/>
              <w:rPr>
                <w:rFonts w:ascii="Arial" w:hAnsi="Arial" w:cs="Arial"/>
                <w:b/>
                <w:sz w:val="18"/>
                <w:szCs w:val="18"/>
              </w:rPr>
            </w:pPr>
            <w:r>
              <w:rPr>
                <w:rFonts w:ascii="Arial" w:hAnsi="Arial" w:cs="Arial"/>
                <w:b/>
                <w:sz w:val="18"/>
                <w:szCs w:val="18"/>
              </w:rPr>
              <w:t xml:space="preserve">2012 </w:t>
            </w:r>
            <w:r w:rsidRPr="007B1B1A">
              <w:rPr>
                <w:rFonts w:ascii="Arial" w:hAnsi="Arial" w:cs="Arial"/>
                <w:b/>
                <w:sz w:val="18"/>
                <w:szCs w:val="18"/>
              </w:rPr>
              <w:t>Rate Study</w:t>
            </w:r>
          </w:p>
        </w:tc>
        <w:tc>
          <w:tcPr>
            <w:tcW w:w="1411" w:type="dxa"/>
          </w:tcPr>
          <w:p w14:paraId="48E67280" w14:textId="77777777" w:rsidR="003201AC" w:rsidRPr="007B1B1A" w:rsidRDefault="003201AC" w:rsidP="003116FA">
            <w:pPr>
              <w:jc w:val="both"/>
              <w:rPr>
                <w:rFonts w:ascii="Arial" w:hAnsi="Arial" w:cs="Arial"/>
                <w:sz w:val="22"/>
                <w:szCs w:val="22"/>
              </w:rPr>
            </w:pPr>
            <w:r w:rsidRPr="007B1B1A">
              <w:rPr>
                <w:rFonts w:ascii="Arial" w:hAnsi="Arial" w:cs="Arial"/>
                <w:sz w:val="22"/>
                <w:szCs w:val="22"/>
              </w:rPr>
              <w:t>21,704,322</w:t>
            </w:r>
          </w:p>
        </w:tc>
        <w:tc>
          <w:tcPr>
            <w:tcW w:w="1558" w:type="dxa"/>
          </w:tcPr>
          <w:p w14:paraId="4BC375DC" w14:textId="77777777" w:rsidR="003201AC" w:rsidRPr="007B1B1A" w:rsidRDefault="003201AC" w:rsidP="003116FA">
            <w:pPr>
              <w:jc w:val="both"/>
              <w:rPr>
                <w:rFonts w:ascii="Arial" w:hAnsi="Arial" w:cs="Arial"/>
                <w:sz w:val="22"/>
                <w:szCs w:val="22"/>
              </w:rPr>
            </w:pPr>
            <w:r w:rsidRPr="007B1B1A">
              <w:rPr>
                <w:rFonts w:ascii="Arial" w:hAnsi="Arial" w:cs="Arial"/>
                <w:sz w:val="22"/>
                <w:szCs w:val="22"/>
              </w:rPr>
              <w:t>24,753,779</w:t>
            </w:r>
          </w:p>
        </w:tc>
        <w:tc>
          <w:tcPr>
            <w:tcW w:w="1558" w:type="dxa"/>
          </w:tcPr>
          <w:p w14:paraId="248D5F33" w14:textId="77777777" w:rsidR="003201AC" w:rsidRPr="007B1B1A" w:rsidRDefault="003201AC" w:rsidP="003116FA">
            <w:pPr>
              <w:jc w:val="both"/>
              <w:rPr>
                <w:rFonts w:ascii="Arial" w:hAnsi="Arial" w:cs="Arial"/>
                <w:sz w:val="22"/>
                <w:szCs w:val="22"/>
              </w:rPr>
            </w:pPr>
            <w:r w:rsidRPr="007B1B1A">
              <w:rPr>
                <w:rFonts w:ascii="Arial" w:hAnsi="Arial" w:cs="Arial"/>
                <w:sz w:val="22"/>
                <w:szCs w:val="22"/>
              </w:rPr>
              <w:t>28,014,087</w:t>
            </w:r>
          </w:p>
        </w:tc>
        <w:tc>
          <w:tcPr>
            <w:tcW w:w="1559" w:type="dxa"/>
          </w:tcPr>
          <w:p w14:paraId="5E89FF0B" w14:textId="77777777" w:rsidR="003201AC" w:rsidRPr="007B1B1A" w:rsidRDefault="003201AC" w:rsidP="003116FA">
            <w:pPr>
              <w:jc w:val="both"/>
              <w:rPr>
                <w:rFonts w:ascii="Arial" w:hAnsi="Arial" w:cs="Arial"/>
                <w:sz w:val="22"/>
                <w:szCs w:val="22"/>
              </w:rPr>
            </w:pPr>
            <w:r w:rsidRPr="007B1B1A">
              <w:rPr>
                <w:rFonts w:ascii="Arial" w:hAnsi="Arial" w:cs="Arial"/>
                <w:sz w:val="22"/>
                <w:szCs w:val="22"/>
              </w:rPr>
              <w:t>30,710,638</w:t>
            </w:r>
          </w:p>
        </w:tc>
        <w:tc>
          <w:tcPr>
            <w:tcW w:w="1559" w:type="dxa"/>
          </w:tcPr>
          <w:p w14:paraId="6F0A28D4" w14:textId="77777777" w:rsidR="003201AC" w:rsidRPr="007B1B1A" w:rsidRDefault="003201AC" w:rsidP="003116FA">
            <w:pPr>
              <w:jc w:val="both"/>
              <w:rPr>
                <w:rFonts w:ascii="Arial" w:hAnsi="Arial" w:cs="Arial"/>
                <w:sz w:val="22"/>
                <w:szCs w:val="22"/>
              </w:rPr>
            </w:pPr>
            <w:r w:rsidRPr="007B1B1A">
              <w:rPr>
                <w:rFonts w:ascii="Arial" w:hAnsi="Arial" w:cs="Arial"/>
                <w:sz w:val="22"/>
                <w:szCs w:val="22"/>
              </w:rPr>
              <w:t>31,481,491</w:t>
            </w:r>
          </w:p>
        </w:tc>
      </w:tr>
      <w:tr w:rsidR="003201AC" w14:paraId="32CCD00E" w14:textId="77777777" w:rsidTr="003116FA">
        <w:tc>
          <w:tcPr>
            <w:tcW w:w="1705" w:type="dxa"/>
          </w:tcPr>
          <w:p w14:paraId="222CFC4D" w14:textId="77777777" w:rsidR="003201AC" w:rsidRPr="007B1B1A" w:rsidRDefault="003201AC" w:rsidP="003116FA">
            <w:pPr>
              <w:jc w:val="both"/>
              <w:rPr>
                <w:rFonts w:ascii="Arial" w:hAnsi="Arial" w:cs="Arial"/>
                <w:b/>
                <w:sz w:val="18"/>
                <w:szCs w:val="18"/>
              </w:rPr>
            </w:pPr>
            <w:r w:rsidRPr="007B1B1A">
              <w:rPr>
                <w:rFonts w:ascii="Arial" w:hAnsi="Arial" w:cs="Arial"/>
                <w:b/>
                <w:sz w:val="18"/>
                <w:szCs w:val="18"/>
              </w:rPr>
              <w:t>201</w:t>
            </w:r>
            <w:r>
              <w:rPr>
                <w:rFonts w:ascii="Arial" w:hAnsi="Arial" w:cs="Arial"/>
                <w:b/>
                <w:sz w:val="18"/>
                <w:szCs w:val="18"/>
              </w:rPr>
              <w:t>6</w:t>
            </w:r>
            <w:r w:rsidRPr="007B1B1A">
              <w:rPr>
                <w:rFonts w:ascii="Arial" w:hAnsi="Arial" w:cs="Arial"/>
                <w:b/>
                <w:sz w:val="18"/>
                <w:szCs w:val="18"/>
              </w:rPr>
              <w:t xml:space="preserve"> Rate Study</w:t>
            </w:r>
          </w:p>
        </w:tc>
        <w:tc>
          <w:tcPr>
            <w:tcW w:w="1411" w:type="dxa"/>
          </w:tcPr>
          <w:p w14:paraId="32D7E9D2" w14:textId="77777777" w:rsidR="003201AC" w:rsidRPr="007B1B1A" w:rsidRDefault="003201AC" w:rsidP="003116FA">
            <w:pPr>
              <w:jc w:val="both"/>
              <w:rPr>
                <w:rFonts w:ascii="Arial" w:hAnsi="Arial" w:cs="Arial"/>
                <w:sz w:val="22"/>
                <w:szCs w:val="22"/>
              </w:rPr>
            </w:pPr>
            <w:r w:rsidRPr="007B1B1A">
              <w:rPr>
                <w:rFonts w:ascii="Arial" w:hAnsi="Arial" w:cs="Arial"/>
                <w:sz w:val="22"/>
                <w:szCs w:val="22"/>
              </w:rPr>
              <w:t>11,478,095</w:t>
            </w:r>
          </w:p>
        </w:tc>
        <w:tc>
          <w:tcPr>
            <w:tcW w:w="1558" w:type="dxa"/>
          </w:tcPr>
          <w:p w14:paraId="2031DA95" w14:textId="77777777" w:rsidR="003201AC" w:rsidRPr="007B1B1A" w:rsidRDefault="003201AC" w:rsidP="003116FA">
            <w:pPr>
              <w:jc w:val="both"/>
              <w:rPr>
                <w:rFonts w:ascii="Arial" w:hAnsi="Arial" w:cs="Arial"/>
                <w:sz w:val="22"/>
                <w:szCs w:val="22"/>
              </w:rPr>
            </w:pPr>
            <w:r w:rsidRPr="007B1B1A">
              <w:rPr>
                <w:rFonts w:ascii="Arial" w:hAnsi="Arial" w:cs="Arial"/>
                <w:sz w:val="22"/>
                <w:szCs w:val="22"/>
              </w:rPr>
              <w:t>13,732,413</w:t>
            </w:r>
          </w:p>
        </w:tc>
        <w:tc>
          <w:tcPr>
            <w:tcW w:w="1558" w:type="dxa"/>
          </w:tcPr>
          <w:p w14:paraId="339B4FEF" w14:textId="77777777" w:rsidR="003201AC" w:rsidRPr="007B1B1A" w:rsidRDefault="003201AC" w:rsidP="003116FA">
            <w:pPr>
              <w:jc w:val="both"/>
              <w:rPr>
                <w:rFonts w:ascii="Arial" w:hAnsi="Arial" w:cs="Arial"/>
                <w:sz w:val="22"/>
                <w:szCs w:val="22"/>
              </w:rPr>
            </w:pPr>
            <w:r w:rsidRPr="007B1B1A">
              <w:rPr>
                <w:rFonts w:ascii="Arial" w:hAnsi="Arial" w:cs="Arial"/>
                <w:sz w:val="22"/>
                <w:szCs w:val="22"/>
              </w:rPr>
              <w:t>13,599,663</w:t>
            </w:r>
          </w:p>
        </w:tc>
        <w:tc>
          <w:tcPr>
            <w:tcW w:w="1559" w:type="dxa"/>
          </w:tcPr>
          <w:p w14:paraId="68565A70" w14:textId="77777777" w:rsidR="003201AC" w:rsidRPr="007B1B1A" w:rsidRDefault="003201AC" w:rsidP="003116FA">
            <w:pPr>
              <w:jc w:val="both"/>
              <w:rPr>
                <w:rFonts w:ascii="Arial" w:hAnsi="Arial" w:cs="Arial"/>
                <w:sz w:val="22"/>
                <w:szCs w:val="22"/>
              </w:rPr>
            </w:pPr>
            <w:r w:rsidRPr="007B1B1A">
              <w:rPr>
                <w:rFonts w:ascii="Arial" w:hAnsi="Arial" w:cs="Arial"/>
                <w:sz w:val="22"/>
                <w:szCs w:val="22"/>
              </w:rPr>
              <w:t>13,602,163</w:t>
            </w:r>
          </w:p>
        </w:tc>
        <w:tc>
          <w:tcPr>
            <w:tcW w:w="1559" w:type="dxa"/>
          </w:tcPr>
          <w:p w14:paraId="53D879FD" w14:textId="77777777" w:rsidR="003201AC" w:rsidRPr="007B1B1A" w:rsidRDefault="003201AC" w:rsidP="003116FA">
            <w:pPr>
              <w:jc w:val="both"/>
              <w:rPr>
                <w:rFonts w:ascii="Arial" w:hAnsi="Arial" w:cs="Arial"/>
                <w:sz w:val="22"/>
                <w:szCs w:val="22"/>
              </w:rPr>
            </w:pPr>
            <w:r w:rsidRPr="007B1B1A">
              <w:rPr>
                <w:rFonts w:ascii="Arial" w:hAnsi="Arial" w:cs="Arial"/>
                <w:sz w:val="22"/>
                <w:szCs w:val="22"/>
              </w:rPr>
              <w:t>16,478,047</w:t>
            </w:r>
          </w:p>
        </w:tc>
      </w:tr>
    </w:tbl>
    <w:p w14:paraId="76566733" w14:textId="77777777" w:rsidR="003201AC" w:rsidRPr="007B1B1A" w:rsidRDefault="003201AC" w:rsidP="003201AC">
      <w:pPr>
        <w:jc w:val="both"/>
        <w:rPr>
          <w:rFonts w:ascii="Arial" w:hAnsi="Arial" w:cs="Arial"/>
          <w:szCs w:val="24"/>
        </w:rPr>
      </w:pPr>
    </w:p>
    <w:p w14:paraId="6BC1FF9E" w14:textId="77777777" w:rsidR="003201AC" w:rsidRDefault="003201AC" w:rsidP="003201AC">
      <w:pPr>
        <w:jc w:val="both"/>
        <w:rPr>
          <w:rFonts w:ascii="Arial" w:hAnsi="Arial" w:cs="Arial"/>
          <w:szCs w:val="24"/>
        </w:rPr>
      </w:pPr>
      <w:r>
        <w:rPr>
          <w:rFonts w:ascii="Arial" w:hAnsi="Arial" w:cs="Arial"/>
          <w:szCs w:val="24"/>
        </w:rPr>
        <w:t xml:space="preserve">Staff is seeking further information on this issue.  </w:t>
      </w:r>
    </w:p>
    <w:p w14:paraId="0C78466A" w14:textId="77777777" w:rsidR="003201AC" w:rsidRDefault="003201AC" w:rsidP="003201AC">
      <w:pPr>
        <w:jc w:val="both"/>
        <w:rPr>
          <w:rFonts w:ascii="Arial" w:hAnsi="Arial" w:cs="Arial"/>
          <w:szCs w:val="24"/>
        </w:rPr>
      </w:pPr>
    </w:p>
    <w:p w14:paraId="7D320747" w14:textId="77777777" w:rsidR="003627EB" w:rsidRDefault="003627EB" w:rsidP="003201AC">
      <w:pPr>
        <w:jc w:val="both"/>
        <w:rPr>
          <w:rFonts w:ascii="Arial" w:hAnsi="Arial" w:cs="Arial"/>
          <w:szCs w:val="24"/>
        </w:rPr>
      </w:pPr>
    </w:p>
    <w:p w14:paraId="034E2688" w14:textId="77777777" w:rsidR="003201AC" w:rsidRDefault="003201AC" w:rsidP="003201AC">
      <w:pPr>
        <w:jc w:val="both"/>
        <w:rPr>
          <w:rFonts w:ascii="Arial" w:hAnsi="Arial" w:cs="Arial"/>
          <w:szCs w:val="24"/>
          <w:u w:val="single"/>
        </w:rPr>
      </w:pPr>
      <w:r>
        <w:rPr>
          <w:rFonts w:ascii="Arial" w:hAnsi="Arial" w:cs="Arial"/>
          <w:szCs w:val="24"/>
          <w:u w:val="single"/>
        </w:rPr>
        <w:t>Cedar Hills</w:t>
      </w:r>
    </w:p>
    <w:p w14:paraId="6828ED12" w14:textId="77777777" w:rsidR="003201AC" w:rsidRDefault="003201AC" w:rsidP="003201AC">
      <w:pPr>
        <w:pStyle w:val="ListParagraph"/>
        <w:ind w:left="0"/>
        <w:jc w:val="both"/>
        <w:rPr>
          <w:rFonts w:ascii="Arial" w:hAnsi="Arial" w:cs="Arial"/>
        </w:rPr>
      </w:pPr>
      <w:r>
        <w:rPr>
          <w:rFonts w:ascii="Arial" w:hAnsi="Arial" w:cs="Arial"/>
        </w:rPr>
        <w:t xml:space="preserve">The Rate Study recommends $3.6 million to “Fortify the Cedar Hills Landfill Reserve Fund”.  One function of the Landfill Reserve Fund is to accumulate funding necessary to support monitoring and maintenance activities at the landfill for a 30-year period after its closure date.  Over the last few years, the anticipated closure date has been moved progressively further into the future, as waste volume projections have declined compared to earlier projections, and as landfill settlement patterns have become more defined.  The agency has referred to closure dates of 2028 until recently.  </w:t>
      </w:r>
    </w:p>
    <w:p w14:paraId="1CFFA939" w14:textId="77777777" w:rsidR="00464C52" w:rsidRDefault="00464C52" w:rsidP="003201AC">
      <w:pPr>
        <w:pStyle w:val="ListParagraph"/>
        <w:ind w:left="0"/>
        <w:jc w:val="both"/>
        <w:rPr>
          <w:rFonts w:ascii="Arial" w:hAnsi="Arial" w:cs="Arial"/>
        </w:rPr>
      </w:pPr>
    </w:p>
    <w:p w14:paraId="051BB831" w14:textId="33F05A37" w:rsidR="003201AC" w:rsidRDefault="003201AC" w:rsidP="003201AC">
      <w:pPr>
        <w:pStyle w:val="ListParagraph"/>
        <w:ind w:left="0"/>
        <w:jc w:val="both"/>
        <w:rPr>
          <w:rFonts w:ascii="Arial" w:hAnsi="Arial" w:cs="Arial"/>
        </w:rPr>
      </w:pPr>
      <w:r>
        <w:rPr>
          <w:rFonts w:ascii="Arial" w:hAnsi="Arial" w:cs="Arial"/>
        </w:rPr>
        <w:t xml:space="preserve">For the first time, the current </w:t>
      </w:r>
      <w:r w:rsidR="00BD021A">
        <w:rPr>
          <w:rFonts w:ascii="Arial" w:hAnsi="Arial" w:cs="Arial"/>
        </w:rPr>
        <w:t>r</w:t>
      </w:r>
      <w:r>
        <w:rPr>
          <w:rFonts w:ascii="Arial" w:hAnsi="Arial" w:cs="Arial"/>
        </w:rPr>
        <w:t xml:space="preserve">ate </w:t>
      </w:r>
      <w:r w:rsidR="00BD021A">
        <w:rPr>
          <w:rFonts w:ascii="Arial" w:hAnsi="Arial" w:cs="Arial"/>
        </w:rPr>
        <w:t>s</w:t>
      </w:r>
      <w:r>
        <w:rPr>
          <w:rFonts w:ascii="Arial" w:hAnsi="Arial" w:cs="Arial"/>
        </w:rPr>
        <w:t xml:space="preserve">tudy reverses the trend of recent years, and identifies a closure date of 2027.  This is noteworthy, in that it allows </w:t>
      </w:r>
      <w:r w:rsidR="00464C52">
        <w:rPr>
          <w:rFonts w:ascii="Arial" w:hAnsi="Arial" w:cs="Arial"/>
        </w:rPr>
        <w:t xml:space="preserve">fewer </w:t>
      </w:r>
      <w:r>
        <w:rPr>
          <w:rFonts w:ascii="Arial" w:hAnsi="Arial" w:cs="Arial"/>
        </w:rPr>
        <w:t xml:space="preserve">years to accumulate needed post-closure maintenance/monitoring funding.  </w:t>
      </w:r>
    </w:p>
    <w:p w14:paraId="1375E275" w14:textId="77777777" w:rsidR="00BD021A" w:rsidRDefault="00BD021A" w:rsidP="003201AC">
      <w:pPr>
        <w:pStyle w:val="ListParagraph"/>
        <w:ind w:left="0"/>
        <w:jc w:val="both"/>
        <w:rPr>
          <w:rFonts w:ascii="Arial" w:hAnsi="Arial" w:cs="Arial"/>
        </w:rPr>
      </w:pPr>
    </w:p>
    <w:p w14:paraId="2C7D4DE4" w14:textId="3972609F" w:rsidR="003201AC" w:rsidRDefault="003201AC" w:rsidP="003201AC">
      <w:pPr>
        <w:pStyle w:val="ListParagraph"/>
        <w:ind w:left="0"/>
        <w:jc w:val="both"/>
        <w:rPr>
          <w:rFonts w:ascii="Arial" w:hAnsi="Arial" w:cs="Arial"/>
        </w:rPr>
      </w:pPr>
      <w:r>
        <w:rPr>
          <w:rFonts w:ascii="Arial" w:hAnsi="Arial" w:cs="Arial"/>
        </w:rPr>
        <w:t xml:space="preserve">In the 2015-2016 budget, the Council approved an update to the 2010 Cedar Hills Site Development Plan.  That Plan had established county policy to acknowledge an in-county landfill as the least expensive disposal option, and to extend the life of the landfill to the extent possible.  The Revised Site Development Plan was anticipated at the end of December 2015, later projected at July, 2016.  The intent of the Revised Plan was to recommend strategies to further extend the life of the landfill; the </w:t>
      </w:r>
      <w:r w:rsidR="00BD021A">
        <w:rPr>
          <w:rFonts w:ascii="Arial" w:hAnsi="Arial" w:cs="Arial"/>
        </w:rPr>
        <w:t>r</w:t>
      </w:r>
      <w:r>
        <w:rPr>
          <w:rFonts w:ascii="Arial" w:hAnsi="Arial" w:cs="Arial"/>
        </w:rPr>
        <w:t xml:space="preserve">ate </w:t>
      </w:r>
      <w:r w:rsidR="00BD021A">
        <w:rPr>
          <w:rFonts w:ascii="Arial" w:hAnsi="Arial" w:cs="Arial"/>
        </w:rPr>
        <w:t>s</w:t>
      </w:r>
      <w:r>
        <w:rPr>
          <w:rFonts w:ascii="Arial" w:hAnsi="Arial" w:cs="Arial"/>
        </w:rPr>
        <w:t>tudy refers to “cost-e</w:t>
      </w:r>
      <w:r w:rsidR="00464C52">
        <w:rPr>
          <w:rFonts w:ascii="Arial" w:hAnsi="Arial" w:cs="Arial"/>
        </w:rPr>
        <w:t>ffective capacity through 2040.”</w:t>
      </w:r>
      <w:r>
        <w:rPr>
          <w:rFonts w:ascii="Arial" w:hAnsi="Arial" w:cs="Arial"/>
        </w:rPr>
        <w:t xml:space="preserve">  </w:t>
      </w:r>
    </w:p>
    <w:p w14:paraId="5E21DDD2" w14:textId="77777777" w:rsidR="003201AC" w:rsidRDefault="003201AC" w:rsidP="003201AC">
      <w:pPr>
        <w:pStyle w:val="ListParagraph"/>
        <w:ind w:left="0"/>
        <w:jc w:val="both"/>
        <w:rPr>
          <w:rFonts w:ascii="Arial" w:hAnsi="Arial" w:cs="Arial"/>
        </w:rPr>
      </w:pPr>
    </w:p>
    <w:p w14:paraId="5447B1C1" w14:textId="11EC7FFD" w:rsidR="003201AC" w:rsidRPr="00292B3A" w:rsidRDefault="003201AC" w:rsidP="003201AC">
      <w:pPr>
        <w:pStyle w:val="ListParagraph"/>
        <w:ind w:left="0"/>
        <w:jc w:val="both"/>
        <w:rPr>
          <w:rFonts w:ascii="Arial" w:hAnsi="Arial" w:cs="Arial"/>
        </w:rPr>
      </w:pPr>
      <w:r>
        <w:rPr>
          <w:rFonts w:ascii="Arial" w:hAnsi="Arial" w:cs="Arial"/>
        </w:rPr>
        <w:t xml:space="preserve">Staff is inquiring as to the status of the Revised Site Development Plan, and the impact of a more limited, rather than extended, period during which to accumulate necessary post-closure monitoring/maintenance funding.  The Council </w:t>
      </w:r>
      <w:r w:rsidR="00464C52">
        <w:rPr>
          <w:rFonts w:ascii="Arial" w:hAnsi="Arial" w:cs="Arial"/>
        </w:rPr>
        <w:t xml:space="preserve">may </w:t>
      </w:r>
      <w:r>
        <w:rPr>
          <w:rFonts w:ascii="Arial" w:hAnsi="Arial" w:cs="Arial"/>
        </w:rPr>
        <w:t xml:space="preserve">want to consider whether to support a Landfill Reserve Fund increase that assumes a 2027 closure date, in the context of an anticipated recommendation to extend the closure date, pursuant to a report anticipated soon. </w:t>
      </w:r>
    </w:p>
    <w:p w14:paraId="5D7B2B9A" w14:textId="77777777" w:rsidR="003201AC" w:rsidRDefault="003201AC" w:rsidP="003201AC">
      <w:pPr>
        <w:pStyle w:val="ListParagraph"/>
        <w:ind w:left="0"/>
        <w:jc w:val="both"/>
        <w:rPr>
          <w:rFonts w:ascii="Arial" w:hAnsi="Arial" w:cs="Arial"/>
          <w:i/>
          <w:u w:val="single"/>
        </w:rPr>
      </w:pPr>
    </w:p>
    <w:p w14:paraId="5944A1C3" w14:textId="77777777" w:rsidR="003201AC" w:rsidRDefault="003201AC" w:rsidP="003201AC">
      <w:pPr>
        <w:rPr>
          <w:rFonts w:ascii="Arial" w:hAnsi="Arial" w:cs="Arial"/>
          <w:b/>
          <w:szCs w:val="24"/>
          <w:u w:val="single"/>
        </w:rPr>
      </w:pPr>
      <w:r>
        <w:rPr>
          <w:rFonts w:ascii="Arial" w:hAnsi="Arial" w:cs="Arial"/>
          <w:b/>
          <w:szCs w:val="24"/>
          <w:u w:val="single"/>
        </w:rPr>
        <w:t>Timing</w:t>
      </w:r>
    </w:p>
    <w:p w14:paraId="38FEA87B" w14:textId="77777777" w:rsidR="003201AC" w:rsidRDefault="003201AC" w:rsidP="003201AC">
      <w:pPr>
        <w:rPr>
          <w:rFonts w:ascii="Arial" w:hAnsi="Arial" w:cs="Arial"/>
          <w:b/>
          <w:szCs w:val="24"/>
          <w:u w:val="single"/>
        </w:rPr>
      </w:pPr>
    </w:p>
    <w:p w14:paraId="1C924D14" w14:textId="7B165BF1" w:rsidR="003201AC" w:rsidRDefault="003201AC" w:rsidP="003201AC">
      <w:pPr>
        <w:jc w:val="both"/>
        <w:rPr>
          <w:rFonts w:ascii="Arial" w:hAnsi="Arial" w:cs="Arial"/>
          <w:b/>
          <w:szCs w:val="24"/>
        </w:rPr>
      </w:pPr>
      <w:r>
        <w:rPr>
          <w:rFonts w:ascii="Arial" w:hAnsi="Arial" w:cs="Arial"/>
          <w:szCs w:val="24"/>
        </w:rPr>
        <w:t>The</w:t>
      </w:r>
      <w:r w:rsidRPr="00046D57">
        <w:rPr>
          <w:rFonts w:ascii="Arial" w:hAnsi="Arial" w:cs="Arial"/>
          <w:szCs w:val="24"/>
        </w:rPr>
        <w:t xml:space="preserve"> </w:t>
      </w:r>
      <w:r>
        <w:rPr>
          <w:rFonts w:ascii="Arial" w:hAnsi="Arial" w:cs="Arial"/>
          <w:szCs w:val="24"/>
        </w:rPr>
        <w:t xml:space="preserve">proposed rate would become effective in January 2017. </w:t>
      </w:r>
      <w:r w:rsidR="0072448B">
        <w:rPr>
          <w:rFonts w:ascii="Arial" w:hAnsi="Arial" w:cs="Arial"/>
          <w:szCs w:val="24"/>
        </w:rPr>
        <w:t xml:space="preserve">Cities incorporate the rate adjustment into their rates; the Executive seeks to allow them a 3-month period to accomplish the adjustment before the start of 2017.  Additionally </w:t>
      </w:r>
      <w:r>
        <w:rPr>
          <w:rFonts w:ascii="Arial" w:hAnsi="Arial" w:cs="Arial"/>
          <w:szCs w:val="24"/>
        </w:rPr>
        <w:t xml:space="preserve">Solid waste haulers, who pay the basic rate for deposit of waste at transfer stations, adjust their monthly rates paid by homeowners for residential collection based on this basic rate.  </w:t>
      </w:r>
      <w:r w:rsidR="0072448B">
        <w:rPr>
          <w:rFonts w:ascii="Arial" w:hAnsi="Arial" w:cs="Arial"/>
          <w:szCs w:val="24"/>
        </w:rPr>
        <w:t>For the unincorporated area, s</w:t>
      </w:r>
      <w:r>
        <w:rPr>
          <w:rFonts w:ascii="Arial" w:hAnsi="Arial" w:cs="Arial"/>
          <w:szCs w:val="24"/>
        </w:rPr>
        <w:t xml:space="preserve">uch residential collection rates require approval by the Washington Utilities and Transportation Commission, therefore requiring action by the Council </w:t>
      </w:r>
      <w:r w:rsidR="00464C52">
        <w:rPr>
          <w:rFonts w:ascii="Arial" w:hAnsi="Arial" w:cs="Arial"/>
          <w:szCs w:val="24"/>
        </w:rPr>
        <w:t>at least 90 days in advance</w:t>
      </w:r>
      <w:r>
        <w:rPr>
          <w:rFonts w:ascii="Arial" w:hAnsi="Arial" w:cs="Arial"/>
          <w:szCs w:val="24"/>
        </w:rPr>
        <w:t xml:space="preserve"> to allow necessary WUTC review time</w:t>
      </w:r>
      <w:r w:rsidR="00464C52">
        <w:rPr>
          <w:rFonts w:ascii="Arial" w:hAnsi="Arial" w:cs="Arial"/>
          <w:szCs w:val="24"/>
        </w:rPr>
        <w:t xml:space="preserve"> before the January effective date</w:t>
      </w:r>
      <w:r>
        <w:rPr>
          <w:rFonts w:ascii="Arial" w:hAnsi="Arial" w:cs="Arial"/>
          <w:szCs w:val="24"/>
        </w:rPr>
        <w:t>.</w:t>
      </w:r>
      <w:r w:rsidR="00464C52">
        <w:rPr>
          <w:rFonts w:ascii="Arial" w:hAnsi="Arial" w:cs="Arial"/>
          <w:szCs w:val="24"/>
        </w:rPr>
        <w:t xml:space="preserve">  If the Council’s action were delayed beyond September, the new rate would not be able to go into effect at the start of the year.</w:t>
      </w:r>
    </w:p>
    <w:p w14:paraId="33A3BC4D" w14:textId="77777777" w:rsidR="003201AC" w:rsidRDefault="003201AC" w:rsidP="003201AC">
      <w:pPr>
        <w:rPr>
          <w:rFonts w:ascii="Arial" w:hAnsi="Arial" w:cs="Arial"/>
          <w:b/>
          <w:szCs w:val="24"/>
        </w:rPr>
      </w:pPr>
    </w:p>
    <w:p w14:paraId="3DEEC2BC" w14:textId="77777777" w:rsidR="007D13EE" w:rsidRDefault="007D13EE">
      <w:pPr>
        <w:spacing w:after="160" w:line="259" w:lineRule="auto"/>
        <w:rPr>
          <w:rFonts w:ascii="Arial" w:hAnsi="Arial" w:cs="Arial"/>
          <w:b/>
          <w:szCs w:val="24"/>
          <w:u w:val="single"/>
        </w:rPr>
      </w:pPr>
      <w:r>
        <w:rPr>
          <w:rFonts w:ascii="Arial" w:hAnsi="Arial" w:cs="Arial"/>
          <w:b/>
          <w:i/>
          <w:szCs w:val="24"/>
          <w:u w:val="single"/>
        </w:rPr>
        <w:br w:type="page"/>
      </w:r>
    </w:p>
    <w:p w14:paraId="2B7BAD1E" w14:textId="63A4A22F" w:rsidR="003201AC" w:rsidRPr="001C4B19" w:rsidRDefault="003201AC" w:rsidP="003201AC">
      <w:pPr>
        <w:pStyle w:val="BodyText"/>
        <w:jc w:val="both"/>
        <w:rPr>
          <w:rFonts w:ascii="Arial" w:hAnsi="Arial" w:cs="Arial"/>
          <w:i w:val="0"/>
          <w:szCs w:val="24"/>
        </w:rPr>
      </w:pPr>
      <w:r w:rsidRPr="001C4B19">
        <w:rPr>
          <w:rFonts w:ascii="Arial" w:hAnsi="Arial" w:cs="Arial"/>
          <w:b/>
          <w:i w:val="0"/>
          <w:szCs w:val="24"/>
          <w:u w:val="single"/>
        </w:rPr>
        <w:lastRenderedPageBreak/>
        <w:t>ATTACHMENTS</w:t>
      </w:r>
    </w:p>
    <w:p w14:paraId="42AD14E4" w14:textId="77777777" w:rsidR="003201AC" w:rsidRPr="001C4B19" w:rsidRDefault="003201AC" w:rsidP="003201AC">
      <w:pPr>
        <w:pStyle w:val="BodyText"/>
        <w:jc w:val="both"/>
        <w:rPr>
          <w:rFonts w:ascii="Arial" w:hAnsi="Arial" w:cs="Arial"/>
          <w:i w:val="0"/>
          <w:szCs w:val="24"/>
        </w:rPr>
      </w:pPr>
    </w:p>
    <w:p w14:paraId="05074320" w14:textId="77777777" w:rsidR="003201AC" w:rsidRDefault="003201AC" w:rsidP="003201AC">
      <w:pPr>
        <w:pStyle w:val="BodyText"/>
        <w:numPr>
          <w:ilvl w:val="0"/>
          <w:numId w:val="2"/>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Ordinance/Motion</w:t>
      </w:r>
      <w:r w:rsidRPr="001C4B19">
        <w:rPr>
          <w:rFonts w:ascii="Arial" w:hAnsi="Arial" w:cs="Arial"/>
          <w:i w:val="0"/>
          <w:szCs w:val="24"/>
        </w:rPr>
        <w:t xml:space="preserve"> </w:t>
      </w:r>
      <w:r>
        <w:rPr>
          <w:rFonts w:ascii="Arial" w:hAnsi="Arial" w:cs="Arial"/>
          <w:i w:val="0"/>
          <w:szCs w:val="24"/>
        </w:rPr>
        <w:t>2016-0386</w:t>
      </w:r>
    </w:p>
    <w:p w14:paraId="02A6E35E" w14:textId="77777777" w:rsidR="003201AC" w:rsidRPr="001C4B19" w:rsidRDefault="003201AC" w:rsidP="003201AC">
      <w:pPr>
        <w:pStyle w:val="BodyText"/>
        <w:numPr>
          <w:ilvl w:val="1"/>
          <w:numId w:val="2"/>
        </w:numPr>
        <w:jc w:val="both"/>
        <w:rPr>
          <w:rFonts w:ascii="Arial" w:hAnsi="Arial" w:cs="Arial"/>
          <w:i w:val="0"/>
          <w:szCs w:val="24"/>
        </w:rPr>
      </w:pPr>
      <w:r>
        <w:rPr>
          <w:rFonts w:ascii="Arial" w:hAnsi="Arial" w:cs="Arial"/>
          <w:i w:val="0"/>
          <w:szCs w:val="24"/>
        </w:rPr>
        <w:t>Attachment A:  Executive Proposed Solid Waste Disposal Fees for 2017-2018</w:t>
      </w:r>
      <w:r w:rsidRPr="001C4B19">
        <w:rPr>
          <w:rFonts w:ascii="Arial" w:hAnsi="Arial" w:cs="Arial"/>
          <w:i w:val="0"/>
          <w:szCs w:val="24"/>
        </w:rPr>
        <w:t xml:space="preserve"> (and its attachments)</w:t>
      </w:r>
    </w:p>
    <w:p w14:paraId="576D3E3A" w14:textId="77777777" w:rsidR="003201AC" w:rsidRPr="001C4B19" w:rsidRDefault="003201AC" w:rsidP="003201AC">
      <w:pPr>
        <w:pStyle w:val="BodyText"/>
        <w:numPr>
          <w:ilvl w:val="0"/>
          <w:numId w:val="2"/>
        </w:numPr>
        <w:jc w:val="both"/>
        <w:rPr>
          <w:rFonts w:ascii="Arial" w:hAnsi="Arial" w:cs="Arial"/>
          <w:i w:val="0"/>
          <w:szCs w:val="24"/>
        </w:rPr>
      </w:pPr>
      <w:r>
        <w:rPr>
          <w:rFonts w:ascii="Arial" w:hAnsi="Arial" w:cs="Arial"/>
          <w:i w:val="0"/>
          <w:szCs w:val="24"/>
        </w:rPr>
        <w:t>Fiscal Note</w:t>
      </w:r>
    </w:p>
    <w:p w14:paraId="14F90FF1" w14:textId="77777777" w:rsidR="003201AC" w:rsidRPr="001C4B19" w:rsidRDefault="003201AC" w:rsidP="003201AC">
      <w:pPr>
        <w:pStyle w:val="BodyText"/>
        <w:numPr>
          <w:ilvl w:val="0"/>
          <w:numId w:val="2"/>
        </w:numPr>
        <w:jc w:val="both"/>
        <w:rPr>
          <w:rFonts w:ascii="Arial" w:hAnsi="Arial" w:cs="Arial"/>
          <w:i w:val="0"/>
          <w:szCs w:val="24"/>
        </w:rPr>
      </w:pPr>
      <w:r w:rsidRPr="001C4B19">
        <w:rPr>
          <w:rFonts w:ascii="Arial" w:hAnsi="Arial" w:cs="Arial"/>
          <w:i w:val="0"/>
          <w:szCs w:val="24"/>
        </w:rPr>
        <w:t>Transmittal Letter</w:t>
      </w:r>
    </w:p>
    <w:p w14:paraId="43DC81F3" w14:textId="77777777" w:rsidR="003201AC" w:rsidRPr="001C4B19" w:rsidRDefault="003201AC" w:rsidP="003201AC">
      <w:pPr>
        <w:pStyle w:val="BodyText"/>
        <w:jc w:val="both"/>
        <w:rPr>
          <w:rFonts w:ascii="Arial" w:hAnsi="Arial" w:cs="Arial"/>
          <w:b/>
          <w:i w:val="0"/>
          <w:szCs w:val="24"/>
          <w:u w:val="single"/>
        </w:rPr>
      </w:pPr>
    </w:p>
    <w:p w14:paraId="7D721A5F" w14:textId="77777777" w:rsidR="003201AC" w:rsidRDefault="003201AC" w:rsidP="003201AC">
      <w:pPr>
        <w:jc w:val="both"/>
        <w:rPr>
          <w:rFonts w:ascii="Arial" w:hAnsi="Arial" w:cs="Arial"/>
          <w:b/>
          <w:szCs w:val="24"/>
          <w:u w:val="single"/>
        </w:rPr>
      </w:pPr>
      <w:r w:rsidRPr="001C4B19">
        <w:rPr>
          <w:rFonts w:ascii="Arial" w:hAnsi="Arial" w:cs="Arial"/>
          <w:b/>
          <w:szCs w:val="24"/>
          <w:u w:val="single"/>
        </w:rPr>
        <w:t>INVITED</w:t>
      </w:r>
    </w:p>
    <w:p w14:paraId="1D6A9936" w14:textId="77777777" w:rsidR="00BD021A" w:rsidRDefault="00BD021A" w:rsidP="003201AC">
      <w:pPr>
        <w:jc w:val="both"/>
        <w:rPr>
          <w:rFonts w:ascii="Arial" w:hAnsi="Arial" w:cs="Arial"/>
          <w:b/>
          <w:szCs w:val="24"/>
          <w:u w:val="single"/>
        </w:rPr>
      </w:pPr>
    </w:p>
    <w:p w14:paraId="1D847945" w14:textId="77777777" w:rsidR="003201AC" w:rsidRPr="001C4B19" w:rsidRDefault="00BD021A" w:rsidP="003201AC">
      <w:pPr>
        <w:jc w:val="both"/>
        <w:rPr>
          <w:rFonts w:ascii="Arial" w:hAnsi="Arial" w:cs="Arial"/>
          <w:szCs w:val="24"/>
        </w:rPr>
      </w:pPr>
      <w:r>
        <w:rPr>
          <w:rFonts w:ascii="Arial" w:hAnsi="Arial" w:cs="Arial"/>
          <w:szCs w:val="24"/>
        </w:rPr>
        <w:t xml:space="preserve">Meg </w:t>
      </w:r>
      <w:proofErr w:type="spellStart"/>
      <w:r>
        <w:rPr>
          <w:rFonts w:ascii="Arial" w:hAnsi="Arial" w:cs="Arial"/>
          <w:szCs w:val="24"/>
        </w:rPr>
        <w:t>Moorehead</w:t>
      </w:r>
      <w:proofErr w:type="spellEnd"/>
      <w:r>
        <w:rPr>
          <w:rFonts w:ascii="Arial" w:hAnsi="Arial" w:cs="Arial"/>
          <w:szCs w:val="24"/>
        </w:rPr>
        <w:t xml:space="preserve">, </w:t>
      </w:r>
      <w:r w:rsidRPr="00BD021A">
        <w:rPr>
          <w:rFonts w:ascii="Arial" w:hAnsi="Arial" w:cs="Arial"/>
          <w:szCs w:val="24"/>
        </w:rPr>
        <w:t>Strategy, Communications &amp; Performance Manager</w:t>
      </w:r>
      <w:r>
        <w:rPr>
          <w:rFonts w:ascii="Arial" w:hAnsi="Arial" w:cs="Arial"/>
          <w:szCs w:val="24"/>
        </w:rPr>
        <w:t>, Solid Waste Division, Department of Natural Resources and Parks</w:t>
      </w:r>
    </w:p>
    <w:p w14:paraId="7E2D1EEF" w14:textId="77777777" w:rsidR="003201AC" w:rsidRPr="001C4B19" w:rsidRDefault="003201AC" w:rsidP="003201AC">
      <w:pPr>
        <w:jc w:val="both"/>
        <w:rPr>
          <w:rFonts w:ascii="Arial" w:hAnsi="Arial" w:cs="Arial"/>
          <w:szCs w:val="24"/>
        </w:rPr>
      </w:pPr>
    </w:p>
    <w:p w14:paraId="2408B2FC" w14:textId="77777777" w:rsidR="00473FDE" w:rsidRDefault="00473FDE"/>
    <w:sectPr w:rsidR="00473FDE" w:rsidSect="003201AC">
      <w:headerReference w:type="first" r:id="rId10"/>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0E3A1" w14:textId="77777777" w:rsidR="003201AC" w:rsidRDefault="003201AC" w:rsidP="003201AC">
      <w:r>
        <w:separator/>
      </w:r>
    </w:p>
  </w:endnote>
  <w:endnote w:type="continuationSeparator" w:id="0">
    <w:p w14:paraId="6B1AB66C" w14:textId="77777777" w:rsidR="003201AC" w:rsidRDefault="003201AC" w:rsidP="0032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D5822" w14:textId="77777777" w:rsidR="003201AC" w:rsidRDefault="003201AC" w:rsidP="003201AC">
      <w:r>
        <w:separator/>
      </w:r>
    </w:p>
  </w:footnote>
  <w:footnote w:type="continuationSeparator" w:id="0">
    <w:p w14:paraId="34EE901D" w14:textId="77777777" w:rsidR="003201AC" w:rsidRDefault="003201AC" w:rsidP="003201AC">
      <w:r>
        <w:continuationSeparator/>
      </w:r>
    </w:p>
  </w:footnote>
  <w:footnote w:id="1">
    <w:p w14:paraId="726ABAB1" w14:textId="77777777" w:rsidR="003201AC" w:rsidRPr="00A66FF2" w:rsidRDefault="003201AC" w:rsidP="003201AC">
      <w:pPr>
        <w:pStyle w:val="FootnoteText"/>
        <w:rPr>
          <w:rFonts w:ascii="Arial" w:hAnsi="Arial" w:cs="Arial"/>
        </w:rPr>
      </w:pPr>
      <w:r w:rsidRPr="00A66FF2">
        <w:rPr>
          <w:rStyle w:val="FootnoteReference"/>
          <w:rFonts w:ascii="Arial" w:hAnsi="Arial" w:cs="Arial"/>
        </w:rPr>
        <w:footnoteRef/>
      </w:r>
      <w:r w:rsidRPr="00A66FF2">
        <w:rPr>
          <w:rFonts w:ascii="Arial" w:hAnsi="Arial" w:cs="Arial"/>
        </w:rPr>
        <w:t xml:space="preserve"> RCW 35.21.120</w:t>
      </w:r>
    </w:p>
  </w:footnote>
  <w:footnote w:id="2">
    <w:p w14:paraId="0388FF08" w14:textId="77777777" w:rsidR="003201AC" w:rsidRDefault="003201AC" w:rsidP="003201AC">
      <w:pPr>
        <w:pStyle w:val="FootnoteText"/>
      </w:pPr>
      <w:r>
        <w:rPr>
          <w:rStyle w:val="FootnoteReference"/>
        </w:rPr>
        <w:footnoteRef/>
      </w:r>
      <w:r>
        <w:t xml:space="preserve"> As of 2016</w:t>
      </w:r>
    </w:p>
  </w:footnote>
  <w:footnote w:id="3">
    <w:p w14:paraId="2A0D23B8" w14:textId="77777777" w:rsidR="00423E6A" w:rsidRPr="00292B3A" w:rsidRDefault="00423E6A" w:rsidP="00423E6A">
      <w:pPr>
        <w:pStyle w:val="FootnoteText"/>
      </w:pPr>
      <w:r>
        <w:rPr>
          <w:rStyle w:val="FootnoteReference"/>
        </w:rPr>
        <w:footnoteRef/>
      </w:r>
      <w:r>
        <w:t xml:space="preserve"> </w:t>
      </w:r>
      <w:r w:rsidRPr="00292B3A">
        <w:t>http://your.kingcounty.gov/solidwaste/about/documents/waste-characterization-study-2011.pdf</w:t>
      </w:r>
    </w:p>
  </w:footnote>
  <w:footnote w:id="4">
    <w:p w14:paraId="1D2C01EF" w14:textId="77777777" w:rsidR="00423E6A" w:rsidRPr="00292B3A" w:rsidRDefault="00423E6A" w:rsidP="00423E6A">
      <w:pPr>
        <w:pStyle w:val="FootnoteText"/>
      </w:pPr>
      <w:r>
        <w:rPr>
          <w:rStyle w:val="FootnoteReference"/>
        </w:rPr>
        <w:footnoteRef/>
      </w:r>
      <w:r>
        <w:t xml:space="preserve"> </w:t>
      </w:r>
      <w:hyperlink r:id="rId1" w:history="1">
        <w:r w:rsidRPr="0019232E">
          <w:rPr>
            <w:rStyle w:val="Hyperlink"/>
          </w:rPr>
          <w:t>http://your.kingcounty.gov/solidwaste/about/documents/waste-characterization-study-2011.pdf</w:t>
        </w:r>
      </w:hyperlink>
      <w:r>
        <w:t xml:space="preserve"> p38</w:t>
      </w:r>
    </w:p>
  </w:footnote>
  <w:footnote w:id="5">
    <w:p w14:paraId="4E3E6312" w14:textId="77777777" w:rsidR="003201AC" w:rsidRPr="00292B3A" w:rsidRDefault="003201AC" w:rsidP="003201AC">
      <w:pPr>
        <w:pStyle w:val="FootnoteText"/>
      </w:pPr>
      <w:r>
        <w:rPr>
          <w:rStyle w:val="FootnoteReference"/>
        </w:rPr>
        <w:footnoteRef/>
      </w:r>
      <w:r>
        <w:t xml:space="preserve"> </w:t>
      </w:r>
      <w:hyperlink r:id="rId2" w:history="1">
        <w:r w:rsidRPr="0019232E">
          <w:rPr>
            <w:rStyle w:val="Hyperlink"/>
          </w:rPr>
          <w:t>http://your.kingcounty.gov/solidwaste/about/Planning/documents/2013-swd-comp-plan.pdf</w:t>
        </w:r>
      </w:hyperlink>
      <w:r>
        <w:t xml:space="preserve"> p3-19</w:t>
      </w:r>
    </w:p>
  </w:footnote>
  <w:footnote w:id="6">
    <w:p w14:paraId="4A6B7DC2" w14:textId="77777777" w:rsidR="003201AC" w:rsidRPr="00292B3A" w:rsidRDefault="003201AC" w:rsidP="003201AC">
      <w:pPr>
        <w:pStyle w:val="FootnoteText"/>
      </w:pPr>
      <w:r>
        <w:rPr>
          <w:rStyle w:val="FootnoteReference"/>
        </w:rPr>
        <w:footnoteRef/>
      </w:r>
      <w:r>
        <w:t xml:space="preserve"> </w:t>
      </w:r>
      <w:r w:rsidRPr="00292B3A">
        <w:t>https://your.kingcounty.gov/solidwaste/about/Planning/documents/transfer-plan-review-part-2-report-final.pdf</w:t>
      </w:r>
    </w:p>
  </w:footnote>
  <w:footnote w:id="7">
    <w:p w14:paraId="6FE1B060" w14:textId="77777777" w:rsidR="00925CFF" w:rsidRPr="00292B3A" w:rsidRDefault="00925CFF" w:rsidP="00925CFF">
      <w:pPr>
        <w:pStyle w:val="FootnoteText"/>
      </w:pPr>
      <w:r>
        <w:rPr>
          <w:rStyle w:val="FootnoteReference"/>
        </w:rPr>
        <w:footnoteRef/>
      </w:r>
      <w:r>
        <w:t xml:space="preserve"> </w:t>
      </w:r>
      <w:r w:rsidRPr="00292B3A">
        <w:t>http://wmnorthwest.com/cascaderecycling/index.html</w:t>
      </w:r>
    </w:p>
  </w:footnote>
  <w:footnote w:id="8">
    <w:p w14:paraId="3FFB4B3C" w14:textId="77777777" w:rsidR="003201AC" w:rsidRPr="00292B3A" w:rsidRDefault="003201AC" w:rsidP="003201AC">
      <w:pPr>
        <w:pStyle w:val="FootnoteText"/>
      </w:pPr>
      <w:r>
        <w:rPr>
          <w:rStyle w:val="FootnoteReference"/>
        </w:rPr>
        <w:footnoteRef/>
      </w:r>
      <w:r>
        <w:t xml:space="preserve"> </w:t>
      </w:r>
      <w:hyperlink r:id="rId3" w:history="1">
        <w:r w:rsidRPr="0019232E">
          <w:rPr>
            <w:rStyle w:val="Hyperlink"/>
          </w:rPr>
          <w:t>http://your.kingcounty.gov/solidwaste/about/documents/waste-characterization-study-2011.pdf</w:t>
        </w:r>
      </w:hyperlink>
      <w:r>
        <w:t xml:space="preserve">  p4</w:t>
      </w:r>
    </w:p>
  </w:footnote>
  <w:footnote w:id="9">
    <w:p w14:paraId="2682154A" w14:textId="77777777" w:rsidR="00BD021A" w:rsidRDefault="00BD021A" w:rsidP="00BD021A">
      <w:pPr>
        <w:pStyle w:val="FootnoteText"/>
      </w:pPr>
      <w:r>
        <w:rPr>
          <w:rStyle w:val="FootnoteReference"/>
        </w:rPr>
        <w:footnoteRef/>
      </w:r>
      <w:r>
        <w:t xml:space="preserve"> </w:t>
      </w:r>
      <w:r w:rsidRPr="00BD021A">
        <w:t>ttp://www.kingcounty.gov/~/media/operations/auditor/documents/2011Documents/SWD_Report_Final.ashx?la=en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58E21" w14:textId="77777777" w:rsidR="00C75025" w:rsidRDefault="003627EB" w:rsidP="00C75025">
    <w:pPr>
      <w:jc w:val="center"/>
    </w:pPr>
    <w:r>
      <w:rPr>
        <w:noProof/>
      </w:rPr>
      <w:drawing>
        <wp:inline distT="0" distB="0" distL="0" distR="0" wp14:anchorId="7F0E876A" wp14:editId="6B6DE803">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0D1A6A86" w14:textId="77777777" w:rsidR="00C75025" w:rsidRPr="003B03EF" w:rsidRDefault="00562740" w:rsidP="00C75025">
    <w:pPr>
      <w:jc w:val="center"/>
      <w:rPr>
        <w:rFonts w:ascii="Arial" w:hAnsi="Arial"/>
        <w:szCs w:val="22"/>
      </w:rPr>
    </w:pPr>
  </w:p>
  <w:p w14:paraId="497544AF" w14:textId="77777777" w:rsidR="00C75025" w:rsidRDefault="003627EB" w:rsidP="00C75025">
    <w:pPr>
      <w:jc w:val="center"/>
      <w:rPr>
        <w:rFonts w:ascii="Verdana" w:hAnsi="Verdana"/>
        <w:b/>
        <w:sz w:val="28"/>
        <w:szCs w:val="28"/>
      </w:rPr>
    </w:pPr>
    <w:r>
      <w:rPr>
        <w:rFonts w:ascii="Verdana" w:hAnsi="Verdana"/>
        <w:b/>
        <w:sz w:val="28"/>
        <w:szCs w:val="28"/>
      </w:rPr>
      <w:t>Metropolitan King County Council</w:t>
    </w:r>
  </w:p>
  <w:p w14:paraId="32D8DBA5" w14:textId="77777777" w:rsidR="00C75025" w:rsidRPr="004A1D48" w:rsidRDefault="003627EB"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73E1C"/>
    <w:multiLevelType w:val="hybridMultilevel"/>
    <w:tmpl w:val="11AA0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AC"/>
    <w:rsid w:val="00096C94"/>
    <w:rsid w:val="001C6D77"/>
    <w:rsid w:val="003201AC"/>
    <w:rsid w:val="003627EB"/>
    <w:rsid w:val="003629C2"/>
    <w:rsid w:val="00423E6A"/>
    <w:rsid w:val="00464C52"/>
    <w:rsid w:val="00473FDE"/>
    <w:rsid w:val="00562740"/>
    <w:rsid w:val="005D48EA"/>
    <w:rsid w:val="00605524"/>
    <w:rsid w:val="0072448B"/>
    <w:rsid w:val="007D13EE"/>
    <w:rsid w:val="00925CFF"/>
    <w:rsid w:val="00B23B30"/>
    <w:rsid w:val="00B4140D"/>
    <w:rsid w:val="00BD021A"/>
    <w:rsid w:val="00C366BB"/>
    <w:rsid w:val="00CC6CB9"/>
    <w:rsid w:val="00D57080"/>
    <w:rsid w:val="00DE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DFC2"/>
  <w15:chartTrackingRefBased/>
  <w15:docId w15:val="{6E1B2D6D-6E61-41C9-8E95-51C1C094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1AC"/>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3201AC"/>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01AC"/>
    <w:rPr>
      <w:rFonts w:ascii="Times New Roman" w:eastAsia="Times New Roman" w:hAnsi="Times New Roman" w:cs="Times New Roman"/>
      <w:b/>
      <w:sz w:val="32"/>
      <w:szCs w:val="20"/>
      <w:u w:val="single"/>
    </w:rPr>
  </w:style>
  <w:style w:type="paragraph" w:styleId="BodyText">
    <w:name w:val="Body Text"/>
    <w:basedOn w:val="Normal"/>
    <w:link w:val="BodyTextChar"/>
    <w:rsid w:val="003201AC"/>
    <w:rPr>
      <w:i/>
    </w:rPr>
  </w:style>
  <w:style w:type="character" w:customStyle="1" w:styleId="BodyTextChar">
    <w:name w:val="Body Text Char"/>
    <w:basedOn w:val="DefaultParagraphFont"/>
    <w:link w:val="BodyText"/>
    <w:rsid w:val="003201AC"/>
    <w:rPr>
      <w:rFonts w:ascii="Times New Roman" w:eastAsia="Times New Roman" w:hAnsi="Times New Roman" w:cs="Times New Roman"/>
      <w:i/>
      <w:sz w:val="24"/>
      <w:szCs w:val="20"/>
    </w:rPr>
  </w:style>
  <w:style w:type="paragraph" w:styleId="FootnoteText">
    <w:name w:val="footnote text"/>
    <w:basedOn w:val="Normal"/>
    <w:link w:val="FootnoteTextChar"/>
    <w:uiPriority w:val="99"/>
    <w:semiHidden/>
    <w:rsid w:val="003201AC"/>
    <w:rPr>
      <w:sz w:val="20"/>
    </w:rPr>
  </w:style>
  <w:style w:type="character" w:customStyle="1" w:styleId="FootnoteTextChar">
    <w:name w:val="Footnote Text Char"/>
    <w:basedOn w:val="DefaultParagraphFont"/>
    <w:link w:val="FootnoteText"/>
    <w:uiPriority w:val="99"/>
    <w:semiHidden/>
    <w:rsid w:val="003201AC"/>
    <w:rPr>
      <w:rFonts w:ascii="Times New Roman" w:eastAsia="Times New Roman" w:hAnsi="Times New Roman" w:cs="Times New Roman"/>
      <w:sz w:val="20"/>
      <w:szCs w:val="20"/>
    </w:rPr>
  </w:style>
  <w:style w:type="character" w:styleId="FootnoteReference">
    <w:name w:val="footnote reference"/>
    <w:uiPriority w:val="99"/>
    <w:semiHidden/>
    <w:rsid w:val="003201AC"/>
    <w:rPr>
      <w:vertAlign w:val="superscript"/>
    </w:rPr>
  </w:style>
  <w:style w:type="table" w:styleId="TableGrid">
    <w:name w:val="Table Grid"/>
    <w:basedOn w:val="TableNormal"/>
    <w:uiPriority w:val="39"/>
    <w:rsid w:val="003201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01AC"/>
    <w:pPr>
      <w:spacing w:line="300" w:lineRule="exact"/>
      <w:ind w:left="720"/>
    </w:pPr>
    <w:rPr>
      <w:szCs w:val="24"/>
    </w:rPr>
  </w:style>
  <w:style w:type="paragraph" w:styleId="CommentText">
    <w:name w:val="annotation text"/>
    <w:basedOn w:val="Normal"/>
    <w:link w:val="CommentTextChar"/>
    <w:uiPriority w:val="99"/>
    <w:semiHidden/>
    <w:unhideWhenUsed/>
    <w:rsid w:val="003201AC"/>
    <w:rPr>
      <w:sz w:val="20"/>
    </w:rPr>
  </w:style>
  <w:style w:type="character" w:customStyle="1" w:styleId="CommentTextChar">
    <w:name w:val="Comment Text Char"/>
    <w:basedOn w:val="DefaultParagraphFont"/>
    <w:link w:val="CommentText"/>
    <w:uiPriority w:val="99"/>
    <w:semiHidden/>
    <w:rsid w:val="003201A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201AC"/>
    <w:rPr>
      <w:color w:val="0563C1" w:themeColor="hyperlink"/>
      <w:u w:val="single"/>
    </w:rPr>
  </w:style>
  <w:style w:type="paragraph" w:customStyle="1" w:styleId="Courier10">
    <w:name w:val="Courier 10"/>
    <w:basedOn w:val="Normal"/>
    <w:rsid w:val="003201AC"/>
    <w:rPr>
      <w:rFonts w:ascii="Courier New" w:hAnsi="Courier New"/>
    </w:rPr>
  </w:style>
  <w:style w:type="paragraph" w:customStyle="1" w:styleId="Flush1CS1">
    <w:name w:val="Flush 1 &lt;CS 1&gt;"/>
    <w:basedOn w:val="Normal"/>
    <w:rsid w:val="003201AC"/>
  </w:style>
  <w:style w:type="paragraph" w:styleId="BalloonText">
    <w:name w:val="Balloon Text"/>
    <w:basedOn w:val="Normal"/>
    <w:link w:val="BalloonTextChar"/>
    <w:uiPriority w:val="99"/>
    <w:semiHidden/>
    <w:unhideWhenUsed/>
    <w:rsid w:val="003627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7E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05524"/>
    <w:rPr>
      <w:sz w:val="16"/>
      <w:szCs w:val="16"/>
    </w:rPr>
  </w:style>
  <w:style w:type="paragraph" w:styleId="CommentSubject">
    <w:name w:val="annotation subject"/>
    <w:basedOn w:val="CommentText"/>
    <w:next w:val="CommentText"/>
    <w:link w:val="CommentSubjectChar"/>
    <w:uiPriority w:val="99"/>
    <w:semiHidden/>
    <w:unhideWhenUsed/>
    <w:rsid w:val="00605524"/>
    <w:rPr>
      <w:b/>
      <w:bCs/>
    </w:rPr>
  </w:style>
  <w:style w:type="character" w:customStyle="1" w:styleId="CommentSubjectChar">
    <w:name w:val="Comment Subject Char"/>
    <w:basedOn w:val="CommentTextChar"/>
    <w:link w:val="CommentSubject"/>
    <w:uiPriority w:val="99"/>
    <w:semiHidden/>
    <w:rsid w:val="0060552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your.kingcounty.gov/solidwaste/about/documents/waste-characterization-study-2011.pdf" TargetMode="External"/><Relationship Id="rId2" Type="http://schemas.openxmlformats.org/officeDocument/2006/relationships/hyperlink" Target="http://your.kingcounty.gov/solidwaste/about/Planning/documents/2013-swd-comp-plan.pdf" TargetMode="External"/><Relationship Id="rId1" Type="http://schemas.openxmlformats.org/officeDocument/2006/relationships/hyperlink" Target="http://your.kingcounty.gov/solidwaste/about/documents/waste-characterization-study-20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706328375619711E-2"/>
          <c:y val="5.1558471994375438E-2"/>
          <c:w val="0.78686848926492881"/>
          <c:h val="0.72682830512133956"/>
        </c:manualLayout>
      </c:layout>
      <c:barChart>
        <c:barDir val="col"/>
        <c:grouping val="clustered"/>
        <c:varyColors val="0"/>
        <c:ser>
          <c:idx val="1"/>
          <c:order val="1"/>
          <c:tx>
            <c:strRef>
              <c:f>Sheet1!$C$1</c:f>
              <c:strCache>
                <c:ptCount val="1"/>
                <c:pt idx="0">
                  <c:v>Column1</c:v>
                </c:pt>
              </c:strCache>
            </c:strRef>
          </c:tx>
          <c:spPr>
            <a:solidFill>
              <a:schemeClr val="accent2"/>
            </a:solidFill>
            <a:ln>
              <a:noFill/>
            </a:ln>
            <a:effectLst/>
          </c:spPr>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Sheet1!$C$2:$C$11</c:f>
              <c:numCache>
                <c:formatCode>General</c:formatCode>
                <c:ptCount val="10"/>
              </c:numCache>
            </c:numRef>
          </c:val>
        </c:ser>
        <c:dLbls>
          <c:showLegendKey val="0"/>
          <c:showVal val="0"/>
          <c:showCatName val="0"/>
          <c:showSerName val="0"/>
          <c:showPercent val="0"/>
          <c:showBubbleSize val="0"/>
        </c:dLbls>
        <c:gapWidth val="219"/>
        <c:overlap val="-27"/>
        <c:axId val="595019472"/>
        <c:axId val="595529624"/>
      </c:barChart>
      <c:barChart>
        <c:barDir val="col"/>
        <c:grouping val="clustered"/>
        <c:varyColors val="0"/>
        <c:ser>
          <c:idx val="0"/>
          <c:order val="0"/>
          <c:tx>
            <c:strRef>
              <c:f>Sheet1!$B$1</c:f>
              <c:strCache>
                <c:ptCount val="1"/>
                <c:pt idx="0">
                  <c:v>Transfer/transport fte-tlt</c:v>
                </c:pt>
              </c:strCache>
            </c:strRef>
          </c:tx>
          <c:spPr>
            <a:solidFill>
              <a:schemeClr val="accent1"/>
            </a:solidFill>
            <a:ln>
              <a:noFill/>
            </a:ln>
            <a:effectLst/>
          </c:spPr>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Sheet1!$B$2:$B$9</c:f>
              <c:numCache>
                <c:formatCode>General</c:formatCode>
                <c:ptCount val="8"/>
                <c:pt idx="0">
                  <c:v>155</c:v>
                </c:pt>
                <c:pt idx="1">
                  <c:v>155</c:v>
                </c:pt>
                <c:pt idx="2">
                  <c:v>153</c:v>
                </c:pt>
                <c:pt idx="3">
                  <c:v>153</c:v>
                </c:pt>
                <c:pt idx="4">
                  <c:v>162</c:v>
                </c:pt>
                <c:pt idx="5">
                  <c:v>162</c:v>
                </c:pt>
                <c:pt idx="6">
                  <c:v>187</c:v>
                </c:pt>
                <c:pt idx="7">
                  <c:v>187</c:v>
                </c:pt>
              </c:numCache>
            </c:numRef>
          </c:val>
        </c:ser>
        <c:dLbls>
          <c:showLegendKey val="0"/>
          <c:showVal val="0"/>
          <c:showCatName val="0"/>
          <c:showSerName val="0"/>
          <c:showPercent val="0"/>
          <c:showBubbleSize val="0"/>
        </c:dLbls>
        <c:gapWidth val="219"/>
        <c:overlap val="-27"/>
        <c:axId val="595530408"/>
        <c:axId val="595530016"/>
      </c:barChart>
      <c:lineChart>
        <c:grouping val="standard"/>
        <c:varyColors val="0"/>
        <c:ser>
          <c:idx val="2"/>
          <c:order val="2"/>
          <c:tx>
            <c:strRef>
              <c:f>Sheet1!$D$1</c:f>
              <c:strCache>
                <c:ptCount val="1"/>
                <c:pt idx="0">
                  <c:v>tonnage</c:v>
                </c:pt>
              </c:strCache>
            </c:strRef>
          </c:tx>
          <c:spPr>
            <a:ln w="28575" cap="rnd">
              <a:solidFill>
                <a:schemeClr val="accent3"/>
              </a:solidFill>
              <a:round/>
            </a:ln>
            <a:effectLst/>
          </c:spPr>
          <c:marker>
            <c:symbol val="none"/>
          </c:marker>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Sheet1!$D$2:$D$9</c:f>
              <c:numCache>
                <c:formatCode>General</c:formatCode>
                <c:ptCount val="8"/>
                <c:pt idx="0">
                  <c:v>796187</c:v>
                </c:pt>
                <c:pt idx="1">
                  <c:v>782056</c:v>
                </c:pt>
                <c:pt idx="2">
                  <c:v>786072</c:v>
                </c:pt>
                <c:pt idx="3">
                  <c:v>820521</c:v>
                </c:pt>
                <c:pt idx="4">
                  <c:v>841557</c:v>
                </c:pt>
                <c:pt idx="5">
                  <c:v>856100</c:v>
                </c:pt>
                <c:pt idx="6">
                  <c:v>829467</c:v>
                </c:pt>
                <c:pt idx="7">
                  <c:v>830759</c:v>
                </c:pt>
              </c:numCache>
            </c:numRef>
          </c:val>
          <c:smooth val="0"/>
        </c:ser>
        <c:dLbls>
          <c:showLegendKey val="0"/>
          <c:showVal val="0"/>
          <c:showCatName val="0"/>
          <c:showSerName val="0"/>
          <c:showPercent val="0"/>
          <c:showBubbleSize val="0"/>
        </c:dLbls>
        <c:marker val="1"/>
        <c:smooth val="0"/>
        <c:axId val="595019472"/>
        <c:axId val="595529624"/>
      </c:lineChart>
      <c:catAx>
        <c:axId val="595019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5529624"/>
        <c:crosses val="autoZero"/>
        <c:auto val="1"/>
        <c:lblAlgn val="ctr"/>
        <c:lblOffset val="100"/>
        <c:noMultiLvlLbl val="0"/>
      </c:catAx>
      <c:valAx>
        <c:axId val="595529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5019472"/>
        <c:crosses val="autoZero"/>
        <c:crossBetween val="between"/>
      </c:valAx>
      <c:valAx>
        <c:axId val="59553001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5530408"/>
        <c:crosses val="max"/>
        <c:crossBetween val="between"/>
      </c:valAx>
      <c:catAx>
        <c:axId val="595530408"/>
        <c:scaling>
          <c:orientation val="minMax"/>
        </c:scaling>
        <c:delete val="1"/>
        <c:axPos val="b"/>
        <c:numFmt formatCode="General" sourceLinked="1"/>
        <c:majorTickMark val="out"/>
        <c:minorTickMark val="none"/>
        <c:tickLblPos val="nextTo"/>
        <c:crossAx val="595530016"/>
        <c:crosses val="autoZero"/>
        <c:auto val="1"/>
        <c:lblAlgn val="ctr"/>
        <c:lblOffset val="100"/>
        <c:noMultiLvlLbl val="0"/>
      </c:catAx>
      <c:spPr>
        <a:noFill/>
        <a:ln>
          <a:noFill/>
        </a:ln>
        <a:effectLst/>
      </c:spPr>
    </c:plotArea>
    <c:legend>
      <c:legendPos val="b"/>
      <c:legendEntry>
        <c:idx val="0"/>
        <c:delete val="1"/>
      </c:legendEntry>
      <c:legendEntry>
        <c:idx val="1"/>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46066-E031-4ECC-B09E-1F4969FC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2325</TotalTime>
  <Pages>14</Pages>
  <Words>4956</Words>
  <Characters>27856</Characters>
  <Application>Microsoft Office Word</Application>
  <DocSecurity>0</DocSecurity>
  <Lines>647</Lines>
  <Paragraphs>258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Daly, Sharon</cp:lastModifiedBy>
  <cp:revision>12</cp:revision>
  <cp:lastPrinted>2016-08-22T17:34:00Z</cp:lastPrinted>
  <dcterms:created xsi:type="dcterms:W3CDTF">2016-08-21T21:16:00Z</dcterms:created>
  <dcterms:modified xsi:type="dcterms:W3CDTF">2016-08-23T19:17:00Z</dcterms:modified>
</cp:coreProperties>
</file>