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195461"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rsidR="007C1AB0" w:rsidRDefault="007C1AB0" w:rsidP="007C1AB0">
      <w:pPr>
        <w:jc w:val="center"/>
        <w:rPr>
          <w:rFonts w:ascii="Arial" w:hAnsi="Arial" w:cs="Arial"/>
          <w:b/>
          <w:szCs w:val="24"/>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7C1AB0" w:rsidRPr="009349D6" w:rsidTr="00663288">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7C1AB0" w:rsidRPr="009349D6" w:rsidRDefault="007C1AB0" w:rsidP="00663288">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7C1AB0" w:rsidRPr="009349D6" w:rsidRDefault="007C1AB0" w:rsidP="00663288">
            <w:pPr>
              <w:spacing w:before="12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7C1AB0" w:rsidRPr="009349D6" w:rsidRDefault="007C1AB0" w:rsidP="00663288">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7C1AB0" w:rsidRPr="009349D6" w:rsidRDefault="006779DB" w:rsidP="00663288">
            <w:pPr>
              <w:spacing w:before="120"/>
              <w:rPr>
                <w:rFonts w:ascii="Arial" w:hAnsi="Arial" w:cs="Arial"/>
              </w:rPr>
            </w:pPr>
            <w:r>
              <w:rPr>
                <w:rFonts w:ascii="Arial" w:hAnsi="Arial" w:cs="Arial"/>
              </w:rPr>
              <w:t>Beth Mountsier</w:t>
            </w:r>
          </w:p>
        </w:tc>
      </w:tr>
      <w:tr w:rsidR="007C1AB0" w:rsidRPr="009349D6" w:rsidTr="00663288">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7C1AB0" w:rsidRPr="009349D6" w:rsidRDefault="007C1AB0" w:rsidP="00663288">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7C1AB0" w:rsidRPr="009349D6" w:rsidRDefault="006779DB" w:rsidP="00663288">
            <w:pPr>
              <w:rPr>
                <w:rFonts w:ascii="Arial" w:hAnsi="Arial" w:cs="Arial"/>
              </w:rPr>
            </w:pPr>
            <w:r>
              <w:rPr>
                <w:rFonts w:ascii="Arial" w:hAnsi="Arial" w:cs="Arial"/>
              </w:rPr>
              <w:t>2015-0331</w:t>
            </w:r>
          </w:p>
        </w:tc>
        <w:tc>
          <w:tcPr>
            <w:tcW w:w="1170" w:type="dxa"/>
            <w:tcBorders>
              <w:top w:val="single" w:sz="4" w:space="0" w:color="auto"/>
              <w:left w:val="single" w:sz="4" w:space="0" w:color="auto"/>
              <w:bottom w:val="single" w:sz="4" w:space="0" w:color="auto"/>
              <w:right w:val="single" w:sz="4" w:space="0" w:color="auto"/>
            </w:tcBorders>
            <w:vAlign w:val="center"/>
          </w:tcPr>
          <w:p w:rsidR="007C1AB0" w:rsidRPr="009349D6" w:rsidRDefault="007C1AB0" w:rsidP="00663288">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7C1AB0" w:rsidRPr="009349D6" w:rsidRDefault="007C1AB0" w:rsidP="006779DB">
            <w:pPr>
              <w:spacing w:before="120"/>
              <w:rPr>
                <w:rFonts w:ascii="Arial" w:hAnsi="Arial" w:cs="Arial"/>
              </w:rPr>
            </w:pPr>
            <w:bookmarkStart w:id="0" w:name="_GoBack"/>
            <w:bookmarkEnd w:id="0"/>
          </w:p>
        </w:tc>
      </w:tr>
    </w:tbl>
    <w:p w:rsidR="007C1AB0" w:rsidRDefault="007C1AB0" w:rsidP="007C1AB0">
      <w:pPr>
        <w:jc w:val="center"/>
        <w:rPr>
          <w:rFonts w:ascii="Arial" w:hAnsi="Arial" w:cs="Arial"/>
          <w:b/>
          <w:szCs w:val="24"/>
        </w:rPr>
      </w:pPr>
    </w:p>
    <w:p w:rsidR="00B3250E" w:rsidRDefault="00B3250E" w:rsidP="007C1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u w:val="single"/>
        </w:rPr>
      </w:pPr>
    </w:p>
    <w:p w:rsidR="00B3250E" w:rsidRDefault="00B3250E" w:rsidP="00B3250E">
      <w:pPr>
        <w:rPr>
          <w:rFonts w:ascii="Arial" w:hAnsi="Arial" w:cs="Arial"/>
          <w:b/>
          <w:smallCaps/>
          <w:szCs w:val="24"/>
          <w:u w:val="single"/>
        </w:rPr>
      </w:pPr>
      <w:r>
        <w:rPr>
          <w:rFonts w:ascii="Arial" w:hAnsi="Arial" w:cs="Arial"/>
          <w:b/>
          <w:smallCaps/>
          <w:szCs w:val="24"/>
          <w:u w:val="single"/>
        </w:rPr>
        <w:t>COMMITTEE ACTION</w:t>
      </w:r>
    </w:p>
    <w:p w:rsidR="00B3250E" w:rsidRDefault="00B3250E" w:rsidP="00B3250E">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B3250E" w:rsidTr="00B3250E">
        <w:tc>
          <w:tcPr>
            <w:tcW w:w="9535" w:type="dxa"/>
            <w:tcBorders>
              <w:top w:val="single" w:sz="4" w:space="0" w:color="auto"/>
              <w:left w:val="single" w:sz="4" w:space="0" w:color="auto"/>
              <w:bottom w:val="single" w:sz="4" w:space="0" w:color="auto"/>
              <w:right w:val="single" w:sz="4" w:space="0" w:color="auto"/>
            </w:tcBorders>
          </w:tcPr>
          <w:p w:rsidR="00B3250E" w:rsidRDefault="00B3250E">
            <w:pPr>
              <w:jc w:val="both"/>
              <w:rPr>
                <w:rFonts w:ascii="Arial" w:hAnsi="Arial" w:cs="Arial"/>
                <w:b/>
                <w:i/>
              </w:rPr>
            </w:pPr>
          </w:p>
          <w:p w:rsidR="00B3250E" w:rsidRDefault="00B3250E">
            <w:pPr>
              <w:jc w:val="both"/>
              <w:rPr>
                <w:rFonts w:ascii="Arial" w:hAnsi="Arial" w:cs="Arial"/>
                <w:b/>
                <w:i/>
              </w:rPr>
            </w:pPr>
            <w:r>
              <w:rPr>
                <w:rFonts w:ascii="Arial" w:hAnsi="Arial" w:cs="Arial"/>
                <w:b/>
                <w:i/>
              </w:rPr>
              <w:t>Proposed Substitute Ordinance 2015-0331.2 passed out of committee on May 11, 2016 with a “Do Pass” recommendation and was expedited to full Council. The motion was amended in committee with Amendment 1 to replace a placeholder attachment with the actual loan agreements with the Department of Ecology.</w:t>
            </w:r>
          </w:p>
          <w:p w:rsidR="00B3250E" w:rsidRDefault="00B3250E">
            <w:pPr>
              <w:jc w:val="both"/>
              <w:rPr>
                <w:rFonts w:ascii="Arial" w:hAnsi="Arial" w:cs="Arial"/>
                <w:b/>
                <w:i/>
              </w:rPr>
            </w:pPr>
          </w:p>
        </w:tc>
      </w:tr>
    </w:tbl>
    <w:p w:rsidR="00B3250E" w:rsidRDefault="00B3250E" w:rsidP="00B3250E">
      <w:pPr>
        <w:jc w:val="both"/>
        <w:rPr>
          <w:rFonts w:ascii="Arial" w:hAnsi="Arial" w:cs="Arial"/>
          <w:b/>
          <w:u w:val="single"/>
        </w:rPr>
      </w:pPr>
    </w:p>
    <w:p w:rsidR="00B3250E" w:rsidRDefault="00B3250E" w:rsidP="007C1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u w:val="single"/>
        </w:rPr>
      </w:pPr>
    </w:p>
    <w:p w:rsidR="007C1AB0" w:rsidRDefault="007C1AB0" w:rsidP="007C1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rPr>
      </w:pPr>
      <w:r w:rsidRPr="0030080B">
        <w:rPr>
          <w:rFonts w:ascii="Arial" w:hAnsi="Arial" w:cs="Arial"/>
          <w:b/>
          <w:szCs w:val="24"/>
          <w:u w:val="single"/>
        </w:rPr>
        <w:t>SUBJECT</w:t>
      </w:r>
    </w:p>
    <w:p w:rsidR="007C1AB0" w:rsidRDefault="007C1AB0" w:rsidP="007C1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rPr>
      </w:pPr>
    </w:p>
    <w:p w:rsidR="007C1AB0" w:rsidRPr="008D70AC" w:rsidRDefault="007C1AB0" w:rsidP="007C1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r w:rsidRPr="008D70AC">
        <w:rPr>
          <w:rFonts w:ascii="Arial" w:hAnsi="Arial"/>
          <w:szCs w:val="24"/>
        </w:rPr>
        <w:t xml:space="preserve">AN ORDINANCE authorizing the executive to enter into </w:t>
      </w:r>
      <w:r w:rsidR="006779DB">
        <w:rPr>
          <w:rFonts w:ascii="Arial" w:hAnsi="Arial"/>
          <w:szCs w:val="24"/>
        </w:rPr>
        <w:t>two</w:t>
      </w:r>
      <w:r w:rsidRPr="008D70AC">
        <w:rPr>
          <w:rFonts w:ascii="Arial" w:hAnsi="Arial"/>
          <w:szCs w:val="24"/>
        </w:rPr>
        <w:t xml:space="preserve"> agreements with the Washington State Department of Ecology for loan financing for </w:t>
      </w:r>
      <w:r w:rsidR="006779DB">
        <w:rPr>
          <w:rFonts w:ascii="Arial" w:hAnsi="Arial"/>
          <w:szCs w:val="24"/>
        </w:rPr>
        <w:t>two</w:t>
      </w:r>
      <w:r w:rsidRPr="008D70AC">
        <w:rPr>
          <w:rFonts w:ascii="Arial" w:hAnsi="Arial"/>
          <w:szCs w:val="24"/>
        </w:rPr>
        <w:t xml:space="preserve"> wastewater capital projects.</w:t>
      </w:r>
    </w:p>
    <w:p w:rsidR="007C1AB0" w:rsidRPr="0030080B" w:rsidRDefault="007C1AB0" w:rsidP="007C1AB0">
      <w:pPr>
        <w:pStyle w:val="Courier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p>
    <w:p w:rsidR="007C1AB0" w:rsidRDefault="007C1AB0" w:rsidP="007C1AB0">
      <w:pPr>
        <w:rPr>
          <w:rFonts w:ascii="Arial" w:hAnsi="Arial" w:cs="Arial"/>
          <w:szCs w:val="24"/>
        </w:rPr>
      </w:pPr>
      <w:r w:rsidRPr="0030080B">
        <w:rPr>
          <w:rFonts w:ascii="Arial" w:hAnsi="Arial" w:cs="Arial"/>
          <w:b/>
          <w:szCs w:val="24"/>
          <w:u w:val="single"/>
        </w:rPr>
        <w:t>SUMMARY</w:t>
      </w:r>
      <w:r w:rsidRPr="0030080B">
        <w:rPr>
          <w:rFonts w:ascii="Arial" w:hAnsi="Arial" w:cs="Arial"/>
          <w:szCs w:val="24"/>
        </w:rPr>
        <w:t xml:space="preserve"> </w:t>
      </w:r>
    </w:p>
    <w:p w:rsidR="007C1AB0" w:rsidRDefault="007C1AB0" w:rsidP="007C1AB0">
      <w:pPr>
        <w:rPr>
          <w:rFonts w:ascii="Arial" w:hAnsi="Arial" w:cs="Arial"/>
          <w:szCs w:val="24"/>
        </w:rPr>
      </w:pPr>
    </w:p>
    <w:p w:rsidR="007C1AB0" w:rsidRPr="00B30F56" w:rsidRDefault="007C1AB0" w:rsidP="007C1AB0">
      <w:pPr>
        <w:jc w:val="both"/>
        <w:rPr>
          <w:rFonts w:ascii="Arial" w:hAnsi="Arial" w:cs="Arial"/>
          <w:szCs w:val="24"/>
        </w:rPr>
      </w:pPr>
      <w:r w:rsidRPr="00B30F56">
        <w:rPr>
          <w:rFonts w:ascii="Arial" w:hAnsi="Arial" w:cs="Arial"/>
          <w:szCs w:val="24"/>
        </w:rPr>
        <w:t xml:space="preserve">Proposed Ordinance </w:t>
      </w:r>
      <w:r w:rsidR="006779DB">
        <w:rPr>
          <w:rFonts w:ascii="Arial" w:hAnsi="Arial" w:cs="Arial"/>
          <w:szCs w:val="24"/>
        </w:rPr>
        <w:t>2015-0331</w:t>
      </w:r>
      <w:r w:rsidRPr="00B30F56">
        <w:rPr>
          <w:rFonts w:ascii="Arial" w:hAnsi="Arial" w:cs="Arial"/>
          <w:szCs w:val="24"/>
        </w:rPr>
        <w:t xml:space="preserve"> authorizes</w:t>
      </w:r>
      <w:r w:rsidRPr="00B30F56">
        <w:rPr>
          <w:rFonts w:ascii="Arial" w:hAnsi="Arial"/>
          <w:szCs w:val="24"/>
        </w:rPr>
        <w:t xml:space="preserve"> the executive to enter into loan agreements with the Washington </w:t>
      </w:r>
      <w:r>
        <w:rPr>
          <w:rFonts w:ascii="Arial" w:hAnsi="Arial"/>
          <w:szCs w:val="24"/>
        </w:rPr>
        <w:t>s</w:t>
      </w:r>
      <w:r w:rsidRPr="00B30F56">
        <w:rPr>
          <w:rFonts w:ascii="Arial" w:hAnsi="Arial"/>
          <w:szCs w:val="24"/>
        </w:rPr>
        <w:t>tate Department of Ecology</w:t>
      </w:r>
      <w:r w:rsidR="00ED60E7">
        <w:rPr>
          <w:rFonts w:ascii="Arial" w:hAnsi="Arial"/>
          <w:szCs w:val="24"/>
        </w:rPr>
        <w:t xml:space="preserve"> (Ecology)</w:t>
      </w:r>
      <w:r w:rsidRPr="00B30F56">
        <w:rPr>
          <w:rFonts w:ascii="Arial" w:hAnsi="Arial"/>
          <w:szCs w:val="24"/>
        </w:rPr>
        <w:t xml:space="preserve"> for</w:t>
      </w:r>
      <w:r w:rsidR="001410E1">
        <w:rPr>
          <w:rFonts w:ascii="Arial" w:hAnsi="Arial"/>
          <w:szCs w:val="24"/>
        </w:rPr>
        <w:t xml:space="preserve"> a total of approximately $40 million</w:t>
      </w:r>
      <w:r w:rsidRPr="00B30F56">
        <w:rPr>
          <w:rFonts w:ascii="Arial" w:hAnsi="Arial"/>
          <w:szCs w:val="24"/>
        </w:rPr>
        <w:t xml:space="preserve"> in loan financing.  The loans are estimated to save King County over $</w:t>
      </w:r>
      <w:r w:rsidR="006779DB">
        <w:rPr>
          <w:rFonts w:ascii="Arial" w:hAnsi="Arial"/>
          <w:szCs w:val="24"/>
        </w:rPr>
        <w:t>19.24</w:t>
      </w:r>
      <w:r w:rsidRPr="00B30F56">
        <w:rPr>
          <w:rFonts w:ascii="Arial" w:hAnsi="Arial"/>
          <w:szCs w:val="24"/>
        </w:rPr>
        <w:t xml:space="preserve"> million in interest expense over 30 years compared to conventional bond financing, for a net present value of over $</w:t>
      </w:r>
      <w:r w:rsidR="006779DB">
        <w:rPr>
          <w:rFonts w:ascii="Arial" w:hAnsi="Arial"/>
          <w:szCs w:val="24"/>
        </w:rPr>
        <w:t>8.6</w:t>
      </w:r>
      <w:r w:rsidRPr="00B30F56">
        <w:rPr>
          <w:rFonts w:ascii="Arial" w:hAnsi="Arial"/>
          <w:szCs w:val="24"/>
        </w:rPr>
        <w:t xml:space="preserve"> million in 201</w:t>
      </w:r>
      <w:r w:rsidR="006779DB">
        <w:rPr>
          <w:rFonts w:ascii="Arial" w:hAnsi="Arial"/>
          <w:szCs w:val="24"/>
        </w:rPr>
        <w:t>5</w:t>
      </w:r>
      <w:r w:rsidRPr="00B30F56">
        <w:rPr>
          <w:rFonts w:ascii="Arial" w:hAnsi="Arial"/>
          <w:szCs w:val="24"/>
        </w:rPr>
        <w:t xml:space="preserve"> dollars.</w:t>
      </w:r>
      <w:r>
        <w:rPr>
          <w:rFonts w:ascii="Arial" w:hAnsi="Arial"/>
          <w:szCs w:val="24"/>
        </w:rPr>
        <w:t xml:space="preserve"> Amendment 1 inserts the actual loan agreements</w:t>
      </w:r>
      <w:r w:rsidR="001056AD">
        <w:rPr>
          <w:rFonts w:ascii="Arial" w:hAnsi="Arial"/>
          <w:szCs w:val="24"/>
        </w:rPr>
        <w:t xml:space="preserve"> for the Murray and North Beach projects</w:t>
      </w:r>
      <w:r>
        <w:rPr>
          <w:rFonts w:ascii="Arial" w:hAnsi="Arial"/>
          <w:szCs w:val="24"/>
        </w:rPr>
        <w:t>, replacing a placeholder document.</w:t>
      </w:r>
    </w:p>
    <w:p w:rsidR="007C1AB0" w:rsidRPr="0030080B" w:rsidRDefault="007C1AB0" w:rsidP="007C1AB0">
      <w:pPr>
        <w:pStyle w:val="Flush1CS1"/>
        <w:tabs>
          <w:tab w:val="left" w:pos="720"/>
          <w:tab w:val="decimal" w:pos="7200"/>
        </w:tabs>
        <w:rPr>
          <w:rFonts w:ascii="Arial" w:hAnsi="Arial" w:cs="Arial"/>
          <w:b/>
          <w:szCs w:val="24"/>
          <w:u w:val="single"/>
        </w:rPr>
      </w:pPr>
    </w:p>
    <w:p w:rsidR="007C1AB0" w:rsidRPr="0030080B" w:rsidRDefault="007C1AB0" w:rsidP="007C1AB0">
      <w:pPr>
        <w:pStyle w:val="Flush1CS1"/>
        <w:tabs>
          <w:tab w:val="left" w:pos="720"/>
          <w:tab w:val="decimal" w:pos="7200"/>
        </w:tabs>
        <w:rPr>
          <w:rFonts w:ascii="Arial" w:hAnsi="Arial" w:cs="Arial"/>
          <w:b/>
          <w:szCs w:val="24"/>
          <w:u w:val="single"/>
        </w:rPr>
      </w:pPr>
      <w:r w:rsidRPr="0030080B">
        <w:rPr>
          <w:rFonts w:ascii="Arial" w:hAnsi="Arial" w:cs="Arial"/>
          <w:b/>
          <w:szCs w:val="24"/>
          <w:u w:val="single"/>
        </w:rPr>
        <w:t>BACKGROUND</w:t>
      </w:r>
    </w:p>
    <w:p w:rsidR="007C1AB0" w:rsidRDefault="007C1AB0" w:rsidP="007C1AB0">
      <w:pPr>
        <w:rPr>
          <w:rFonts w:ascii="Arial" w:hAnsi="Arial"/>
          <w:szCs w:val="24"/>
        </w:rPr>
      </w:pPr>
    </w:p>
    <w:p w:rsidR="007C1AB0" w:rsidRDefault="007C1AB0" w:rsidP="007C1AB0">
      <w:pPr>
        <w:rPr>
          <w:rFonts w:ascii="Arial" w:hAnsi="Arial"/>
          <w:szCs w:val="24"/>
        </w:rPr>
      </w:pPr>
      <w:r>
        <w:rPr>
          <w:rFonts w:ascii="Arial" w:hAnsi="Arial" w:cs="Arial"/>
          <w:szCs w:val="24"/>
          <w:u w:val="single"/>
        </w:rPr>
        <w:t>The State Revolving Fund (S</w:t>
      </w:r>
      <w:r w:rsidR="00E812A5">
        <w:rPr>
          <w:rFonts w:ascii="Arial" w:hAnsi="Arial" w:cs="Arial"/>
          <w:szCs w:val="24"/>
          <w:u w:val="single"/>
        </w:rPr>
        <w:t>RF</w:t>
      </w:r>
      <w:r>
        <w:rPr>
          <w:rFonts w:ascii="Arial" w:hAnsi="Arial" w:cs="Arial"/>
          <w:szCs w:val="24"/>
          <w:u w:val="single"/>
        </w:rPr>
        <w:t>) Loan</w:t>
      </w:r>
      <w:r>
        <w:rPr>
          <w:rFonts w:ascii="Arial" w:hAnsi="Arial" w:cs="Arial"/>
          <w:szCs w:val="24"/>
        </w:rPr>
        <w:t xml:space="preserve">  </w:t>
      </w:r>
      <w:r>
        <w:rPr>
          <w:rFonts w:ascii="Arial" w:hAnsi="Arial"/>
          <w:szCs w:val="24"/>
        </w:rPr>
        <w:t xml:space="preserve"> </w:t>
      </w:r>
    </w:p>
    <w:p w:rsidR="007C1AB0" w:rsidRDefault="007C1AB0" w:rsidP="007C1AB0">
      <w:pPr>
        <w:jc w:val="both"/>
        <w:rPr>
          <w:rFonts w:ascii="Arial" w:hAnsi="Arial" w:cs="Arial"/>
          <w:szCs w:val="24"/>
        </w:rPr>
      </w:pPr>
      <w:r w:rsidRPr="0030080B">
        <w:rPr>
          <w:rFonts w:ascii="Arial" w:hAnsi="Arial"/>
          <w:szCs w:val="24"/>
        </w:rPr>
        <w:t>The State Water Pollution Control Revolving Fund, cre</w:t>
      </w:r>
      <w:r>
        <w:rPr>
          <w:rFonts w:ascii="Arial" w:hAnsi="Arial"/>
          <w:szCs w:val="24"/>
        </w:rPr>
        <w:t xml:space="preserve">ated by the Legislature in 1988, is </w:t>
      </w:r>
      <w:r w:rsidRPr="0030080B">
        <w:rPr>
          <w:rFonts w:ascii="Arial" w:hAnsi="Arial"/>
          <w:szCs w:val="24"/>
        </w:rPr>
        <w:t xml:space="preserve">intended </w:t>
      </w:r>
      <w:r w:rsidRPr="00D04543">
        <w:rPr>
          <w:rFonts w:ascii="Arial" w:hAnsi="Arial"/>
          <w:szCs w:val="24"/>
        </w:rPr>
        <w:t xml:space="preserve">to </w:t>
      </w:r>
      <w:r w:rsidRPr="00D04543">
        <w:rPr>
          <w:rFonts w:ascii="Arial" w:hAnsi="Arial" w:cs="Arial"/>
          <w:szCs w:val="24"/>
        </w:rPr>
        <w:t>“</w:t>
      </w:r>
      <w:r>
        <w:rPr>
          <w:rFonts w:ascii="Arial" w:hAnsi="Arial" w:cs="Arial"/>
          <w:szCs w:val="24"/>
        </w:rPr>
        <w:t>provide financial assistance to…local governments for…</w:t>
      </w:r>
      <w:r w:rsidRPr="00D04543">
        <w:rPr>
          <w:rFonts w:ascii="Arial" w:hAnsi="Arial" w:cs="Arial"/>
          <w:szCs w:val="24"/>
        </w:rPr>
        <w:t>wat</w:t>
      </w:r>
      <w:r>
        <w:rPr>
          <w:rFonts w:ascii="Arial" w:hAnsi="Arial" w:cs="Arial"/>
          <w:szCs w:val="24"/>
        </w:rPr>
        <w:t>er pollution control facilities…</w:t>
      </w:r>
      <w:r w:rsidRPr="00D04543">
        <w:rPr>
          <w:rFonts w:ascii="Arial" w:hAnsi="Arial" w:cs="Arial"/>
          <w:szCs w:val="24"/>
        </w:rPr>
        <w:t>for the protection of the state's waters.”  The</w:t>
      </w:r>
      <w:r w:rsidRPr="0030080B">
        <w:rPr>
          <w:rFonts w:ascii="Arial" w:hAnsi="Arial" w:cs="Arial"/>
          <w:szCs w:val="24"/>
        </w:rPr>
        <w:t xml:space="preserve"> state</w:t>
      </w:r>
      <w:r>
        <w:rPr>
          <w:rFonts w:ascii="Arial" w:hAnsi="Arial" w:cs="Arial"/>
          <w:szCs w:val="24"/>
        </w:rPr>
        <w:t>’s</w:t>
      </w:r>
      <w:r w:rsidRPr="0030080B">
        <w:rPr>
          <w:rFonts w:ascii="Arial" w:hAnsi="Arial" w:cs="Arial"/>
          <w:szCs w:val="24"/>
        </w:rPr>
        <w:t xml:space="preserve"> Department of Ecology administers the loan program, and accepts and reviews application</w:t>
      </w:r>
      <w:r w:rsidR="00E812A5">
        <w:rPr>
          <w:rFonts w:ascii="Arial" w:hAnsi="Arial" w:cs="Arial"/>
          <w:szCs w:val="24"/>
        </w:rPr>
        <w:t>s</w:t>
      </w:r>
      <w:r w:rsidRPr="0030080B">
        <w:rPr>
          <w:rFonts w:ascii="Arial" w:hAnsi="Arial" w:cs="Arial"/>
          <w:szCs w:val="24"/>
        </w:rPr>
        <w:t xml:space="preserve"> for funding water pollution control projects.  </w:t>
      </w:r>
    </w:p>
    <w:p w:rsidR="007C1AB0" w:rsidRDefault="007C1AB0" w:rsidP="007C1AB0">
      <w:pPr>
        <w:jc w:val="both"/>
        <w:rPr>
          <w:rFonts w:ascii="Arial" w:hAnsi="Arial"/>
          <w:szCs w:val="24"/>
        </w:rPr>
      </w:pPr>
    </w:p>
    <w:p w:rsidR="007C1AB0" w:rsidRDefault="007C1AB0" w:rsidP="007C1AB0">
      <w:pPr>
        <w:jc w:val="both"/>
        <w:rPr>
          <w:rFonts w:ascii="Arial" w:hAnsi="Arial"/>
          <w:szCs w:val="24"/>
        </w:rPr>
      </w:pPr>
      <w:r>
        <w:rPr>
          <w:rFonts w:ascii="Arial" w:hAnsi="Arial"/>
          <w:szCs w:val="24"/>
        </w:rPr>
        <w:lastRenderedPageBreak/>
        <w:t>I</w:t>
      </w:r>
      <w:r w:rsidR="001056AD">
        <w:rPr>
          <w:rFonts w:ascii="Arial" w:hAnsi="Arial"/>
          <w:szCs w:val="24"/>
        </w:rPr>
        <w:t>n July 2015</w:t>
      </w:r>
      <w:r w:rsidRPr="00622F30">
        <w:rPr>
          <w:rFonts w:ascii="Arial" w:hAnsi="Arial"/>
          <w:szCs w:val="24"/>
        </w:rPr>
        <w:t xml:space="preserve">, the county received a final SRF loan offer from the state Department of Ecology for </w:t>
      </w:r>
      <w:r w:rsidR="00B83274">
        <w:rPr>
          <w:rFonts w:ascii="Arial" w:hAnsi="Arial"/>
          <w:szCs w:val="24"/>
        </w:rPr>
        <w:t>two</w:t>
      </w:r>
      <w:r w:rsidRPr="00622F30">
        <w:rPr>
          <w:rFonts w:ascii="Arial" w:hAnsi="Arial"/>
          <w:szCs w:val="24"/>
        </w:rPr>
        <w:t xml:space="preserve"> projects in the construction phase</w:t>
      </w:r>
      <w:r w:rsidRPr="00622F30">
        <w:rPr>
          <w:rFonts w:ascii="Arial" w:hAnsi="Arial" w:cs="Arial"/>
          <w:szCs w:val="24"/>
        </w:rPr>
        <w:t xml:space="preserve">, contingent upon signature of a loan agreement by both parties.  Authorization for the loan agreements is the subject of this proposed ordinance.  </w:t>
      </w:r>
      <w:r>
        <w:rPr>
          <w:rFonts w:ascii="Arial" w:hAnsi="Arial"/>
          <w:szCs w:val="24"/>
        </w:rPr>
        <w:t xml:space="preserve">The following projects have been awarded SRF loans for state fiscal year </w:t>
      </w:r>
      <w:r w:rsidR="001056AD">
        <w:rPr>
          <w:rFonts w:ascii="Arial" w:hAnsi="Arial"/>
          <w:szCs w:val="24"/>
        </w:rPr>
        <w:t>2016</w:t>
      </w:r>
      <w:r>
        <w:rPr>
          <w:rFonts w:ascii="Arial" w:hAnsi="Arial"/>
          <w:szCs w:val="24"/>
        </w:rPr>
        <w:t xml:space="preserve">.  </w:t>
      </w:r>
    </w:p>
    <w:p w:rsidR="00526C65" w:rsidRDefault="00526C65">
      <w:pPr>
        <w:rPr>
          <w:rFonts w:ascii="Arial" w:hAnsi="Arial"/>
          <w:szCs w:val="24"/>
        </w:rPr>
      </w:pPr>
      <w:r>
        <w:rPr>
          <w:rFonts w:ascii="Arial" w:hAnsi="Arial"/>
          <w:szCs w:val="24"/>
        </w:rPr>
        <w:br w:type="page"/>
      </w:r>
    </w:p>
    <w:tbl>
      <w:tblPr>
        <w:tblW w:w="9648" w:type="dxa"/>
        <w:tblLayout w:type="fixed"/>
        <w:tblLook w:val="04A0" w:firstRow="1" w:lastRow="0" w:firstColumn="1" w:lastColumn="0" w:noHBand="0" w:noVBand="1"/>
      </w:tblPr>
      <w:tblGrid>
        <w:gridCol w:w="8028"/>
        <w:gridCol w:w="1620"/>
      </w:tblGrid>
      <w:tr w:rsidR="007C1AB0" w:rsidRPr="00F979A6" w:rsidTr="001056AD">
        <w:tc>
          <w:tcPr>
            <w:tcW w:w="8028" w:type="dxa"/>
            <w:vMerge w:val="restart"/>
            <w:shd w:val="clear" w:color="auto" w:fill="auto"/>
          </w:tcPr>
          <w:p w:rsidR="006779DB" w:rsidRDefault="006779DB" w:rsidP="00663288">
            <w:pPr>
              <w:tabs>
                <w:tab w:val="right" w:pos="9187"/>
              </w:tabs>
              <w:rPr>
                <w:rFonts w:ascii="Arial" w:hAnsi="Arial"/>
                <w:szCs w:val="24"/>
                <w:u w:val="single"/>
              </w:rPr>
            </w:pPr>
          </w:p>
          <w:p w:rsidR="007C1AB0" w:rsidRPr="00F979A6" w:rsidRDefault="006779DB" w:rsidP="00663288">
            <w:pPr>
              <w:tabs>
                <w:tab w:val="right" w:pos="9187"/>
              </w:tabs>
              <w:rPr>
                <w:rFonts w:ascii="Arial" w:hAnsi="Arial"/>
                <w:szCs w:val="24"/>
                <w:highlight w:val="yellow"/>
                <w:u w:val="single"/>
              </w:rPr>
            </w:pPr>
            <w:r>
              <w:rPr>
                <w:rFonts w:ascii="Arial" w:hAnsi="Arial"/>
                <w:szCs w:val="24"/>
                <w:u w:val="single"/>
              </w:rPr>
              <w:t>Murray</w:t>
            </w:r>
            <w:r w:rsidR="007C1AB0" w:rsidRPr="00F979A6">
              <w:rPr>
                <w:rFonts w:ascii="Arial" w:hAnsi="Arial"/>
                <w:szCs w:val="24"/>
                <w:u w:val="single"/>
              </w:rPr>
              <w:t xml:space="preserve"> Overflow (CSO) Control Project Construction</w:t>
            </w:r>
          </w:p>
          <w:p w:rsidR="007C1AB0" w:rsidRPr="00C975B3" w:rsidRDefault="006779DB" w:rsidP="006779DB">
            <w:pPr>
              <w:tabs>
                <w:tab w:val="right" w:pos="9187"/>
              </w:tabs>
              <w:jc w:val="both"/>
              <w:rPr>
                <w:rFonts w:ascii="Arial" w:hAnsi="Arial" w:cs="Arial"/>
                <w:color w:val="000000"/>
              </w:rPr>
            </w:pPr>
            <w:r w:rsidRPr="006779DB">
              <w:rPr>
                <w:rFonts w:ascii="Arial" w:hAnsi="Arial" w:cs="Arial"/>
                <w:color w:val="000000"/>
              </w:rPr>
              <w:t xml:space="preserve">This project includes the construction </w:t>
            </w:r>
            <w:r>
              <w:rPr>
                <w:rFonts w:ascii="Arial" w:hAnsi="Arial" w:cs="Arial"/>
                <w:color w:val="000000"/>
              </w:rPr>
              <w:t xml:space="preserve">below grade </w:t>
            </w:r>
            <w:r w:rsidRPr="006779DB">
              <w:rPr>
                <w:rFonts w:ascii="Arial" w:hAnsi="Arial" w:cs="Arial"/>
                <w:color w:val="000000"/>
              </w:rPr>
              <w:t>of a new one million gallon</w:t>
            </w:r>
            <w:r>
              <w:rPr>
                <w:rFonts w:ascii="Arial" w:hAnsi="Arial" w:cs="Arial"/>
                <w:color w:val="000000"/>
              </w:rPr>
              <w:t xml:space="preserve"> combined sewage storage tank</w:t>
            </w:r>
            <w:r w:rsidRPr="006779DB">
              <w:rPr>
                <w:rFonts w:ascii="Arial" w:hAnsi="Arial" w:cs="Arial"/>
                <w:color w:val="000000"/>
              </w:rPr>
              <w:t xml:space="preserve"> and</w:t>
            </w:r>
            <w:r>
              <w:rPr>
                <w:rFonts w:ascii="Arial" w:hAnsi="Arial" w:cs="Arial"/>
                <w:color w:val="000000"/>
              </w:rPr>
              <w:t xml:space="preserve"> </w:t>
            </w:r>
            <w:r w:rsidRPr="006779DB">
              <w:rPr>
                <w:rFonts w:ascii="Arial" w:hAnsi="Arial" w:cs="Arial"/>
                <w:color w:val="000000"/>
              </w:rPr>
              <w:t>connection of the tank to the existing Murray Avenue pump station and influent sewers. The work includes</w:t>
            </w:r>
            <w:r>
              <w:rPr>
                <w:rFonts w:ascii="Arial" w:hAnsi="Arial" w:cs="Arial"/>
                <w:color w:val="000000"/>
              </w:rPr>
              <w:t xml:space="preserve"> </w:t>
            </w:r>
            <w:r w:rsidRPr="006779DB">
              <w:rPr>
                <w:rFonts w:ascii="Arial" w:hAnsi="Arial" w:cs="Arial"/>
                <w:color w:val="000000"/>
              </w:rPr>
              <w:t>construction of a concrete storage tank structure 67 feet in depth; above and below grade</w:t>
            </w:r>
            <w:r>
              <w:rPr>
                <w:rFonts w:ascii="Arial" w:hAnsi="Arial" w:cs="Arial"/>
                <w:color w:val="000000"/>
              </w:rPr>
              <w:t xml:space="preserve"> </w:t>
            </w:r>
            <w:r w:rsidRPr="006779DB">
              <w:rPr>
                <w:rFonts w:ascii="Arial" w:hAnsi="Arial" w:cs="Arial"/>
                <w:color w:val="000000"/>
              </w:rPr>
              <w:t>structures on the storage tank site housing odor control, mechanical, electrical, and standby power generator</w:t>
            </w:r>
            <w:r>
              <w:rPr>
                <w:rFonts w:ascii="Arial" w:hAnsi="Arial" w:cs="Arial"/>
                <w:color w:val="000000"/>
              </w:rPr>
              <w:t xml:space="preserve"> </w:t>
            </w:r>
            <w:r w:rsidRPr="006779DB">
              <w:rPr>
                <w:rFonts w:ascii="Arial" w:hAnsi="Arial" w:cs="Arial"/>
                <w:color w:val="000000"/>
              </w:rPr>
              <w:t>equipment. The project</w:t>
            </w:r>
            <w:r>
              <w:rPr>
                <w:rFonts w:ascii="Arial" w:hAnsi="Arial" w:cs="Arial"/>
                <w:color w:val="000000"/>
              </w:rPr>
              <w:t xml:space="preserve"> </w:t>
            </w:r>
            <w:r w:rsidRPr="006779DB">
              <w:rPr>
                <w:rFonts w:ascii="Arial" w:hAnsi="Arial" w:cs="Arial"/>
                <w:color w:val="000000"/>
              </w:rPr>
              <w:t>includes construction of influent and diversion sewers, manholes, smaller sewer pipes, and</w:t>
            </w:r>
            <w:r>
              <w:rPr>
                <w:rFonts w:ascii="Arial" w:hAnsi="Arial" w:cs="Arial"/>
                <w:color w:val="000000"/>
              </w:rPr>
              <w:t xml:space="preserve"> </w:t>
            </w:r>
            <w:r w:rsidRPr="006779DB">
              <w:rPr>
                <w:rFonts w:ascii="Arial" w:hAnsi="Arial" w:cs="Arial"/>
                <w:color w:val="000000"/>
              </w:rPr>
              <w:t>ancillary piping, electrical ducts and odor control system duct connections to the existing wet well. Modifications to</w:t>
            </w:r>
            <w:r>
              <w:rPr>
                <w:rFonts w:ascii="Arial" w:hAnsi="Arial" w:cs="Arial"/>
                <w:color w:val="000000"/>
              </w:rPr>
              <w:t xml:space="preserve"> </w:t>
            </w:r>
            <w:r w:rsidRPr="006779DB">
              <w:rPr>
                <w:rFonts w:ascii="Arial" w:hAnsi="Arial" w:cs="Arial"/>
                <w:color w:val="000000"/>
              </w:rPr>
              <w:t>the existing Murray Avenue pump station include reconfiguration of electrical connections and new equipment</w:t>
            </w:r>
            <w:r>
              <w:rPr>
                <w:rFonts w:ascii="Arial" w:hAnsi="Arial" w:cs="Arial"/>
                <w:color w:val="000000"/>
              </w:rPr>
              <w:t xml:space="preserve">.  </w:t>
            </w:r>
            <w:r w:rsidR="007C1AB0" w:rsidRPr="00C975B3">
              <w:rPr>
                <w:rFonts w:ascii="Arial" w:hAnsi="Arial" w:cs="Arial"/>
              </w:rPr>
              <w:t xml:space="preserve">The overall goal of this project is to limit CSOs to no more than one untreated </w:t>
            </w:r>
            <w:r w:rsidR="00ED60E7">
              <w:rPr>
                <w:rFonts w:ascii="Arial" w:hAnsi="Arial" w:cs="Arial"/>
              </w:rPr>
              <w:t>discharge per year</w:t>
            </w:r>
            <w:r w:rsidR="007C1AB0" w:rsidRPr="00C975B3">
              <w:rPr>
                <w:rFonts w:ascii="Arial" w:hAnsi="Arial" w:cs="Arial"/>
              </w:rPr>
              <w:t xml:space="preserve"> on average.</w:t>
            </w:r>
          </w:p>
          <w:p w:rsidR="007C1AB0" w:rsidRPr="00F979A6" w:rsidRDefault="007C1AB0" w:rsidP="00663288">
            <w:pPr>
              <w:rPr>
                <w:rFonts w:ascii="Arial" w:hAnsi="Arial"/>
                <w:szCs w:val="24"/>
              </w:rPr>
            </w:pPr>
          </w:p>
        </w:tc>
        <w:tc>
          <w:tcPr>
            <w:tcW w:w="1620" w:type="dxa"/>
            <w:shd w:val="clear" w:color="auto" w:fill="auto"/>
          </w:tcPr>
          <w:p w:rsidR="007C1AB0" w:rsidRPr="00F979A6" w:rsidRDefault="007C1AB0" w:rsidP="00663288">
            <w:pPr>
              <w:jc w:val="right"/>
              <w:rPr>
                <w:rFonts w:ascii="Arial" w:hAnsi="Arial"/>
                <w:szCs w:val="24"/>
              </w:rPr>
            </w:pPr>
            <w:r w:rsidRPr="00F979A6">
              <w:rPr>
                <w:rFonts w:ascii="Arial" w:hAnsi="Arial"/>
                <w:szCs w:val="24"/>
                <w:u w:val="single"/>
              </w:rPr>
              <w:t>Loan amount</w:t>
            </w:r>
          </w:p>
        </w:tc>
      </w:tr>
      <w:tr w:rsidR="007C1AB0" w:rsidRPr="00F979A6" w:rsidTr="001056AD">
        <w:tc>
          <w:tcPr>
            <w:tcW w:w="8028" w:type="dxa"/>
            <w:vMerge/>
            <w:shd w:val="clear" w:color="auto" w:fill="auto"/>
          </w:tcPr>
          <w:p w:rsidR="007C1AB0" w:rsidRPr="00F979A6" w:rsidRDefault="007C1AB0" w:rsidP="00663288">
            <w:pPr>
              <w:rPr>
                <w:rFonts w:ascii="Arial" w:hAnsi="Arial"/>
                <w:szCs w:val="24"/>
              </w:rPr>
            </w:pPr>
          </w:p>
        </w:tc>
        <w:tc>
          <w:tcPr>
            <w:tcW w:w="1620" w:type="dxa"/>
            <w:shd w:val="clear" w:color="auto" w:fill="auto"/>
          </w:tcPr>
          <w:p w:rsidR="007C1AB0" w:rsidRPr="00F979A6" w:rsidRDefault="007C1AB0" w:rsidP="001056AD">
            <w:pPr>
              <w:jc w:val="right"/>
              <w:rPr>
                <w:rFonts w:ascii="Arial" w:hAnsi="Arial"/>
                <w:szCs w:val="24"/>
                <w:highlight w:val="yellow"/>
                <w:u w:val="single"/>
              </w:rPr>
            </w:pPr>
            <w:r w:rsidRPr="00F979A6">
              <w:rPr>
                <w:rFonts w:ascii="Arial" w:hAnsi="Arial"/>
                <w:szCs w:val="24"/>
              </w:rPr>
              <w:t>$</w:t>
            </w:r>
            <w:r w:rsidR="001056AD">
              <w:rPr>
                <w:rFonts w:ascii="Arial" w:hAnsi="Arial"/>
                <w:szCs w:val="24"/>
              </w:rPr>
              <w:t>30,876,256</w:t>
            </w:r>
          </w:p>
        </w:tc>
      </w:tr>
      <w:tr w:rsidR="007C1AB0" w:rsidRPr="00F979A6" w:rsidTr="001056AD">
        <w:tc>
          <w:tcPr>
            <w:tcW w:w="8028" w:type="dxa"/>
            <w:shd w:val="clear" w:color="auto" w:fill="auto"/>
          </w:tcPr>
          <w:p w:rsidR="001056AD" w:rsidRDefault="001056AD" w:rsidP="000B39B3">
            <w:pPr>
              <w:tabs>
                <w:tab w:val="right" w:pos="9187"/>
              </w:tabs>
              <w:rPr>
                <w:rFonts w:ascii="Arial" w:hAnsi="Arial"/>
                <w:szCs w:val="24"/>
                <w:u w:val="single"/>
              </w:rPr>
            </w:pPr>
          </w:p>
          <w:p w:rsidR="007C1AB0" w:rsidRPr="00F979A6" w:rsidRDefault="007C1AB0" w:rsidP="000B39B3">
            <w:pPr>
              <w:tabs>
                <w:tab w:val="right" w:pos="9187"/>
              </w:tabs>
              <w:rPr>
                <w:rFonts w:ascii="Arial" w:hAnsi="Arial"/>
                <w:szCs w:val="24"/>
                <w:highlight w:val="yellow"/>
                <w:u w:val="single"/>
              </w:rPr>
            </w:pPr>
            <w:r w:rsidRPr="00F979A6">
              <w:rPr>
                <w:rFonts w:ascii="Arial" w:hAnsi="Arial"/>
                <w:szCs w:val="24"/>
                <w:u w:val="single"/>
              </w:rPr>
              <w:t>North Beach CSO Control Project Construction</w:t>
            </w:r>
          </w:p>
          <w:p w:rsidR="007C1AB0" w:rsidRPr="00F979A6" w:rsidRDefault="001056AD" w:rsidP="000B39B3">
            <w:pPr>
              <w:pStyle w:val="NormalWeb"/>
              <w:spacing w:before="0" w:beforeAutospacing="0" w:after="0" w:afterAutospacing="0"/>
              <w:jc w:val="both"/>
              <w:rPr>
                <w:rFonts w:ascii="Arial" w:hAnsi="Arial"/>
                <w:highlight w:val="yellow"/>
              </w:rPr>
            </w:pPr>
            <w:r w:rsidRPr="000B39B3">
              <w:rPr>
                <w:rFonts w:ascii="Arial" w:hAnsi="Arial" w:cs="Arial"/>
              </w:rPr>
              <w:t xml:space="preserve">This project includes the construction of a new </w:t>
            </w:r>
            <w:r w:rsidR="00ED60E7">
              <w:rPr>
                <w:rFonts w:ascii="Arial" w:hAnsi="Arial" w:cs="Arial"/>
              </w:rPr>
              <w:t>0</w:t>
            </w:r>
            <w:r w:rsidRPr="000B39B3">
              <w:rPr>
                <w:rFonts w:ascii="Arial" w:hAnsi="Arial" w:cs="Arial"/>
              </w:rPr>
              <w:t xml:space="preserve">.23 million gallon underground storage tank located in Triton Drive NW and NW Blue Ridge Drive public right-of-way to control combined sewer overflows (CSOs) at the North Beach CSO basin. This facility will be able to store to 380,000 gallons of untreated water during peak flows when the North Beach Pump Station reaches maximum capacity.  </w:t>
            </w:r>
            <w:r w:rsidR="000B39B3" w:rsidRPr="000B39B3">
              <w:rPr>
                <w:rFonts w:ascii="Arial" w:hAnsi="Arial" w:cs="Arial"/>
              </w:rPr>
              <w:t>The overall goal of this project is to limit CSOs to no more than o</w:t>
            </w:r>
            <w:r w:rsidR="00ED60E7">
              <w:rPr>
                <w:rFonts w:ascii="Arial" w:hAnsi="Arial" w:cs="Arial"/>
              </w:rPr>
              <w:t>ne untreated discharge per year</w:t>
            </w:r>
            <w:r w:rsidR="000B39B3" w:rsidRPr="000B39B3">
              <w:rPr>
                <w:rFonts w:ascii="Arial" w:hAnsi="Arial" w:cs="Arial"/>
              </w:rPr>
              <w:t xml:space="preserve"> on average.  </w:t>
            </w:r>
          </w:p>
        </w:tc>
        <w:tc>
          <w:tcPr>
            <w:tcW w:w="1620" w:type="dxa"/>
            <w:shd w:val="clear" w:color="auto" w:fill="auto"/>
          </w:tcPr>
          <w:p w:rsidR="001056AD" w:rsidRPr="001056AD" w:rsidRDefault="001056AD" w:rsidP="001056AD">
            <w:pPr>
              <w:jc w:val="right"/>
              <w:rPr>
                <w:rFonts w:ascii="Arial" w:hAnsi="Arial"/>
                <w:szCs w:val="24"/>
                <w:u w:val="single"/>
              </w:rPr>
            </w:pPr>
            <w:r w:rsidRPr="001056AD">
              <w:rPr>
                <w:rFonts w:ascii="Arial" w:hAnsi="Arial"/>
                <w:szCs w:val="24"/>
                <w:u w:val="single"/>
              </w:rPr>
              <w:t>Loan amount</w:t>
            </w:r>
          </w:p>
          <w:p w:rsidR="007C1AB0" w:rsidRPr="000034A4" w:rsidRDefault="007C1AB0" w:rsidP="001056AD">
            <w:pPr>
              <w:jc w:val="right"/>
              <w:rPr>
                <w:rFonts w:ascii="Arial" w:hAnsi="Arial"/>
                <w:szCs w:val="24"/>
              </w:rPr>
            </w:pPr>
            <w:r w:rsidRPr="000034A4">
              <w:rPr>
                <w:rFonts w:ascii="Arial" w:hAnsi="Arial"/>
                <w:szCs w:val="24"/>
              </w:rPr>
              <w:t>$</w:t>
            </w:r>
            <w:r w:rsidR="001056AD">
              <w:rPr>
                <w:rFonts w:ascii="Arial" w:hAnsi="Arial"/>
                <w:szCs w:val="24"/>
              </w:rPr>
              <w:t>9,136,058</w:t>
            </w:r>
          </w:p>
        </w:tc>
      </w:tr>
    </w:tbl>
    <w:p w:rsidR="00ED60E7" w:rsidRDefault="00ED60E7" w:rsidP="007C1AB0">
      <w:pPr>
        <w:rPr>
          <w:rFonts w:ascii="Arial" w:hAnsi="Arial" w:cs="Arial"/>
          <w:b/>
          <w:szCs w:val="24"/>
          <w:u w:val="single"/>
        </w:rPr>
      </w:pPr>
    </w:p>
    <w:p w:rsidR="007C1AB0" w:rsidRPr="0030080B" w:rsidRDefault="007C1AB0" w:rsidP="007C1AB0">
      <w:pPr>
        <w:rPr>
          <w:rFonts w:ascii="Arial" w:hAnsi="Arial" w:cs="Arial"/>
          <w:b/>
          <w:szCs w:val="24"/>
          <w:u w:val="single"/>
        </w:rPr>
      </w:pPr>
      <w:r>
        <w:rPr>
          <w:rFonts w:ascii="Arial" w:hAnsi="Arial" w:cs="Arial"/>
          <w:b/>
          <w:szCs w:val="24"/>
          <w:u w:val="single"/>
        </w:rPr>
        <w:t>ANALYSIS</w:t>
      </w:r>
    </w:p>
    <w:p w:rsidR="007C1AB0" w:rsidRDefault="007C1AB0" w:rsidP="007C1AB0">
      <w:pPr>
        <w:pStyle w:val="Header"/>
        <w:tabs>
          <w:tab w:val="clear" w:pos="4320"/>
          <w:tab w:val="clear" w:pos="8640"/>
        </w:tabs>
        <w:rPr>
          <w:rFonts w:ascii="Arial" w:hAnsi="Arial" w:cs="Arial"/>
          <w:szCs w:val="24"/>
        </w:rPr>
      </w:pPr>
    </w:p>
    <w:p w:rsidR="007C1AB0" w:rsidRDefault="007C1AB0" w:rsidP="007C1AB0">
      <w:pPr>
        <w:pStyle w:val="Header"/>
        <w:tabs>
          <w:tab w:val="clear" w:pos="4320"/>
          <w:tab w:val="clear" w:pos="8640"/>
        </w:tabs>
        <w:rPr>
          <w:rFonts w:ascii="Arial" w:hAnsi="Arial" w:cs="Arial"/>
          <w:szCs w:val="24"/>
          <w:u w:val="single"/>
        </w:rPr>
      </w:pPr>
      <w:r>
        <w:rPr>
          <w:rFonts w:ascii="Arial" w:hAnsi="Arial" w:cs="Arial"/>
          <w:szCs w:val="24"/>
          <w:u w:val="single"/>
        </w:rPr>
        <w:t>Savings</w:t>
      </w:r>
    </w:p>
    <w:p w:rsidR="007C1AB0" w:rsidRDefault="007C1AB0" w:rsidP="007C1AB0">
      <w:pPr>
        <w:jc w:val="both"/>
        <w:rPr>
          <w:rFonts w:ascii="Arial" w:hAnsi="Arial" w:cs="Arial"/>
          <w:szCs w:val="24"/>
        </w:rPr>
      </w:pPr>
    </w:p>
    <w:p w:rsidR="007C1AB0" w:rsidRDefault="007C1AB0" w:rsidP="007C1AB0">
      <w:pPr>
        <w:pStyle w:val="Header"/>
        <w:tabs>
          <w:tab w:val="clear" w:pos="4320"/>
          <w:tab w:val="clear" w:pos="8640"/>
        </w:tabs>
        <w:jc w:val="both"/>
        <w:rPr>
          <w:rFonts w:ascii="Arial" w:hAnsi="Arial" w:cs="Arial"/>
          <w:szCs w:val="24"/>
        </w:rPr>
      </w:pPr>
      <w:r>
        <w:rPr>
          <w:rFonts w:ascii="Arial" w:hAnsi="Arial" w:cs="Arial"/>
          <w:szCs w:val="24"/>
        </w:rPr>
        <w:t xml:space="preserve">The estimated savings on utilizing SRF loan financing instead of standard bond financing are detailed in the fiscal note.  For these </w:t>
      </w:r>
      <w:r w:rsidR="00D722B7">
        <w:rPr>
          <w:rFonts w:ascii="Arial" w:hAnsi="Arial" w:cs="Arial"/>
          <w:szCs w:val="24"/>
        </w:rPr>
        <w:t>two</w:t>
      </w:r>
      <w:r>
        <w:rPr>
          <w:rFonts w:ascii="Arial" w:hAnsi="Arial" w:cs="Arial"/>
          <w:szCs w:val="24"/>
        </w:rPr>
        <w:t xml:space="preserve"> projects, the </w:t>
      </w:r>
      <w:r w:rsidRPr="00A65E2B">
        <w:rPr>
          <w:rFonts w:ascii="Arial" w:hAnsi="Arial" w:cs="Arial"/>
          <w:szCs w:val="24"/>
        </w:rPr>
        <w:t>2.</w:t>
      </w:r>
      <w:r w:rsidR="00581CC5">
        <w:rPr>
          <w:rFonts w:ascii="Arial" w:hAnsi="Arial" w:cs="Arial"/>
          <w:szCs w:val="24"/>
        </w:rPr>
        <w:t>4</w:t>
      </w:r>
      <w:r>
        <w:rPr>
          <w:rFonts w:ascii="Arial" w:hAnsi="Arial" w:cs="Arial"/>
          <w:szCs w:val="24"/>
        </w:rPr>
        <w:t xml:space="preserve"> percent interest loan agreements are estimated to save King County a total of </w:t>
      </w:r>
      <w:r w:rsidRPr="00B30F56">
        <w:rPr>
          <w:rFonts w:ascii="Arial" w:hAnsi="Arial" w:cs="Arial"/>
          <w:szCs w:val="24"/>
        </w:rPr>
        <w:t>over $</w:t>
      </w:r>
      <w:r w:rsidR="00581CC5">
        <w:rPr>
          <w:rFonts w:ascii="Arial" w:hAnsi="Arial" w:cs="Arial"/>
          <w:szCs w:val="24"/>
        </w:rPr>
        <w:t>19.24</w:t>
      </w:r>
      <w:r w:rsidRPr="00B30F56">
        <w:rPr>
          <w:rFonts w:ascii="Arial" w:hAnsi="Arial" w:cs="Arial"/>
          <w:szCs w:val="24"/>
        </w:rPr>
        <w:t xml:space="preserve"> million in interest expense over 30 years, at a present-day value of $</w:t>
      </w:r>
      <w:r w:rsidR="00581CC5">
        <w:rPr>
          <w:rFonts w:ascii="Arial" w:hAnsi="Arial" w:cs="Arial"/>
          <w:szCs w:val="24"/>
        </w:rPr>
        <w:t>8.6</w:t>
      </w:r>
      <w:r w:rsidRPr="00B30F56">
        <w:rPr>
          <w:rFonts w:ascii="Arial" w:hAnsi="Arial" w:cs="Arial"/>
          <w:szCs w:val="24"/>
        </w:rPr>
        <w:t xml:space="preserve"> million in savings in 201</w:t>
      </w:r>
      <w:r w:rsidR="00581CC5">
        <w:rPr>
          <w:rFonts w:ascii="Arial" w:hAnsi="Arial" w:cs="Arial"/>
          <w:szCs w:val="24"/>
        </w:rPr>
        <w:t xml:space="preserve">5 </w:t>
      </w:r>
      <w:r w:rsidRPr="00B30F56">
        <w:rPr>
          <w:rFonts w:ascii="Arial" w:hAnsi="Arial" w:cs="Arial"/>
          <w:szCs w:val="24"/>
        </w:rPr>
        <w:t>dollars.</w:t>
      </w:r>
    </w:p>
    <w:p w:rsidR="007C1AB0" w:rsidRDefault="007C1AB0" w:rsidP="007C1AB0">
      <w:pPr>
        <w:pStyle w:val="Header"/>
        <w:tabs>
          <w:tab w:val="clear" w:pos="4320"/>
          <w:tab w:val="clear" w:pos="8640"/>
        </w:tabs>
        <w:jc w:val="both"/>
        <w:rPr>
          <w:rFonts w:ascii="Arial" w:hAnsi="Arial" w:cs="Arial"/>
          <w:szCs w:val="24"/>
        </w:rPr>
      </w:pPr>
    </w:p>
    <w:p w:rsidR="007C1AB0" w:rsidRDefault="007C1AB0" w:rsidP="007C1AB0">
      <w:pPr>
        <w:pStyle w:val="Header"/>
        <w:tabs>
          <w:tab w:val="clear" w:pos="4320"/>
          <w:tab w:val="clear" w:pos="8640"/>
        </w:tabs>
        <w:jc w:val="both"/>
        <w:rPr>
          <w:rFonts w:ascii="Arial" w:hAnsi="Arial" w:cs="Arial"/>
          <w:szCs w:val="24"/>
        </w:rPr>
      </w:pPr>
      <w:r>
        <w:rPr>
          <w:rFonts w:ascii="Arial" w:hAnsi="Arial" w:cs="Arial"/>
          <w:szCs w:val="24"/>
        </w:rPr>
        <w:t>The use of alternative financing reduces expenses</w:t>
      </w:r>
      <w:r w:rsidR="00ED60E7">
        <w:rPr>
          <w:rFonts w:ascii="Arial" w:hAnsi="Arial" w:cs="Arial"/>
          <w:szCs w:val="24"/>
        </w:rPr>
        <w:t>, which</w:t>
      </w:r>
      <w:r>
        <w:rPr>
          <w:rFonts w:ascii="Arial" w:hAnsi="Arial" w:cs="Arial"/>
          <w:szCs w:val="24"/>
        </w:rPr>
        <w:t xml:space="preserve"> </w:t>
      </w:r>
      <w:r w:rsidR="00ED60E7">
        <w:rPr>
          <w:rFonts w:ascii="Arial" w:hAnsi="Arial" w:cs="Arial"/>
          <w:szCs w:val="24"/>
        </w:rPr>
        <w:t>helps to keep</w:t>
      </w:r>
      <w:r>
        <w:rPr>
          <w:rFonts w:ascii="Arial" w:hAnsi="Arial" w:cs="Arial"/>
          <w:szCs w:val="24"/>
        </w:rPr>
        <w:t xml:space="preserve"> wastewater tr</w:t>
      </w:r>
      <w:r w:rsidR="00ED60E7">
        <w:rPr>
          <w:rFonts w:ascii="Arial" w:hAnsi="Arial" w:cs="Arial"/>
          <w:szCs w:val="24"/>
        </w:rPr>
        <w:t>eatment rates lower</w:t>
      </w:r>
      <w:r>
        <w:rPr>
          <w:rFonts w:ascii="Arial" w:hAnsi="Arial" w:cs="Arial"/>
          <w:szCs w:val="24"/>
        </w:rPr>
        <w:t>.</w:t>
      </w:r>
    </w:p>
    <w:p w:rsidR="007C1AB0" w:rsidRDefault="007C1AB0" w:rsidP="007C1AB0">
      <w:pPr>
        <w:pStyle w:val="Header"/>
        <w:tabs>
          <w:tab w:val="clear" w:pos="4320"/>
          <w:tab w:val="clear" w:pos="8640"/>
        </w:tabs>
        <w:jc w:val="both"/>
        <w:rPr>
          <w:rFonts w:ascii="Arial" w:hAnsi="Arial" w:cs="Arial"/>
          <w:szCs w:val="24"/>
        </w:rPr>
      </w:pPr>
    </w:p>
    <w:p w:rsidR="007C1AB0" w:rsidRPr="00B35A3C" w:rsidRDefault="007C1AB0" w:rsidP="007C1AB0">
      <w:pPr>
        <w:pStyle w:val="Header"/>
        <w:tabs>
          <w:tab w:val="clear" w:pos="4320"/>
          <w:tab w:val="clear" w:pos="8640"/>
        </w:tabs>
        <w:jc w:val="both"/>
        <w:rPr>
          <w:rFonts w:ascii="Arial" w:hAnsi="Arial" w:cs="Arial"/>
          <w:szCs w:val="24"/>
        </w:rPr>
      </w:pPr>
      <w:r w:rsidRPr="00B35A3C">
        <w:rPr>
          <w:rFonts w:ascii="Arial" w:hAnsi="Arial" w:cs="Arial"/>
          <w:szCs w:val="24"/>
          <w:u w:val="single"/>
        </w:rPr>
        <w:t>Loan Requirements</w:t>
      </w:r>
    </w:p>
    <w:p w:rsidR="007C1AB0" w:rsidRPr="00B35A3C" w:rsidRDefault="007C1AB0" w:rsidP="007C1AB0">
      <w:pPr>
        <w:pStyle w:val="Header"/>
        <w:tabs>
          <w:tab w:val="clear" w:pos="4320"/>
          <w:tab w:val="clear" w:pos="8640"/>
        </w:tabs>
        <w:jc w:val="both"/>
        <w:rPr>
          <w:rFonts w:ascii="Arial" w:hAnsi="Arial" w:cs="Arial"/>
          <w:szCs w:val="24"/>
        </w:rPr>
      </w:pPr>
    </w:p>
    <w:p w:rsidR="00A10E7F" w:rsidRPr="00ED60E7" w:rsidRDefault="007C1AB0" w:rsidP="007C1AB0">
      <w:pPr>
        <w:pStyle w:val="Header"/>
        <w:tabs>
          <w:tab w:val="clear" w:pos="4320"/>
          <w:tab w:val="clear" w:pos="8640"/>
        </w:tabs>
        <w:jc w:val="both"/>
        <w:rPr>
          <w:rFonts w:ascii="Arial" w:hAnsi="Arial" w:cs="Arial"/>
          <w:szCs w:val="24"/>
        </w:rPr>
      </w:pPr>
      <w:r w:rsidRPr="00B35A3C">
        <w:rPr>
          <w:rFonts w:ascii="Arial" w:hAnsi="Arial" w:cs="Arial"/>
          <w:szCs w:val="24"/>
        </w:rPr>
        <w:t>The proposed SRF loan comes with various requirements, including quarterly reporting to the state and completion of the project in accordance with the proposed timeline and scope.  WTD does not anticipate any difficulties in complying with the project completion deadlines for the loans.  WTD’s grant administration infrastructure should be able to meet loan requirements with a minimum of added cost.  Therefore, there are no additional expenses in accepting this SRF loan compared to conventional bond financing.</w:t>
      </w:r>
    </w:p>
    <w:p w:rsidR="00A10E7F" w:rsidRDefault="00A10E7F" w:rsidP="007C1AB0">
      <w:pPr>
        <w:pStyle w:val="Header"/>
        <w:tabs>
          <w:tab w:val="clear" w:pos="4320"/>
          <w:tab w:val="clear" w:pos="8640"/>
        </w:tabs>
        <w:jc w:val="both"/>
        <w:rPr>
          <w:rFonts w:ascii="Arial" w:hAnsi="Arial" w:cs="Arial"/>
          <w:szCs w:val="24"/>
          <w:u w:val="single"/>
        </w:rPr>
      </w:pPr>
    </w:p>
    <w:p w:rsidR="008535DD" w:rsidRDefault="008535DD" w:rsidP="007C1AB0">
      <w:pPr>
        <w:pStyle w:val="Header"/>
        <w:tabs>
          <w:tab w:val="clear" w:pos="4320"/>
          <w:tab w:val="clear" w:pos="8640"/>
        </w:tabs>
        <w:jc w:val="both"/>
        <w:rPr>
          <w:rFonts w:ascii="Arial" w:hAnsi="Arial" w:cs="Arial"/>
          <w:szCs w:val="24"/>
          <w:u w:val="single"/>
        </w:rPr>
      </w:pPr>
      <w:r w:rsidRPr="008535DD">
        <w:rPr>
          <w:rFonts w:ascii="Arial" w:hAnsi="Arial" w:cs="Arial"/>
          <w:szCs w:val="24"/>
          <w:u w:val="single"/>
        </w:rPr>
        <w:t>Loan Agreement Organization and Specific Requirements</w:t>
      </w:r>
    </w:p>
    <w:p w:rsidR="008535DD" w:rsidRDefault="008535DD" w:rsidP="007C1AB0">
      <w:pPr>
        <w:pStyle w:val="Header"/>
        <w:tabs>
          <w:tab w:val="clear" w:pos="4320"/>
          <w:tab w:val="clear" w:pos="8640"/>
        </w:tabs>
        <w:jc w:val="both"/>
        <w:rPr>
          <w:rFonts w:ascii="Arial" w:hAnsi="Arial" w:cs="Arial"/>
          <w:szCs w:val="24"/>
          <w:u w:val="single"/>
        </w:rPr>
      </w:pPr>
    </w:p>
    <w:p w:rsidR="001410E1" w:rsidRDefault="008535DD" w:rsidP="007C1AB0">
      <w:pPr>
        <w:pStyle w:val="Header"/>
        <w:tabs>
          <w:tab w:val="clear" w:pos="4320"/>
          <w:tab w:val="clear" w:pos="8640"/>
        </w:tabs>
        <w:jc w:val="both"/>
        <w:rPr>
          <w:rFonts w:ascii="Arial" w:hAnsi="Arial" w:cs="Arial"/>
          <w:szCs w:val="24"/>
        </w:rPr>
      </w:pPr>
      <w:r>
        <w:rPr>
          <w:rFonts w:ascii="Arial" w:hAnsi="Arial" w:cs="Arial"/>
          <w:szCs w:val="24"/>
        </w:rPr>
        <w:t xml:space="preserve">Ecology moved to a digital format for development and approval of new loan agreements in the last several years.   Ecology has also been updating and revising </w:t>
      </w:r>
      <w:r w:rsidR="00ED60E7">
        <w:rPr>
          <w:rFonts w:ascii="Arial" w:hAnsi="Arial" w:cs="Arial"/>
          <w:szCs w:val="24"/>
        </w:rPr>
        <w:t>its</w:t>
      </w:r>
      <w:r>
        <w:rPr>
          <w:rFonts w:ascii="Arial" w:hAnsi="Arial" w:cs="Arial"/>
          <w:szCs w:val="24"/>
        </w:rPr>
        <w:t xml:space="preserve"> loan agreements.   Though the SRF loan</w:t>
      </w:r>
      <w:r w:rsidR="001410E1">
        <w:rPr>
          <w:rFonts w:ascii="Arial" w:hAnsi="Arial" w:cs="Arial"/>
          <w:szCs w:val="24"/>
        </w:rPr>
        <w:t>s</w:t>
      </w:r>
      <w:r>
        <w:rPr>
          <w:rFonts w:ascii="Arial" w:hAnsi="Arial" w:cs="Arial"/>
          <w:szCs w:val="24"/>
        </w:rPr>
        <w:t xml:space="preserve"> </w:t>
      </w:r>
      <w:r w:rsidR="001410E1">
        <w:rPr>
          <w:rFonts w:ascii="Arial" w:hAnsi="Arial" w:cs="Arial"/>
          <w:szCs w:val="24"/>
        </w:rPr>
        <w:t>were approved for these projects</w:t>
      </w:r>
      <w:r w:rsidR="00ED60E7">
        <w:rPr>
          <w:rFonts w:ascii="Arial" w:hAnsi="Arial" w:cs="Arial"/>
          <w:szCs w:val="24"/>
        </w:rPr>
        <w:t xml:space="preserve"> as of July 2015, </w:t>
      </w:r>
      <w:r>
        <w:rPr>
          <w:rFonts w:ascii="Arial" w:hAnsi="Arial" w:cs="Arial"/>
          <w:szCs w:val="24"/>
        </w:rPr>
        <w:t>WTD did not receive the proposed loan document</w:t>
      </w:r>
      <w:r w:rsidR="001410E1">
        <w:rPr>
          <w:rFonts w:ascii="Arial" w:hAnsi="Arial" w:cs="Arial"/>
          <w:szCs w:val="24"/>
        </w:rPr>
        <w:t>s</w:t>
      </w:r>
      <w:r w:rsidR="00ED60E7">
        <w:rPr>
          <w:rFonts w:ascii="Arial" w:hAnsi="Arial" w:cs="Arial"/>
          <w:szCs w:val="24"/>
        </w:rPr>
        <w:t xml:space="preserve"> until February 2016.</w:t>
      </w:r>
      <w:r>
        <w:rPr>
          <w:rFonts w:ascii="Arial" w:hAnsi="Arial" w:cs="Arial"/>
          <w:szCs w:val="24"/>
        </w:rPr>
        <w:t xml:space="preserve">  </w:t>
      </w:r>
      <w:r w:rsidR="001410E1">
        <w:rPr>
          <w:rFonts w:ascii="Arial" w:hAnsi="Arial" w:cs="Arial"/>
          <w:szCs w:val="24"/>
        </w:rPr>
        <w:t>They were then forwarded to Council staff.</w:t>
      </w:r>
    </w:p>
    <w:p w:rsidR="001410E1" w:rsidRDefault="001410E1" w:rsidP="007C1AB0">
      <w:pPr>
        <w:pStyle w:val="Header"/>
        <w:tabs>
          <w:tab w:val="clear" w:pos="4320"/>
          <w:tab w:val="clear" w:pos="8640"/>
        </w:tabs>
        <w:jc w:val="both"/>
        <w:rPr>
          <w:rFonts w:ascii="Arial" w:hAnsi="Arial" w:cs="Arial"/>
          <w:szCs w:val="24"/>
        </w:rPr>
      </w:pPr>
    </w:p>
    <w:p w:rsidR="008535DD" w:rsidRDefault="008535DD" w:rsidP="007C1AB0">
      <w:pPr>
        <w:pStyle w:val="Header"/>
        <w:tabs>
          <w:tab w:val="clear" w:pos="4320"/>
          <w:tab w:val="clear" w:pos="8640"/>
        </w:tabs>
        <w:jc w:val="both"/>
        <w:rPr>
          <w:rFonts w:ascii="Arial" w:hAnsi="Arial" w:cs="Arial"/>
          <w:szCs w:val="24"/>
        </w:rPr>
      </w:pPr>
      <w:r>
        <w:rPr>
          <w:rFonts w:ascii="Arial" w:hAnsi="Arial" w:cs="Arial"/>
          <w:szCs w:val="24"/>
        </w:rPr>
        <w:t>Council staff noted at the time that the organization and some of the specifics of the 2016 proposed loan agreements had changed substantially from the 2015 version of the loan agreement approved by the Council the year before.</w:t>
      </w:r>
    </w:p>
    <w:p w:rsidR="008535DD" w:rsidRDefault="008535DD" w:rsidP="007C1AB0">
      <w:pPr>
        <w:pStyle w:val="Header"/>
        <w:tabs>
          <w:tab w:val="clear" w:pos="4320"/>
          <w:tab w:val="clear" w:pos="8640"/>
        </w:tabs>
        <w:jc w:val="both"/>
        <w:rPr>
          <w:rFonts w:ascii="Arial" w:hAnsi="Arial" w:cs="Arial"/>
          <w:szCs w:val="24"/>
        </w:rPr>
      </w:pPr>
    </w:p>
    <w:p w:rsidR="00094A88" w:rsidRPr="00ED60E7" w:rsidRDefault="00094A88" w:rsidP="007C1AB0">
      <w:pPr>
        <w:pStyle w:val="Header"/>
        <w:tabs>
          <w:tab w:val="clear" w:pos="4320"/>
          <w:tab w:val="clear" w:pos="8640"/>
        </w:tabs>
        <w:jc w:val="both"/>
        <w:rPr>
          <w:rFonts w:ascii="Arial" w:hAnsi="Arial" w:cs="Arial"/>
          <w:szCs w:val="24"/>
        </w:rPr>
      </w:pPr>
      <w:r>
        <w:rPr>
          <w:rFonts w:ascii="Arial" w:hAnsi="Arial" w:cs="Arial"/>
          <w:szCs w:val="24"/>
        </w:rPr>
        <w:t xml:space="preserve">Council staff requested and received an analysis from the WTD staff regarding </w:t>
      </w:r>
      <w:r w:rsidR="00A55073">
        <w:rPr>
          <w:rFonts w:ascii="Arial" w:hAnsi="Arial" w:cs="Arial"/>
          <w:szCs w:val="24"/>
        </w:rPr>
        <w:t>WTD’s assessment of the potential</w:t>
      </w:r>
      <w:r>
        <w:rPr>
          <w:rFonts w:ascii="Arial" w:hAnsi="Arial" w:cs="Arial"/>
          <w:szCs w:val="24"/>
        </w:rPr>
        <w:t xml:space="preserve"> impact of any of these changes in</w:t>
      </w:r>
      <w:r w:rsidR="00A10E7F">
        <w:rPr>
          <w:rFonts w:ascii="Arial" w:hAnsi="Arial" w:cs="Arial"/>
          <w:szCs w:val="24"/>
        </w:rPr>
        <w:t xml:space="preserve"> organization and specific requirements of</w:t>
      </w:r>
      <w:r>
        <w:rPr>
          <w:rFonts w:ascii="Arial" w:hAnsi="Arial" w:cs="Arial"/>
          <w:szCs w:val="24"/>
        </w:rPr>
        <w:t xml:space="preserve"> the agreement</w:t>
      </w:r>
      <w:r w:rsidR="00A55073">
        <w:rPr>
          <w:rFonts w:ascii="Arial" w:hAnsi="Arial" w:cs="Arial"/>
          <w:szCs w:val="24"/>
        </w:rPr>
        <w:t xml:space="preserve"> with regard to utilizing the loans for the Murray or North Beach projects</w:t>
      </w:r>
      <w:r>
        <w:rPr>
          <w:rFonts w:ascii="Arial" w:hAnsi="Arial" w:cs="Arial"/>
          <w:szCs w:val="24"/>
        </w:rPr>
        <w:t xml:space="preserve">. </w:t>
      </w:r>
      <w:r w:rsidR="008535DD">
        <w:rPr>
          <w:rFonts w:ascii="Arial" w:hAnsi="Arial" w:cs="Arial"/>
          <w:szCs w:val="24"/>
        </w:rPr>
        <w:t xml:space="preserve">  </w:t>
      </w:r>
      <w:r w:rsidRPr="00A10E7F">
        <w:rPr>
          <w:rFonts w:ascii="Arial" w:hAnsi="Arial" w:cs="Arial"/>
          <w:i/>
          <w:szCs w:val="24"/>
        </w:rPr>
        <w:t xml:space="preserve">WTD reports that none of the changes in the </w:t>
      </w:r>
      <w:r w:rsidR="001410E1" w:rsidRPr="00A10E7F">
        <w:rPr>
          <w:rFonts w:ascii="Arial" w:hAnsi="Arial" w:cs="Arial"/>
          <w:i/>
          <w:szCs w:val="24"/>
        </w:rPr>
        <w:t xml:space="preserve">proposed </w:t>
      </w:r>
      <w:r w:rsidRPr="00A10E7F">
        <w:rPr>
          <w:rFonts w:ascii="Arial" w:hAnsi="Arial" w:cs="Arial"/>
          <w:i/>
          <w:szCs w:val="24"/>
        </w:rPr>
        <w:t>agreement</w:t>
      </w:r>
      <w:r w:rsidR="001410E1" w:rsidRPr="00A10E7F">
        <w:rPr>
          <w:rFonts w:ascii="Arial" w:hAnsi="Arial" w:cs="Arial"/>
          <w:i/>
          <w:szCs w:val="24"/>
        </w:rPr>
        <w:t>s</w:t>
      </w:r>
      <w:r w:rsidRPr="00A10E7F">
        <w:rPr>
          <w:rFonts w:ascii="Arial" w:hAnsi="Arial" w:cs="Arial"/>
          <w:i/>
          <w:szCs w:val="24"/>
        </w:rPr>
        <w:t xml:space="preserve"> have an impact on their utilization of the loans for these projects.  </w:t>
      </w:r>
      <w:r w:rsidR="00A65E2B" w:rsidRPr="00A10E7F">
        <w:rPr>
          <w:rFonts w:ascii="Arial" w:hAnsi="Arial" w:cs="Arial"/>
          <w:i/>
          <w:szCs w:val="24"/>
        </w:rPr>
        <w:t xml:space="preserve"> </w:t>
      </w:r>
    </w:p>
    <w:p w:rsidR="00094A88" w:rsidRDefault="00094A88" w:rsidP="007C1AB0">
      <w:pPr>
        <w:pStyle w:val="Header"/>
        <w:tabs>
          <w:tab w:val="clear" w:pos="4320"/>
          <w:tab w:val="clear" w:pos="8640"/>
        </w:tabs>
        <w:jc w:val="both"/>
        <w:rPr>
          <w:rFonts w:ascii="Arial" w:hAnsi="Arial" w:cs="Arial"/>
          <w:szCs w:val="24"/>
        </w:rPr>
      </w:pPr>
    </w:p>
    <w:p w:rsidR="00A65E2B" w:rsidRDefault="00A65E2B" w:rsidP="007C1AB0">
      <w:pPr>
        <w:pStyle w:val="Header"/>
        <w:tabs>
          <w:tab w:val="clear" w:pos="4320"/>
          <w:tab w:val="clear" w:pos="8640"/>
        </w:tabs>
        <w:jc w:val="both"/>
        <w:rPr>
          <w:rFonts w:ascii="Arial" w:hAnsi="Arial" w:cs="Arial"/>
          <w:szCs w:val="24"/>
        </w:rPr>
      </w:pPr>
      <w:r>
        <w:rPr>
          <w:rFonts w:ascii="Arial" w:hAnsi="Arial" w:cs="Arial"/>
          <w:szCs w:val="24"/>
        </w:rPr>
        <w:t>Briefly noted are some of the changes</w:t>
      </w:r>
      <w:r w:rsidR="009F40C7">
        <w:rPr>
          <w:rFonts w:ascii="Arial" w:hAnsi="Arial" w:cs="Arial"/>
          <w:szCs w:val="24"/>
        </w:rPr>
        <w:t xml:space="preserve"> – all of which WTD reports have no impact on their loan utilization </w:t>
      </w:r>
      <w:r w:rsidR="001410E1">
        <w:rPr>
          <w:rFonts w:ascii="Arial" w:hAnsi="Arial" w:cs="Arial"/>
          <w:szCs w:val="24"/>
        </w:rPr>
        <w:t>f</w:t>
      </w:r>
      <w:r w:rsidR="009F40C7">
        <w:rPr>
          <w:rFonts w:ascii="Arial" w:hAnsi="Arial" w:cs="Arial"/>
          <w:szCs w:val="24"/>
        </w:rPr>
        <w:t xml:space="preserve">or </w:t>
      </w:r>
      <w:r w:rsidR="00A10E7F">
        <w:rPr>
          <w:rFonts w:ascii="Arial" w:hAnsi="Arial" w:cs="Arial"/>
          <w:szCs w:val="24"/>
        </w:rPr>
        <w:t>the Murray and North Beach projects</w:t>
      </w:r>
      <w:r w:rsidR="009F40C7">
        <w:rPr>
          <w:rFonts w:ascii="Arial" w:hAnsi="Arial" w:cs="Arial"/>
          <w:szCs w:val="24"/>
        </w:rPr>
        <w:t>:</w:t>
      </w:r>
    </w:p>
    <w:p w:rsidR="009F40C7" w:rsidRDefault="009F40C7" w:rsidP="007C1AB0">
      <w:pPr>
        <w:pStyle w:val="Header"/>
        <w:tabs>
          <w:tab w:val="clear" w:pos="4320"/>
          <w:tab w:val="clear" w:pos="8640"/>
        </w:tabs>
        <w:jc w:val="both"/>
        <w:rPr>
          <w:rFonts w:ascii="Arial" w:hAnsi="Arial" w:cs="Arial"/>
          <w:szCs w:val="24"/>
        </w:rPr>
      </w:pPr>
    </w:p>
    <w:p w:rsidR="00A55073" w:rsidRDefault="00A55073"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Added definitions of terms that are used in the 2016 agreement;</w:t>
      </w:r>
    </w:p>
    <w:p w:rsidR="00A55073" w:rsidRDefault="00A55073"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Sections of the agreement have been moved to a different section in the 2016 agreement</w:t>
      </w:r>
      <w:r w:rsidR="00860BA7">
        <w:rPr>
          <w:rFonts w:ascii="Arial" w:hAnsi="Arial" w:cs="Arial"/>
          <w:szCs w:val="24"/>
        </w:rPr>
        <w:t>;</w:t>
      </w:r>
    </w:p>
    <w:p w:rsidR="00A65E2B" w:rsidRDefault="001410E1"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 xml:space="preserve">Section 2 regarding </w:t>
      </w:r>
      <w:r w:rsidR="00A65E2B">
        <w:rPr>
          <w:rFonts w:ascii="Arial" w:hAnsi="Arial" w:cs="Arial"/>
          <w:szCs w:val="24"/>
        </w:rPr>
        <w:t>Best Management Practices (BMP) implementation is moved</w:t>
      </w:r>
      <w:r>
        <w:rPr>
          <w:rFonts w:ascii="Arial" w:hAnsi="Arial" w:cs="Arial"/>
          <w:szCs w:val="24"/>
        </w:rPr>
        <w:t xml:space="preserve"> from Section 3</w:t>
      </w:r>
      <w:r w:rsidR="00A65E2B">
        <w:rPr>
          <w:rFonts w:ascii="Arial" w:hAnsi="Arial" w:cs="Arial"/>
          <w:szCs w:val="24"/>
        </w:rPr>
        <w:t>, and noted for application to</w:t>
      </w:r>
      <w:r w:rsidR="00094A88">
        <w:rPr>
          <w:rFonts w:ascii="Arial" w:hAnsi="Arial" w:cs="Arial"/>
          <w:szCs w:val="24"/>
        </w:rPr>
        <w:t xml:space="preserve"> certain types of projects only;</w:t>
      </w:r>
    </w:p>
    <w:p w:rsidR="00094A88" w:rsidRDefault="001410E1"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 xml:space="preserve">Section 2 regarding </w:t>
      </w:r>
      <w:r w:rsidR="00094A88">
        <w:rPr>
          <w:rFonts w:ascii="Arial" w:hAnsi="Arial" w:cs="Arial"/>
          <w:szCs w:val="24"/>
        </w:rPr>
        <w:t xml:space="preserve">Cultural and Historic Resources Protection Compliance with Environmental Laws and Regulations </w:t>
      </w:r>
      <w:r>
        <w:rPr>
          <w:rFonts w:ascii="Arial" w:hAnsi="Arial" w:cs="Arial"/>
          <w:szCs w:val="24"/>
        </w:rPr>
        <w:t xml:space="preserve">has </w:t>
      </w:r>
      <w:r w:rsidR="00094A88">
        <w:rPr>
          <w:rFonts w:ascii="Arial" w:hAnsi="Arial" w:cs="Arial"/>
          <w:szCs w:val="24"/>
        </w:rPr>
        <w:t xml:space="preserve">been ‘enhanced’.  A loan recipient is required to develop a complete Inadvertent Discovery Plan (IDP) and there is an added </w:t>
      </w:r>
      <w:r w:rsidR="00A55073">
        <w:rPr>
          <w:rFonts w:ascii="Arial" w:hAnsi="Arial" w:cs="Arial"/>
          <w:szCs w:val="24"/>
        </w:rPr>
        <w:t xml:space="preserve">requirement regarding a </w:t>
      </w:r>
      <w:r w:rsidR="00094A88">
        <w:rPr>
          <w:rFonts w:ascii="Arial" w:hAnsi="Arial" w:cs="Arial"/>
          <w:szCs w:val="24"/>
        </w:rPr>
        <w:t>notifications list;</w:t>
      </w:r>
    </w:p>
    <w:p w:rsidR="001410E1" w:rsidRDefault="001410E1"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Section 2 regarding Electronic Fund Transfers is new in Section 2 (WTD already utilizes this function);</w:t>
      </w:r>
    </w:p>
    <w:p w:rsidR="001410E1" w:rsidRDefault="001410E1"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Section 2 regarding Lobbying and Litigation is new and restricts loan proceeds from being used in this manner;</w:t>
      </w:r>
    </w:p>
    <w:p w:rsidR="001410E1" w:rsidRDefault="001410E1"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Section 2 regarding Project Status Evaluation and Technical Assistance are moved from Section 3 in the 2015 agreement;</w:t>
      </w:r>
    </w:p>
    <w:p w:rsidR="00094A88" w:rsidRDefault="00094A88" w:rsidP="0034294F">
      <w:pPr>
        <w:pStyle w:val="Header"/>
        <w:numPr>
          <w:ilvl w:val="0"/>
          <w:numId w:val="44"/>
        </w:numPr>
        <w:tabs>
          <w:tab w:val="clear" w:pos="4320"/>
          <w:tab w:val="clear" w:pos="8640"/>
        </w:tabs>
        <w:spacing w:after="120"/>
        <w:ind w:left="450" w:hanging="270"/>
        <w:jc w:val="both"/>
        <w:rPr>
          <w:rFonts w:ascii="Arial" w:hAnsi="Arial" w:cs="Arial"/>
          <w:szCs w:val="24"/>
        </w:rPr>
      </w:pPr>
      <w:r w:rsidRPr="00094A88">
        <w:rPr>
          <w:rFonts w:ascii="Arial" w:hAnsi="Arial" w:cs="Arial"/>
          <w:szCs w:val="24"/>
        </w:rPr>
        <w:t>Some of Sections 4 and 5 of the previous agreement have combined into Section 3</w:t>
      </w:r>
      <w:r w:rsidR="00860BA7">
        <w:rPr>
          <w:rFonts w:ascii="Arial" w:hAnsi="Arial" w:cs="Arial"/>
          <w:szCs w:val="24"/>
        </w:rPr>
        <w:t>;</w:t>
      </w:r>
    </w:p>
    <w:p w:rsidR="00094A88" w:rsidRDefault="00A55073"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 xml:space="preserve">Section 4 regarding </w:t>
      </w:r>
      <w:r w:rsidR="00094A88" w:rsidRPr="00A55073">
        <w:rPr>
          <w:rFonts w:ascii="Arial" w:hAnsi="Arial" w:cs="Arial"/>
          <w:szCs w:val="24"/>
        </w:rPr>
        <w:t xml:space="preserve">Audit Requirements is different than requirements in the 2015 agreement.  </w:t>
      </w:r>
      <w:r>
        <w:rPr>
          <w:rFonts w:ascii="Arial" w:hAnsi="Arial" w:cs="Arial"/>
          <w:szCs w:val="24"/>
        </w:rPr>
        <w:t>(</w:t>
      </w:r>
      <w:r w:rsidR="00094A88" w:rsidRPr="00A55073">
        <w:rPr>
          <w:rFonts w:ascii="Arial" w:hAnsi="Arial" w:cs="Arial"/>
          <w:szCs w:val="24"/>
        </w:rPr>
        <w:t xml:space="preserve">The new audit requirements have no impact on WTD since </w:t>
      </w:r>
      <w:r>
        <w:rPr>
          <w:rFonts w:ascii="Arial" w:hAnsi="Arial" w:cs="Arial"/>
          <w:szCs w:val="24"/>
        </w:rPr>
        <w:t xml:space="preserve">the division already complies with the new </w:t>
      </w:r>
      <w:r w:rsidR="00094A88" w:rsidRPr="00A55073">
        <w:rPr>
          <w:rFonts w:ascii="Arial" w:hAnsi="Arial" w:cs="Arial"/>
          <w:szCs w:val="24"/>
        </w:rPr>
        <w:t>audit standards</w:t>
      </w:r>
      <w:r>
        <w:rPr>
          <w:rFonts w:ascii="Arial" w:hAnsi="Arial" w:cs="Arial"/>
          <w:szCs w:val="24"/>
        </w:rPr>
        <w:t xml:space="preserve">); </w:t>
      </w:r>
    </w:p>
    <w:p w:rsidR="009F40C7" w:rsidRDefault="009F40C7" w:rsidP="0034294F">
      <w:pPr>
        <w:pStyle w:val="Header"/>
        <w:numPr>
          <w:ilvl w:val="0"/>
          <w:numId w:val="44"/>
        </w:numPr>
        <w:tabs>
          <w:tab w:val="clear" w:pos="4320"/>
          <w:tab w:val="clear" w:pos="8640"/>
        </w:tabs>
        <w:spacing w:after="120"/>
        <w:ind w:left="450" w:hanging="270"/>
        <w:jc w:val="both"/>
        <w:rPr>
          <w:rFonts w:ascii="Arial" w:hAnsi="Arial" w:cs="Arial"/>
          <w:szCs w:val="24"/>
        </w:rPr>
      </w:pPr>
      <w:r w:rsidRPr="009F40C7">
        <w:rPr>
          <w:rFonts w:ascii="Arial" w:hAnsi="Arial" w:cs="Arial"/>
          <w:szCs w:val="24"/>
        </w:rPr>
        <w:t>Section 4 regarding Archeological Resources and Historic Propert</w:t>
      </w:r>
      <w:r>
        <w:rPr>
          <w:rFonts w:ascii="Arial" w:hAnsi="Arial" w:cs="Arial"/>
          <w:szCs w:val="24"/>
        </w:rPr>
        <w:t>ies is new but references the earlier Section 2.C of the 2016 agreement</w:t>
      </w:r>
      <w:r w:rsidR="00860BA7">
        <w:rPr>
          <w:rFonts w:ascii="Arial" w:hAnsi="Arial" w:cs="Arial"/>
          <w:szCs w:val="24"/>
        </w:rPr>
        <w:t>;</w:t>
      </w:r>
    </w:p>
    <w:p w:rsidR="00A55073" w:rsidRPr="009F40C7" w:rsidRDefault="00A55073" w:rsidP="0034294F">
      <w:pPr>
        <w:pStyle w:val="Header"/>
        <w:numPr>
          <w:ilvl w:val="0"/>
          <w:numId w:val="44"/>
        </w:numPr>
        <w:tabs>
          <w:tab w:val="clear" w:pos="4320"/>
          <w:tab w:val="clear" w:pos="8640"/>
        </w:tabs>
        <w:spacing w:after="120"/>
        <w:ind w:left="450" w:hanging="270"/>
        <w:jc w:val="both"/>
        <w:rPr>
          <w:rFonts w:ascii="Arial" w:hAnsi="Arial" w:cs="Arial"/>
          <w:szCs w:val="24"/>
        </w:rPr>
      </w:pPr>
      <w:r w:rsidRPr="009F40C7">
        <w:rPr>
          <w:rFonts w:ascii="Arial" w:hAnsi="Arial" w:cs="Arial"/>
          <w:szCs w:val="24"/>
        </w:rPr>
        <w:lastRenderedPageBreak/>
        <w:t>Section 4 also includes new language regarding a “Consultant Cap” limiting expenses for consultants.  (WTD reports this has no impact</w:t>
      </w:r>
      <w:r w:rsidR="00ED60E7">
        <w:rPr>
          <w:rFonts w:ascii="Arial" w:hAnsi="Arial" w:cs="Arial"/>
          <w:szCs w:val="24"/>
        </w:rPr>
        <w:t>)</w:t>
      </w:r>
      <w:r w:rsidRPr="009F40C7">
        <w:rPr>
          <w:rFonts w:ascii="Arial" w:hAnsi="Arial" w:cs="Arial"/>
          <w:szCs w:val="24"/>
        </w:rPr>
        <w:t xml:space="preserve">; </w:t>
      </w:r>
    </w:p>
    <w:p w:rsidR="00094A88" w:rsidRDefault="009F40C7" w:rsidP="0034294F">
      <w:pPr>
        <w:pStyle w:val="Header"/>
        <w:numPr>
          <w:ilvl w:val="0"/>
          <w:numId w:val="44"/>
        </w:numPr>
        <w:tabs>
          <w:tab w:val="clear" w:pos="4320"/>
          <w:tab w:val="clear" w:pos="8640"/>
        </w:tabs>
        <w:spacing w:after="120"/>
        <w:ind w:left="450" w:hanging="270"/>
        <w:jc w:val="both"/>
        <w:rPr>
          <w:rFonts w:ascii="Arial" w:hAnsi="Arial" w:cs="Arial"/>
          <w:szCs w:val="24"/>
        </w:rPr>
      </w:pPr>
      <w:r w:rsidRPr="009F40C7">
        <w:rPr>
          <w:rFonts w:ascii="Arial" w:hAnsi="Arial" w:cs="Arial"/>
          <w:szCs w:val="24"/>
        </w:rPr>
        <w:t>Section 4 requires use of a Data Universal Numbering system (DUNS) and Central Contractor Registration (CCR)</w:t>
      </w:r>
      <w:r w:rsidR="00860BA7">
        <w:rPr>
          <w:rFonts w:ascii="Arial" w:hAnsi="Arial" w:cs="Arial"/>
          <w:szCs w:val="24"/>
        </w:rPr>
        <w:t>;</w:t>
      </w:r>
    </w:p>
    <w:p w:rsidR="009F40C7" w:rsidRDefault="009F40C7"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Some of the General Terms and Conditions regarding Disadvantaged Business Enterprise,</w:t>
      </w:r>
      <w:r w:rsidR="008535DD">
        <w:rPr>
          <w:rFonts w:ascii="Arial" w:hAnsi="Arial" w:cs="Arial"/>
          <w:szCs w:val="24"/>
        </w:rPr>
        <w:t xml:space="preserve"> and </w:t>
      </w:r>
      <w:r>
        <w:rPr>
          <w:rFonts w:ascii="Arial" w:hAnsi="Arial" w:cs="Arial"/>
          <w:szCs w:val="24"/>
        </w:rPr>
        <w:t>Non-discrimination Provisions have been moved to Section 4 of the 2016 Agreement;</w:t>
      </w:r>
    </w:p>
    <w:p w:rsidR="009F40C7" w:rsidRDefault="009F40C7"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Section 4 also now includes compliance with the Hotel-Motel Fire Safety Act for conferences/meetings  associated with the projects</w:t>
      </w:r>
      <w:r w:rsidR="0034294F">
        <w:rPr>
          <w:rFonts w:ascii="Arial" w:hAnsi="Arial" w:cs="Arial"/>
          <w:szCs w:val="24"/>
        </w:rPr>
        <w:t xml:space="preserve"> and prohibitions on Trafficking in Persons by the loan recipient and recipient employees</w:t>
      </w:r>
      <w:r w:rsidR="00860BA7">
        <w:rPr>
          <w:rFonts w:ascii="Arial" w:hAnsi="Arial" w:cs="Arial"/>
          <w:szCs w:val="24"/>
        </w:rPr>
        <w:t>;</w:t>
      </w:r>
    </w:p>
    <w:p w:rsidR="0034294F" w:rsidRDefault="0034294F"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Section 5 regarding Sewer-Use Ordinance or Resolution – if not already in existence the loan recipient shall adopt and enforce a sewer-use ordinance or resolution – with the ordinance including a provision to “require connections necessary to meet debt obligations associated with the planning and construction of this facility as well as the expected costs of operation and maintenance”</w:t>
      </w:r>
      <w:r w:rsidR="00860BA7">
        <w:rPr>
          <w:rFonts w:ascii="Arial" w:hAnsi="Arial" w:cs="Arial"/>
          <w:szCs w:val="24"/>
        </w:rPr>
        <w:t>;</w:t>
      </w:r>
    </w:p>
    <w:p w:rsidR="0034294F" w:rsidRDefault="0034294F" w:rsidP="0034294F">
      <w:pPr>
        <w:pStyle w:val="Header"/>
        <w:numPr>
          <w:ilvl w:val="0"/>
          <w:numId w:val="44"/>
        </w:numPr>
        <w:tabs>
          <w:tab w:val="clear" w:pos="4320"/>
          <w:tab w:val="clear" w:pos="8640"/>
        </w:tabs>
        <w:spacing w:after="120"/>
        <w:ind w:left="450" w:hanging="270"/>
        <w:jc w:val="both"/>
        <w:rPr>
          <w:rFonts w:ascii="Arial" w:hAnsi="Arial" w:cs="Arial"/>
          <w:szCs w:val="24"/>
        </w:rPr>
      </w:pPr>
      <w:r>
        <w:rPr>
          <w:rFonts w:ascii="Arial" w:hAnsi="Arial" w:cs="Arial"/>
          <w:szCs w:val="24"/>
        </w:rPr>
        <w:t>General Terms and Conditions</w:t>
      </w:r>
      <w:r w:rsidR="008535DD">
        <w:rPr>
          <w:rFonts w:ascii="Arial" w:hAnsi="Arial" w:cs="Arial"/>
          <w:szCs w:val="24"/>
        </w:rPr>
        <w:t xml:space="preserve"> there is new language regarding any communications intended for public distribution that use Ecology’s logo must comply with the agenc</w:t>
      </w:r>
      <w:r w:rsidR="00E812A5">
        <w:rPr>
          <w:rFonts w:ascii="Arial" w:hAnsi="Arial" w:cs="Arial"/>
          <w:szCs w:val="24"/>
        </w:rPr>
        <w:t>y’s</w:t>
      </w:r>
      <w:r w:rsidR="008535DD">
        <w:rPr>
          <w:rFonts w:ascii="Arial" w:hAnsi="Arial" w:cs="Arial"/>
          <w:szCs w:val="24"/>
        </w:rPr>
        <w:t xml:space="preserve"> graphic requirements.</w:t>
      </w:r>
    </w:p>
    <w:p w:rsidR="0034294F" w:rsidRPr="009F40C7" w:rsidRDefault="0034294F" w:rsidP="0034294F">
      <w:pPr>
        <w:pStyle w:val="Header"/>
        <w:tabs>
          <w:tab w:val="clear" w:pos="4320"/>
          <w:tab w:val="clear" w:pos="8640"/>
        </w:tabs>
        <w:jc w:val="both"/>
        <w:rPr>
          <w:rFonts w:ascii="Arial" w:hAnsi="Arial" w:cs="Arial"/>
          <w:szCs w:val="24"/>
        </w:rPr>
      </w:pPr>
    </w:p>
    <w:p w:rsidR="00581CC5" w:rsidRDefault="00581CC5" w:rsidP="007C1AB0">
      <w:pPr>
        <w:pStyle w:val="Header"/>
        <w:tabs>
          <w:tab w:val="clear" w:pos="4320"/>
          <w:tab w:val="clear" w:pos="8640"/>
        </w:tabs>
        <w:jc w:val="both"/>
        <w:rPr>
          <w:rFonts w:ascii="Arial" w:hAnsi="Arial" w:cs="Arial"/>
          <w:szCs w:val="24"/>
          <w:u w:val="single"/>
        </w:rPr>
      </w:pPr>
      <w:r w:rsidRPr="00581CC5">
        <w:rPr>
          <w:rFonts w:ascii="Arial" w:hAnsi="Arial" w:cs="Arial"/>
          <w:szCs w:val="24"/>
          <w:u w:val="single"/>
        </w:rPr>
        <w:t>Legal Review</w:t>
      </w:r>
    </w:p>
    <w:p w:rsidR="00581CC5" w:rsidRPr="00581CC5" w:rsidRDefault="00581CC5" w:rsidP="007C1AB0">
      <w:pPr>
        <w:pStyle w:val="Header"/>
        <w:tabs>
          <w:tab w:val="clear" w:pos="4320"/>
          <w:tab w:val="clear" w:pos="8640"/>
        </w:tabs>
        <w:jc w:val="both"/>
        <w:rPr>
          <w:rFonts w:ascii="Arial" w:hAnsi="Arial" w:cs="Arial"/>
          <w:szCs w:val="24"/>
          <w:u w:val="single"/>
        </w:rPr>
      </w:pPr>
    </w:p>
    <w:p w:rsidR="00B279AF" w:rsidRDefault="007711FF" w:rsidP="007C1AB0">
      <w:pPr>
        <w:pStyle w:val="Header"/>
        <w:tabs>
          <w:tab w:val="clear" w:pos="4320"/>
          <w:tab w:val="clear" w:pos="8640"/>
        </w:tabs>
        <w:jc w:val="both"/>
        <w:rPr>
          <w:rFonts w:ascii="Arial" w:hAnsi="Arial" w:cs="Arial"/>
          <w:szCs w:val="24"/>
        </w:rPr>
      </w:pPr>
      <w:r w:rsidRPr="007711FF">
        <w:rPr>
          <w:rFonts w:ascii="Arial" w:hAnsi="Arial" w:cs="Arial"/>
          <w:szCs w:val="24"/>
        </w:rPr>
        <w:t xml:space="preserve">Legal counsel reviewed the agreements and identified a number of provisions that are inconsistent with county code or that have been left without necessary dates of deliverables filled in.  Legal counsel recommended that these issues should be corrected and clarified. </w:t>
      </w:r>
      <w:r w:rsidR="003309D3">
        <w:rPr>
          <w:rFonts w:ascii="Arial" w:hAnsi="Arial" w:cs="Arial"/>
          <w:szCs w:val="24"/>
        </w:rPr>
        <w:t xml:space="preserve"> </w:t>
      </w:r>
      <w:r w:rsidRPr="007711FF">
        <w:rPr>
          <w:rFonts w:ascii="Arial" w:hAnsi="Arial" w:cs="Arial"/>
          <w:szCs w:val="24"/>
        </w:rPr>
        <w:t xml:space="preserve">WTD and </w:t>
      </w:r>
      <w:r>
        <w:rPr>
          <w:rFonts w:ascii="Arial" w:hAnsi="Arial" w:cs="Arial"/>
          <w:szCs w:val="24"/>
        </w:rPr>
        <w:t>Ecology</w:t>
      </w:r>
      <w:r w:rsidRPr="007711FF">
        <w:rPr>
          <w:rFonts w:ascii="Arial" w:hAnsi="Arial" w:cs="Arial"/>
          <w:szCs w:val="24"/>
        </w:rPr>
        <w:t xml:space="preserve"> have indicated that although they may consider changes to the contract language for the next fiscal year, in their view it is not possible to revise or complete the form loan agreement as provided by </w:t>
      </w:r>
      <w:r>
        <w:rPr>
          <w:rFonts w:ascii="Arial" w:hAnsi="Arial" w:cs="Arial"/>
          <w:szCs w:val="24"/>
        </w:rPr>
        <w:t xml:space="preserve">Ecology </w:t>
      </w:r>
      <w:r w:rsidRPr="007711FF">
        <w:rPr>
          <w:rFonts w:ascii="Arial" w:hAnsi="Arial" w:cs="Arial"/>
          <w:szCs w:val="24"/>
        </w:rPr>
        <w:t xml:space="preserve">within the short time left before the end of the current state fiscal year. </w:t>
      </w:r>
      <w:r w:rsidR="003309D3">
        <w:rPr>
          <w:rFonts w:ascii="Arial" w:hAnsi="Arial" w:cs="Arial"/>
          <w:szCs w:val="24"/>
        </w:rPr>
        <w:t xml:space="preserve"> </w:t>
      </w:r>
      <w:r w:rsidRPr="007711FF">
        <w:rPr>
          <w:rFonts w:ascii="Arial" w:hAnsi="Arial" w:cs="Arial"/>
          <w:szCs w:val="24"/>
        </w:rPr>
        <w:t xml:space="preserve">WTD and </w:t>
      </w:r>
      <w:r>
        <w:rPr>
          <w:rFonts w:ascii="Arial" w:hAnsi="Arial" w:cs="Arial"/>
          <w:szCs w:val="24"/>
        </w:rPr>
        <w:t>Ecology</w:t>
      </w:r>
      <w:r w:rsidRPr="007711FF">
        <w:rPr>
          <w:rFonts w:ascii="Arial" w:hAnsi="Arial" w:cs="Arial"/>
          <w:szCs w:val="24"/>
        </w:rPr>
        <w:t xml:space="preserve"> staff have stated that they do not view correcting these issues as being necessary for approval of the loan agreements for these two projects</w:t>
      </w:r>
      <w:r w:rsidR="003309D3">
        <w:rPr>
          <w:rFonts w:ascii="Arial" w:hAnsi="Arial" w:cs="Arial"/>
          <w:szCs w:val="24"/>
        </w:rPr>
        <w:t>.</w:t>
      </w:r>
    </w:p>
    <w:p w:rsidR="007711FF" w:rsidRDefault="007711FF" w:rsidP="007C1AB0">
      <w:pPr>
        <w:pStyle w:val="Header"/>
        <w:tabs>
          <w:tab w:val="clear" w:pos="4320"/>
          <w:tab w:val="clear" w:pos="8640"/>
        </w:tabs>
        <w:jc w:val="both"/>
        <w:rPr>
          <w:rFonts w:ascii="Arial" w:hAnsi="Arial" w:cs="Arial"/>
          <w:szCs w:val="24"/>
          <w:u w:val="single"/>
        </w:rPr>
      </w:pPr>
    </w:p>
    <w:p w:rsidR="007C1AB0" w:rsidRPr="008950BD" w:rsidRDefault="007C1AB0" w:rsidP="007C1AB0">
      <w:pPr>
        <w:pStyle w:val="Header"/>
        <w:tabs>
          <w:tab w:val="clear" w:pos="4320"/>
          <w:tab w:val="clear" w:pos="8640"/>
        </w:tabs>
        <w:jc w:val="both"/>
        <w:rPr>
          <w:rFonts w:ascii="Arial" w:hAnsi="Arial" w:cs="Arial"/>
          <w:szCs w:val="24"/>
        </w:rPr>
      </w:pPr>
      <w:r w:rsidRPr="008950BD">
        <w:rPr>
          <w:rFonts w:ascii="Arial" w:hAnsi="Arial" w:cs="Arial"/>
          <w:szCs w:val="24"/>
          <w:u w:val="single"/>
        </w:rPr>
        <w:t>Timing</w:t>
      </w:r>
    </w:p>
    <w:p w:rsidR="007C1AB0" w:rsidRPr="008950BD" w:rsidRDefault="007C1AB0" w:rsidP="007C1AB0">
      <w:pPr>
        <w:pStyle w:val="Header"/>
        <w:tabs>
          <w:tab w:val="clear" w:pos="4320"/>
          <w:tab w:val="clear" w:pos="8640"/>
        </w:tabs>
        <w:jc w:val="both"/>
        <w:rPr>
          <w:rFonts w:ascii="Arial" w:hAnsi="Arial" w:cs="Arial"/>
          <w:szCs w:val="24"/>
        </w:rPr>
      </w:pPr>
    </w:p>
    <w:p w:rsidR="007C1AB0" w:rsidRPr="002C07EA" w:rsidRDefault="007C1AB0" w:rsidP="007C1AB0">
      <w:pPr>
        <w:pStyle w:val="Header"/>
        <w:tabs>
          <w:tab w:val="clear" w:pos="4320"/>
          <w:tab w:val="clear" w:pos="8640"/>
        </w:tabs>
        <w:jc w:val="both"/>
        <w:rPr>
          <w:rFonts w:ascii="Arial" w:hAnsi="Arial" w:cs="Arial"/>
          <w:szCs w:val="24"/>
        </w:rPr>
      </w:pPr>
      <w:r w:rsidRPr="008950BD">
        <w:rPr>
          <w:rFonts w:ascii="Arial" w:hAnsi="Arial" w:cs="Arial"/>
          <w:szCs w:val="24"/>
        </w:rPr>
        <w:t xml:space="preserve">The ordinance needs to be approved and in effect in order for the </w:t>
      </w:r>
      <w:r>
        <w:rPr>
          <w:rFonts w:ascii="Arial" w:hAnsi="Arial" w:cs="Arial"/>
          <w:szCs w:val="24"/>
        </w:rPr>
        <w:t xml:space="preserve">WTD </w:t>
      </w:r>
      <w:r w:rsidR="00F5643E">
        <w:rPr>
          <w:rFonts w:ascii="Arial" w:hAnsi="Arial" w:cs="Arial"/>
          <w:szCs w:val="24"/>
        </w:rPr>
        <w:t>D</w:t>
      </w:r>
      <w:r w:rsidRPr="008950BD">
        <w:rPr>
          <w:rFonts w:ascii="Arial" w:hAnsi="Arial" w:cs="Arial"/>
          <w:szCs w:val="24"/>
        </w:rPr>
        <w:t xml:space="preserve">irector to sign the loan agreements and for the Department of Ecology to release the funds. </w:t>
      </w:r>
      <w:r w:rsidR="00F5643E">
        <w:rPr>
          <w:rFonts w:ascii="Arial" w:hAnsi="Arial" w:cs="Arial"/>
          <w:szCs w:val="24"/>
        </w:rPr>
        <w:t xml:space="preserve"> To secure the loans they reportedly must be signed by June 30, 2016.</w:t>
      </w:r>
    </w:p>
    <w:p w:rsidR="007C1AB0" w:rsidRPr="00AA2AA3" w:rsidRDefault="007C1AB0" w:rsidP="007C1AB0">
      <w:pPr>
        <w:pStyle w:val="Header"/>
        <w:tabs>
          <w:tab w:val="clear" w:pos="4320"/>
          <w:tab w:val="clear" w:pos="8640"/>
        </w:tabs>
        <w:jc w:val="both"/>
        <w:rPr>
          <w:rFonts w:ascii="Arial" w:hAnsi="Arial" w:cs="Arial"/>
          <w:szCs w:val="24"/>
          <w:u w:val="single"/>
        </w:rPr>
      </w:pPr>
    </w:p>
    <w:p w:rsidR="007C1AB0" w:rsidRPr="0030080B" w:rsidRDefault="007C1AB0" w:rsidP="007C1AB0">
      <w:pPr>
        <w:rPr>
          <w:rFonts w:ascii="Arial" w:hAnsi="Arial" w:cs="Arial"/>
          <w:b/>
          <w:szCs w:val="24"/>
          <w:u w:val="single"/>
        </w:rPr>
      </w:pPr>
      <w:r>
        <w:rPr>
          <w:rFonts w:ascii="Arial" w:hAnsi="Arial" w:cs="Arial"/>
          <w:b/>
          <w:szCs w:val="24"/>
          <w:u w:val="single"/>
        </w:rPr>
        <w:t>AMENDMENTS</w:t>
      </w:r>
    </w:p>
    <w:p w:rsidR="007C1AB0" w:rsidRDefault="007C1AB0" w:rsidP="007C1AB0">
      <w:pPr>
        <w:pStyle w:val="Header"/>
        <w:tabs>
          <w:tab w:val="clear" w:pos="4320"/>
          <w:tab w:val="clear" w:pos="8640"/>
        </w:tabs>
        <w:jc w:val="both"/>
        <w:rPr>
          <w:rFonts w:ascii="Arial" w:hAnsi="Arial" w:cs="Arial"/>
          <w:szCs w:val="24"/>
        </w:rPr>
      </w:pPr>
    </w:p>
    <w:p w:rsidR="00F5643E" w:rsidRPr="00195461" w:rsidRDefault="007C1AB0" w:rsidP="00195461">
      <w:pPr>
        <w:pStyle w:val="Header"/>
        <w:tabs>
          <w:tab w:val="clear" w:pos="4320"/>
          <w:tab w:val="clear" w:pos="8640"/>
        </w:tabs>
        <w:jc w:val="both"/>
        <w:rPr>
          <w:rFonts w:ascii="Arial" w:hAnsi="Arial" w:cs="Arial"/>
          <w:szCs w:val="24"/>
        </w:rPr>
      </w:pPr>
      <w:r w:rsidRPr="007717A3">
        <w:rPr>
          <w:rFonts w:ascii="Arial" w:hAnsi="Arial" w:cs="Arial"/>
          <w:szCs w:val="24"/>
        </w:rPr>
        <w:t xml:space="preserve">There is an amendment in the packet. Amendment 1 replaces the placeholder agreement with the actual agreements </w:t>
      </w:r>
      <w:r w:rsidR="00D2120C">
        <w:rPr>
          <w:rFonts w:ascii="Arial" w:hAnsi="Arial" w:cs="Arial"/>
          <w:szCs w:val="24"/>
        </w:rPr>
        <w:t xml:space="preserve">sent </w:t>
      </w:r>
      <w:r w:rsidRPr="007717A3">
        <w:rPr>
          <w:rFonts w:ascii="Arial" w:hAnsi="Arial" w:cs="Arial"/>
          <w:szCs w:val="24"/>
        </w:rPr>
        <w:t>from the Department of Ecology</w:t>
      </w:r>
      <w:r w:rsidR="00D2120C">
        <w:rPr>
          <w:rFonts w:ascii="Arial" w:hAnsi="Arial" w:cs="Arial"/>
          <w:szCs w:val="24"/>
        </w:rPr>
        <w:t xml:space="preserve"> in February</w:t>
      </w:r>
      <w:r w:rsidRPr="007717A3">
        <w:rPr>
          <w:rFonts w:ascii="Arial" w:hAnsi="Arial" w:cs="Arial"/>
          <w:szCs w:val="24"/>
        </w:rPr>
        <w:t>.</w:t>
      </w:r>
    </w:p>
    <w:sectPr w:rsidR="00F5643E" w:rsidRPr="00195461"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54A99"/>
    <w:multiLevelType w:val="singleLevel"/>
    <w:tmpl w:val="3488986C"/>
    <w:lvl w:ilvl="0">
      <w:start w:val="1"/>
      <w:numFmt w:val="decimal"/>
      <w:lvlText w:val="%1."/>
      <w:lvlJc w:val="left"/>
      <w:pPr>
        <w:tabs>
          <w:tab w:val="num" w:pos="720"/>
        </w:tabs>
        <w:ind w:left="720" w:hanging="360"/>
      </w:pPr>
      <w:rPr>
        <w:rFonts w:hint="default"/>
        <w:b w:val="0"/>
      </w:r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530D83"/>
    <w:multiLevelType w:val="hybridMultilevel"/>
    <w:tmpl w:val="3E4C6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56F7D"/>
    <w:multiLevelType w:val="hybridMultilevel"/>
    <w:tmpl w:val="A62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3"/>
  </w:num>
  <w:num w:numId="4">
    <w:abstractNumId w:val="43"/>
  </w:num>
  <w:num w:numId="5">
    <w:abstractNumId w:val="40"/>
  </w:num>
  <w:num w:numId="6">
    <w:abstractNumId w:val="14"/>
  </w:num>
  <w:num w:numId="7">
    <w:abstractNumId w:val="41"/>
  </w:num>
  <w:num w:numId="8">
    <w:abstractNumId w:val="16"/>
  </w:num>
  <w:num w:numId="9">
    <w:abstractNumId w:val="3"/>
  </w:num>
  <w:num w:numId="10">
    <w:abstractNumId w:val="42"/>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4"/>
  </w:num>
  <w:num w:numId="18">
    <w:abstractNumId w:val="23"/>
  </w:num>
  <w:num w:numId="19">
    <w:abstractNumId w:val="30"/>
  </w:num>
  <w:num w:numId="20">
    <w:abstractNumId w:val="25"/>
  </w:num>
  <w:num w:numId="21">
    <w:abstractNumId w:val="9"/>
  </w:num>
  <w:num w:numId="22">
    <w:abstractNumId w:val="10"/>
  </w:num>
  <w:num w:numId="23">
    <w:abstractNumId w:val="0"/>
  </w:num>
  <w:num w:numId="24">
    <w:abstractNumId w:val="6"/>
  </w:num>
  <w:num w:numId="25">
    <w:abstractNumId w:val="4"/>
  </w:num>
  <w:num w:numId="26">
    <w:abstractNumId w:val="5"/>
  </w:num>
  <w:num w:numId="27">
    <w:abstractNumId w:val="21"/>
  </w:num>
  <w:num w:numId="28">
    <w:abstractNumId w:val="11"/>
  </w:num>
  <w:num w:numId="29">
    <w:abstractNumId w:val="27"/>
  </w:num>
  <w:num w:numId="30">
    <w:abstractNumId w:val="1"/>
  </w:num>
  <w:num w:numId="31">
    <w:abstractNumId w:val="32"/>
  </w:num>
  <w:num w:numId="32">
    <w:abstractNumId w:val="35"/>
  </w:num>
  <w:num w:numId="33">
    <w:abstractNumId w:val="15"/>
  </w:num>
  <w:num w:numId="34">
    <w:abstractNumId w:val="12"/>
  </w:num>
  <w:num w:numId="35">
    <w:abstractNumId w:val="8"/>
  </w:num>
  <w:num w:numId="36">
    <w:abstractNumId w:val="26"/>
  </w:num>
  <w:num w:numId="37">
    <w:abstractNumId w:val="36"/>
  </w:num>
  <w:num w:numId="38">
    <w:abstractNumId w:val="20"/>
  </w:num>
  <w:num w:numId="39">
    <w:abstractNumId w:val="31"/>
  </w:num>
  <w:num w:numId="40">
    <w:abstractNumId w:val="28"/>
  </w:num>
  <w:num w:numId="41">
    <w:abstractNumId w:val="38"/>
  </w:num>
  <w:num w:numId="42">
    <w:abstractNumId w:val="7"/>
  </w:num>
  <w:num w:numId="43">
    <w:abstractNumId w:val="33"/>
  </w:num>
  <w:num w:numId="44">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4A88"/>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39B3"/>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6AD"/>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624"/>
    <w:rsid w:val="00140D86"/>
    <w:rsid w:val="001410E1"/>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461"/>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2E46"/>
    <w:rsid w:val="002D6D64"/>
    <w:rsid w:val="002E0EBA"/>
    <w:rsid w:val="002E4150"/>
    <w:rsid w:val="002E6164"/>
    <w:rsid w:val="002E61CB"/>
    <w:rsid w:val="002E6554"/>
    <w:rsid w:val="002E6838"/>
    <w:rsid w:val="002E71BD"/>
    <w:rsid w:val="002F3DFD"/>
    <w:rsid w:val="002F6129"/>
    <w:rsid w:val="003002EE"/>
    <w:rsid w:val="00301EF5"/>
    <w:rsid w:val="00302F3E"/>
    <w:rsid w:val="0030339B"/>
    <w:rsid w:val="00303D74"/>
    <w:rsid w:val="0030553B"/>
    <w:rsid w:val="00306680"/>
    <w:rsid w:val="00307D40"/>
    <w:rsid w:val="003110A1"/>
    <w:rsid w:val="00311CD5"/>
    <w:rsid w:val="003149CE"/>
    <w:rsid w:val="00315001"/>
    <w:rsid w:val="0031514F"/>
    <w:rsid w:val="0031593D"/>
    <w:rsid w:val="00321185"/>
    <w:rsid w:val="00321882"/>
    <w:rsid w:val="003218B9"/>
    <w:rsid w:val="00321CDB"/>
    <w:rsid w:val="00322AA8"/>
    <w:rsid w:val="003260D6"/>
    <w:rsid w:val="00327189"/>
    <w:rsid w:val="0032788E"/>
    <w:rsid w:val="00330976"/>
    <w:rsid w:val="003309D3"/>
    <w:rsid w:val="00330AEE"/>
    <w:rsid w:val="00332D92"/>
    <w:rsid w:val="00336FF7"/>
    <w:rsid w:val="003377D3"/>
    <w:rsid w:val="003406EB"/>
    <w:rsid w:val="0034168A"/>
    <w:rsid w:val="003416A6"/>
    <w:rsid w:val="00342043"/>
    <w:rsid w:val="0034294F"/>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6C65"/>
    <w:rsid w:val="00527709"/>
    <w:rsid w:val="0053306D"/>
    <w:rsid w:val="00537A1F"/>
    <w:rsid w:val="00537B98"/>
    <w:rsid w:val="00541E71"/>
    <w:rsid w:val="00543C5E"/>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1CC5"/>
    <w:rsid w:val="0058291D"/>
    <w:rsid w:val="00583A0C"/>
    <w:rsid w:val="005878CE"/>
    <w:rsid w:val="00590A54"/>
    <w:rsid w:val="00590C7D"/>
    <w:rsid w:val="00592A33"/>
    <w:rsid w:val="00596ACA"/>
    <w:rsid w:val="005A130F"/>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4B5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4AD"/>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779DB"/>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1FF"/>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1AB0"/>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3FD0"/>
    <w:rsid w:val="0081445B"/>
    <w:rsid w:val="00816B49"/>
    <w:rsid w:val="00820136"/>
    <w:rsid w:val="008203C8"/>
    <w:rsid w:val="008212BA"/>
    <w:rsid w:val="00821B8A"/>
    <w:rsid w:val="0082285D"/>
    <w:rsid w:val="00822B84"/>
    <w:rsid w:val="0082371B"/>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DD"/>
    <w:rsid w:val="00855067"/>
    <w:rsid w:val="00855EED"/>
    <w:rsid w:val="00860271"/>
    <w:rsid w:val="00860BA7"/>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8AE"/>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40C7"/>
    <w:rsid w:val="009F5577"/>
    <w:rsid w:val="00A02216"/>
    <w:rsid w:val="00A0380E"/>
    <w:rsid w:val="00A06458"/>
    <w:rsid w:val="00A06776"/>
    <w:rsid w:val="00A07959"/>
    <w:rsid w:val="00A10E7F"/>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073"/>
    <w:rsid w:val="00A55AAD"/>
    <w:rsid w:val="00A567DC"/>
    <w:rsid w:val="00A57E80"/>
    <w:rsid w:val="00A602E9"/>
    <w:rsid w:val="00A623C2"/>
    <w:rsid w:val="00A62920"/>
    <w:rsid w:val="00A6349A"/>
    <w:rsid w:val="00A64D19"/>
    <w:rsid w:val="00A65E2B"/>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279AF"/>
    <w:rsid w:val="00B3250E"/>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274"/>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20C"/>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2B7"/>
    <w:rsid w:val="00D72AE4"/>
    <w:rsid w:val="00D742A4"/>
    <w:rsid w:val="00D744E8"/>
    <w:rsid w:val="00D75405"/>
    <w:rsid w:val="00D7579C"/>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056"/>
    <w:rsid w:val="00DD3BC4"/>
    <w:rsid w:val="00DE02BE"/>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040B"/>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12A5"/>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60E7"/>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4718"/>
    <w:rsid w:val="00F3709D"/>
    <w:rsid w:val="00F3763B"/>
    <w:rsid w:val="00F420E4"/>
    <w:rsid w:val="00F44ED5"/>
    <w:rsid w:val="00F45EB3"/>
    <w:rsid w:val="00F466F4"/>
    <w:rsid w:val="00F50181"/>
    <w:rsid w:val="00F51C8A"/>
    <w:rsid w:val="00F53584"/>
    <w:rsid w:val="00F540CB"/>
    <w:rsid w:val="00F54215"/>
    <w:rsid w:val="00F54770"/>
    <w:rsid w:val="00F55BD7"/>
    <w:rsid w:val="00F5643E"/>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Courier10">
    <w:name w:val="Courier 10"/>
    <w:basedOn w:val="Normal"/>
    <w:rsid w:val="007C1AB0"/>
    <w:rPr>
      <w:rFonts w:ascii="Courier New" w:hAnsi="Courier New"/>
    </w:rPr>
  </w:style>
  <w:style w:type="paragraph" w:customStyle="1" w:styleId="Flush1CS1">
    <w:name w:val="Flush 1 &lt;CS 1&gt;"/>
    <w:basedOn w:val="Normal"/>
    <w:rsid w:val="007C1AB0"/>
  </w:style>
  <w:style w:type="character" w:customStyle="1" w:styleId="HeaderChar">
    <w:name w:val="Header Char"/>
    <w:link w:val="Header"/>
    <w:rsid w:val="007C1A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63861552">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B8FF-547D-45DC-850C-59ABD6EA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1390</Words>
  <Characters>8039</Characters>
  <Application>Microsoft Office Word</Application>
  <DocSecurity>0</DocSecurity>
  <Lines>251</Lines>
  <Paragraphs>117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6</cp:revision>
  <cp:lastPrinted>2015-03-13T15:09:00Z</cp:lastPrinted>
  <dcterms:created xsi:type="dcterms:W3CDTF">2016-05-11T21:37:00Z</dcterms:created>
  <dcterms:modified xsi:type="dcterms:W3CDTF">2016-05-11T22:13:00Z</dcterms:modified>
</cp:coreProperties>
</file>