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2F2B81"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2B30DC" w:rsidP="00074A56">
            <w:pPr>
              <w:spacing w:before="40" w:after="40"/>
              <w:rPr>
                <w:rFonts w:ascii="Arial" w:hAnsi="Arial" w:cs="Arial"/>
              </w:rPr>
            </w:pPr>
            <w:r>
              <w:rPr>
                <w:rFonts w:ascii="Arial" w:hAnsi="Arial" w:cs="Arial"/>
              </w:rPr>
              <w:t>23</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567DD1" w:rsidP="00074A56">
            <w:pPr>
              <w:spacing w:before="40" w:after="40"/>
              <w:rPr>
                <w:rFonts w:ascii="Arial" w:hAnsi="Arial" w:cs="Arial"/>
              </w:rPr>
            </w:pPr>
            <w:r>
              <w:rPr>
                <w:rFonts w:ascii="Arial" w:hAnsi="Arial" w:cs="Arial"/>
              </w:rPr>
              <w:t>Erin Auzins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F62030" w:rsidP="00074A56">
            <w:pPr>
              <w:spacing w:before="40" w:after="40"/>
              <w:rPr>
                <w:rFonts w:ascii="Arial" w:hAnsi="Arial" w:cs="Arial"/>
              </w:rPr>
            </w:pPr>
            <w:r>
              <w:rPr>
                <w:rFonts w:ascii="Arial" w:hAnsi="Arial" w:cs="Arial"/>
              </w:rPr>
              <w:t>2</w:t>
            </w:r>
            <w:r w:rsidR="00567DD1">
              <w:rPr>
                <w:rFonts w:ascii="Arial" w:hAnsi="Arial" w:cs="Arial"/>
              </w:rPr>
              <w:t>015-0435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567DD1" w:rsidP="00074A56">
            <w:pPr>
              <w:spacing w:before="40" w:after="40"/>
              <w:rPr>
                <w:rFonts w:ascii="Arial" w:hAnsi="Arial" w:cs="Arial"/>
              </w:rPr>
            </w:pPr>
            <w:r>
              <w:rPr>
                <w:rFonts w:ascii="Arial" w:hAnsi="Arial" w:cs="Arial"/>
              </w:rPr>
              <w:t>January 19, 2016</w:t>
            </w:r>
          </w:p>
        </w:tc>
      </w:tr>
    </w:tbl>
    <w:p w:rsidR="00C37A37" w:rsidRPr="009864F8" w:rsidRDefault="00C37A37" w:rsidP="00C37A37">
      <w:pPr>
        <w:rPr>
          <w:rFonts w:ascii="Arial" w:hAnsi="Arial" w:cs="Arial"/>
          <w:b/>
          <w:smallCaps/>
          <w:szCs w:val="24"/>
          <w:u w:val="single"/>
        </w:rPr>
      </w:pPr>
    </w:p>
    <w:p w:rsidR="007419F9" w:rsidRDefault="007419F9" w:rsidP="007419F9">
      <w:pPr>
        <w:rPr>
          <w:rFonts w:ascii="Arial" w:hAnsi="Arial" w:cs="Arial"/>
          <w:b/>
          <w:smallCaps/>
          <w:szCs w:val="24"/>
          <w:u w:val="single"/>
        </w:rPr>
      </w:pPr>
      <w:r>
        <w:rPr>
          <w:rFonts w:ascii="Arial" w:hAnsi="Arial" w:cs="Arial"/>
          <w:b/>
          <w:smallCaps/>
          <w:szCs w:val="24"/>
          <w:u w:val="single"/>
        </w:rPr>
        <w:t>COMMITTEE ACTION</w:t>
      </w:r>
    </w:p>
    <w:p w:rsidR="007419F9" w:rsidRDefault="007419F9" w:rsidP="007419F9">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7419F9" w:rsidTr="00EC67B2">
        <w:tc>
          <w:tcPr>
            <w:tcW w:w="9535" w:type="dxa"/>
          </w:tcPr>
          <w:p w:rsidR="007419F9" w:rsidRDefault="007419F9" w:rsidP="00EC67B2">
            <w:pPr>
              <w:jc w:val="both"/>
              <w:rPr>
                <w:rFonts w:ascii="Arial" w:hAnsi="Arial" w:cs="Arial"/>
                <w:b/>
                <w:i/>
              </w:rPr>
            </w:pPr>
          </w:p>
          <w:p w:rsidR="007419F9" w:rsidRDefault="007419F9" w:rsidP="00EC67B2">
            <w:pPr>
              <w:jc w:val="both"/>
              <w:rPr>
                <w:rFonts w:ascii="Arial" w:hAnsi="Arial" w:cs="Arial"/>
                <w:b/>
                <w:i/>
              </w:rPr>
            </w:pPr>
            <w:r>
              <w:rPr>
                <w:rFonts w:ascii="Arial" w:hAnsi="Arial" w:cs="Arial"/>
                <w:b/>
                <w:i/>
              </w:rPr>
              <w:t xml:space="preserve">Proposed Substitute Ordinance 2015-0435.2, which would adopt </w:t>
            </w:r>
            <w:r w:rsidR="005E3AEB">
              <w:rPr>
                <w:rFonts w:ascii="Arial" w:hAnsi="Arial" w:cs="Arial"/>
                <w:b/>
                <w:i/>
              </w:rPr>
              <w:t>changes to membership of the Vashon-Maury Island Groundwater Protection Committee</w:t>
            </w:r>
            <w:r>
              <w:rPr>
                <w:rFonts w:ascii="Arial" w:hAnsi="Arial" w:cs="Arial"/>
                <w:b/>
                <w:i/>
              </w:rPr>
              <w:t>,</w:t>
            </w:r>
            <w:r w:rsidRPr="00921498">
              <w:rPr>
                <w:rFonts w:ascii="Arial" w:hAnsi="Arial" w:cs="Arial"/>
                <w:b/>
                <w:i/>
              </w:rPr>
              <w:t xml:space="preserve"> </w:t>
            </w:r>
            <w:r w:rsidRPr="004B6935">
              <w:rPr>
                <w:rFonts w:ascii="Arial" w:hAnsi="Arial" w:cs="Arial"/>
                <w:b/>
                <w:i/>
              </w:rPr>
              <w:t xml:space="preserve">passed out of committee on </w:t>
            </w:r>
            <w:r w:rsidR="005E3AEB">
              <w:rPr>
                <w:rFonts w:ascii="Arial" w:hAnsi="Arial" w:cs="Arial"/>
                <w:b/>
                <w:i/>
              </w:rPr>
              <w:t>January 19, 2016</w:t>
            </w:r>
            <w:r>
              <w:rPr>
                <w:rFonts w:ascii="Arial" w:hAnsi="Arial" w:cs="Arial"/>
                <w:b/>
                <w:i/>
              </w:rPr>
              <w:t>,</w:t>
            </w:r>
            <w:r w:rsidRPr="004B6935">
              <w:rPr>
                <w:rFonts w:ascii="Arial" w:hAnsi="Arial" w:cs="Arial"/>
                <w:b/>
                <w:i/>
              </w:rPr>
              <w:t xml:space="preserve"> with a “Do Pass” recommendation. The </w:t>
            </w:r>
            <w:r>
              <w:rPr>
                <w:rFonts w:ascii="Arial" w:hAnsi="Arial" w:cs="Arial"/>
                <w:b/>
                <w:i/>
              </w:rPr>
              <w:t xml:space="preserve">ordinance was amended in committee </w:t>
            </w:r>
            <w:r w:rsidR="005E3AEB">
              <w:rPr>
                <w:rFonts w:ascii="Arial" w:hAnsi="Arial" w:cs="Arial"/>
                <w:b/>
                <w:i/>
              </w:rPr>
              <w:t>to use</w:t>
            </w:r>
            <w:r w:rsidR="005E3AEB" w:rsidRPr="005E3AEB">
              <w:rPr>
                <w:rFonts w:ascii="Arial" w:hAnsi="Arial" w:cs="Arial"/>
                <w:b/>
                <w:i/>
              </w:rPr>
              <w:t xml:space="preserve"> the language </w:t>
            </w:r>
            <w:r w:rsidR="005E3AEB">
              <w:rPr>
                <w:rFonts w:ascii="Arial" w:hAnsi="Arial" w:cs="Arial"/>
                <w:b/>
                <w:i/>
              </w:rPr>
              <w:t>adopted by</w:t>
            </w:r>
            <w:r w:rsidR="005E3AEB" w:rsidRPr="005E3AEB">
              <w:rPr>
                <w:rFonts w:ascii="Arial" w:hAnsi="Arial" w:cs="Arial"/>
                <w:b/>
                <w:i/>
              </w:rPr>
              <w:t xml:space="preserve"> the current version of the King County Code</w:t>
            </w:r>
            <w:r w:rsidR="005E3AEB">
              <w:rPr>
                <w:rFonts w:ascii="Arial" w:hAnsi="Arial" w:cs="Arial"/>
                <w:b/>
                <w:i/>
              </w:rPr>
              <w:t>.</w:t>
            </w:r>
          </w:p>
          <w:p w:rsidR="007419F9" w:rsidRPr="00A11E83" w:rsidRDefault="007419F9" w:rsidP="00EC67B2">
            <w:pPr>
              <w:jc w:val="both"/>
              <w:rPr>
                <w:rFonts w:ascii="Arial" w:hAnsi="Arial" w:cs="Arial"/>
                <w:b/>
                <w:i/>
              </w:rPr>
            </w:pPr>
          </w:p>
        </w:tc>
      </w:tr>
    </w:tbl>
    <w:p w:rsidR="007419F9" w:rsidRDefault="007419F9" w:rsidP="007419F9">
      <w:pPr>
        <w:jc w:val="both"/>
        <w:rPr>
          <w:rFonts w:ascii="Arial" w:hAnsi="Arial" w:cs="Arial"/>
          <w:b/>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567DD1" w:rsidP="005B478C">
      <w:pPr>
        <w:jc w:val="both"/>
        <w:rPr>
          <w:rFonts w:ascii="Arial" w:hAnsi="Arial" w:cs="Arial"/>
          <w:b/>
          <w:u w:val="single"/>
        </w:rPr>
      </w:pPr>
      <w:r>
        <w:rPr>
          <w:rFonts w:ascii="Arial" w:hAnsi="Arial" w:cs="Arial"/>
        </w:rPr>
        <w:t>Proposed Ordinance 2015-0435 would modify the makeup of the Vashon-Maury Island Groundwater Protection Committee.</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946942" w:rsidRDefault="00134C11" w:rsidP="005B478C">
      <w:pPr>
        <w:jc w:val="both"/>
        <w:rPr>
          <w:rFonts w:ascii="Arial" w:hAnsi="Arial" w:cs="Arial"/>
        </w:rPr>
      </w:pPr>
      <w:r>
        <w:rPr>
          <w:rFonts w:ascii="Arial" w:hAnsi="Arial" w:cs="Arial"/>
        </w:rPr>
        <w:t>The Vashon-Maury Island Groundwater Protection Committee has updated their membership requirements, and this ordinance would adopt these changes.  The changes would add positions for one additional resident of Vashon-Maury Islands a</w:t>
      </w:r>
      <w:r w:rsidR="001104AD">
        <w:rPr>
          <w:rFonts w:ascii="Arial" w:hAnsi="Arial" w:cs="Arial"/>
        </w:rPr>
        <w:t>n</w:t>
      </w:r>
      <w:r>
        <w:rPr>
          <w:rFonts w:ascii="Arial" w:hAnsi="Arial" w:cs="Arial"/>
        </w:rPr>
        <w:t>d one livestock owner.  Positions for water/sewer utilities (one of two), and for the chamber of commerce would be removed from the committee.  A technical amendment is proposed to use the current version of the King County code for language proposed to be deleted.</w:t>
      </w:r>
    </w:p>
    <w:p w:rsidR="00074A56" w:rsidRPr="00C75025" w:rsidRDefault="00074A56" w:rsidP="005B478C">
      <w:pPr>
        <w:jc w:val="both"/>
        <w:rPr>
          <w:rFonts w:ascii="Arial" w:hAnsi="Arial" w:cs="Arial"/>
          <w:b/>
          <w:u w:val="single"/>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082009" w:rsidRDefault="00125795" w:rsidP="005B478C">
      <w:pPr>
        <w:jc w:val="both"/>
        <w:rPr>
          <w:rFonts w:ascii="Arial" w:hAnsi="Arial" w:cs="Arial"/>
        </w:rPr>
      </w:pPr>
      <w:r>
        <w:rPr>
          <w:rFonts w:ascii="Arial" w:hAnsi="Arial" w:cs="Arial"/>
        </w:rPr>
        <w:t>The Vashon-Maury Island Groundwater Protection Committee was created in 2001</w:t>
      </w:r>
      <w:r>
        <w:rPr>
          <w:rStyle w:val="FootnoteReference"/>
          <w:rFonts w:ascii="Arial" w:hAnsi="Arial" w:cs="Arial"/>
        </w:rPr>
        <w:footnoteReference w:id="1"/>
      </w:r>
      <w:r>
        <w:rPr>
          <w:rFonts w:ascii="Arial" w:hAnsi="Arial" w:cs="Arial"/>
        </w:rPr>
        <w:t xml:space="preserve">, as part of the </w:t>
      </w:r>
      <w:r w:rsidR="00C14688">
        <w:rPr>
          <w:rFonts w:ascii="Arial" w:hAnsi="Arial" w:cs="Arial"/>
        </w:rPr>
        <w:t xml:space="preserve">adoption of the </w:t>
      </w:r>
      <w:r>
        <w:rPr>
          <w:rFonts w:ascii="Arial" w:hAnsi="Arial" w:cs="Arial"/>
        </w:rPr>
        <w:t xml:space="preserve">King County groundwater protection program. The committee </w:t>
      </w:r>
      <w:r w:rsidR="00C14688">
        <w:rPr>
          <w:rFonts w:ascii="Arial" w:hAnsi="Arial" w:cs="Arial"/>
        </w:rPr>
        <w:t>advises and provides input to the Department of Natural Resources (DNRP) on the County's groundwater protection program and work plans, on implementation of the groundwater management plan for the Vashon-Maury Island area</w:t>
      </w:r>
      <w:r w:rsidR="00C14688">
        <w:rPr>
          <w:rStyle w:val="FootnoteReference"/>
          <w:rFonts w:ascii="Arial" w:hAnsi="Arial" w:cs="Arial"/>
        </w:rPr>
        <w:footnoteReference w:id="2"/>
      </w:r>
      <w:r w:rsidR="00C14688">
        <w:rPr>
          <w:rFonts w:ascii="Arial" w:hAnsi="Arial" w:cs="Arial"/>
        </w:rPr>
        <w:t xml:space="preserve">. </w:t>
      </w:r>
    </w:p>
    <w:p w:rsidR="00C14688" w:rsidRDefault="00C14688" w:rsidP="005B478C">
      <w:pPr>
        <w:jc w:val="both"/>
        <w:rPr>
          <w:rFonts w:ascii="Arial" w:hAnsi="Arial" w:cs="Arial"/>
        </w:rPr>
      </w:pPr>
    </w:p>
    <w:p w:rsidR="00C14688" w:rsidRDefault="00C14688" w:rsidP="005B478C">
      <w:pPr>
        <w:jc w:val="both"/>
        <w:rPr>
          <w:rFonts w:ascii="Arial" w:hAnsi="Arial" w:cs="Arial"/>
        </w:rPr>
      </w:pPr>
      <w:r>
        <w:rPr>
          <w:rFonts w:ascii="Arial" w:hAnsi="Arial" w:cs="Arial"/>
        </w:rPr>
        <w:lastRenderedPageBreak/>
        <w:t>The Committee was originally created for a four year term, which has been extended three times</w:t>
      </w:r>
      <w:r>
        <w:rPr>
          <w:rStyle w:val="FootnoteReference"/>
          <w:rFonts w:ascii="Arial" w:hAnsi="Arial" w:cs="Arial"/>
        </w:rPr>
        <w:footnoteReference w:id="3"/>
      </w:r>
      <w:r>
        <w:rPr>
          <w:rFonts w:ascii="Arial" w:hAnsi="Arial" w:cs="Arial"/>
        </w:rPr>
        <w:t>. The Committee is currently set to expire in 2017.</w:t>
      </w:r>
    </w:p>
    <w:p w:rsidR="00575B03" w:rsidRDefault="00575B03" w:rsidP="005B478C">
      <w:pPr>
        <w:jc w:val="both"/>
        <w:rPr>
          <w:rFonts w:ascii="Arial" w:hAnsi="Arial" w:cs="Arial"/>
        </w:rPr>
      </w:pPr>
    </w:p>
    <w:p w:rsidR="00264BE1" w:rsidRDefault="00264BE1" w:rsidP="005E3AEB">
      <w:pPr>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C14688" w:rsidRPr="00A06033" w:rsidRDefault="00C14688" w:rsidP="005B478C">
      <w:pPr>
        <w:jc w:val="both"/>
        <w:rPr>
          <w:rFonts w:ascii="Arial" w:hAnsi="Arial" w:cs="Arial"/>
        </w:rPr>
      </w:pPr>
      <w:r w:rsidRPr="00A06033">
        <w:rPr>
          <w:rFonts w:ascii="Arial" w:hAnsi="Arial" w:cs="Arial"/>
        </w:rPr>
        <w:t>Proposed Ordinance 2015-0435 would modify the membership of this committee as follows:</w:t>
      </w:r>
    </w:p>
    <w:p w:rsidR="00C14688" w:rsidRDefault="00C14688" w:rsidP="005B478C">
      <w:pPr>
        <w:jc w:val="both"/>
        <w:rPr>
          <w:rFonts w:ascii="Arial" w:hAnsi="Arial" w:cs="Arial"/>
          <w:highlight w:val="yellow"/>
        </w:rPr>
      </w:pPr>
    </w:p>
    <w:tbl>
      <w:tblPr>
        <w:tblStyle w:val="TableGrid"/>
        <w:tblW w:w="0" w:type="auto"/>
        <w:tblLook w:val="04A0" w:firstRow="1" w:lastRow="0" w:firstColumn="1" w:lastColumn="0" w:noHBand="0" w:noVBand="1"/>
      </w:tblPr>
      <w:tblGrid>
        <w:gridCol w:w="4788"/>
        <w:gridCol w:w="4788"/>
      </w:tblGrid>
      <w:tr w:rsidR="00C14688" w:rsidRPr="00C14688" w:rsidTr="00C14688">
        <w:tc>
          <w:tcPr>
            <w:tcW w:w="4788" w:type="dxa"/>
            <w:shd w:val="clear" w:color="auto" w:fill="000000" w:themeFill="text1"/>
          </w:tcPr>
          <w:p w:rsidR="00C14688" w:rsidRPr="00C14688" w:rsidRDefault="00C14688" w:rsidP="00C14688">
            <w:pPr>
              <w:jc w:val="center"/>
              <w:rPr>
                <w:rFonts w:ascii="Arial" w:hAnsi="Arial" w:cs="Arial"/>
                <w:b/>
                <w:color w:val="FFFFFF" w:themeColor="background1"/>
              </w:rPr>
            </w:pPr>
            <w:r w:rsidRPr="00C14688">
              <w:rPr>
                <w:rFonts w:ascii="Arial" w:hAnsi="Arial" w:cs="Arial"/>
                <w:b/>
                <w:color w:val="FFFFFF" w:themeColor="background1"/>
              </w:rPr>
              <w:t>Current</w:t>
            </w:r>
          </w:p>
        </w:tc>
        <w:tc>
          <w:tcPr>
            <w:tcW w:w="4788" w:type="dxa"/>
            <w:shd w:val="clear" w:color="auto" w:fill="000000" w:themeFill="text1"/>
          </w:tcPr>
          <w:p w:rsidR="00C14688" w:rsidRPr="00C14688" w:rsidRDefault="00C14688" w:rsidP="00C14688">
            <w:pPr>
              <w:jc w:val="center"/>
              <w:rPr>
                <w:rFonts w:ascii="Arial" w:hAnsi="Arial" w:cs="Arial"/>
                <w:b/>
                <w:color w:val="FFFFFF" w:themeColor="background1"/>
              </w:rPr>
            </w:pPr>
            <w:r w:rsidRPr="00C14688">
              <w:rPr>
                <w:rFonts w:ascii="Arial" w:hAnsi="Arial" w:cs="Arial"/>
                <w:b/>
                <w:color w:val="FFFFFF" w:themeColor="background1"/>
              </w:rPr>
              <w:t>PO 2015-0435</w:t>
            </w:r>
          </w:p>
        </w:tc>
      </w:tr>
      <w:tr w:rsidR="00C14688" w:rsidRPr="00C14688" w:rsidTr="00C14688">
        <w:tc>
          <w:tcPr>
            <w:tcW w:w="4788" w:type="dxa"/>
          </w:tcPr>
          <w:p w:rsidR="00C14688" w:rsidRDefault="00C14688" w:rsidP="00C14688">
            <w:pPr>
              <w:jc w:val="both"/>
              <w:rPr>
                <w:rFonts w:ascii="Arial" w:hAnsi="Arial" w:cs="Arial"/>
              </w:rPr>
            </w:pPr>
            <w:r>
              <w:rPr>
                <w:rFonts w:ascii="Arial" w:hAnsi="Arial" w:cs="Arial"/>
              </w:rPr>
              <w:t>1 – water purveyor</w:t>
            </w:r>
          </w:p>
        </w:tc>
        <w:tc>
          <w:tcPr>
            <w:tcW w:w="4788" w:type="dxa"/>
          </w:tcPr>
          <w:p w:rsidR="00C14688" w:rsidRPr="00C14688" w:rsidRDefault="00FF3974" w:rsidP="005B478C">
            <w:pPr>
              <w:jc w:val="both"/>
              <w:rPr>
                <w:rFonts w:ascii="Arial" w:hAnsi="Arial" w:cs="Arial"/>
              </w:rPr>
            </w:pPr>
            <w:r>
              <w:rPr>
                <w:rFonts w:ascii="Arial" w:hAnsi="Arial" w:cs="Arial"/>
              </w:rPr>
              <w:t>1 – water purveyor</w:t>
            </w:r>
          </w:p>
        </w:tc>
      </w:tr>
      <w:tr w:rsidR="00C14688" w:rsidRPr="00C14688" w:rsidTr="00C14688">
        <w:tc>
          <w:tcPr>
            <w:tcW w:w="4788" w:type="dxa"/>
          </w:tcPr>
          <w:p w:rsidR="00C14688" w:rsidRDefault="00C14688" w:rsidP="00C14688">
            <w:pPr>
              <w:jc w:val="both"/>
              <w:rPr>
                <w:rFonts w:ascii="Arial" w:hAnsi="Arial" w:cs="Arial"/>
              </w:rPr>
            </w:pPr>
            <w:r>
              <w:rPr>
                <w:rFonts w:ascii="Arial" w:hAnsi="Arial" w:cs="Arial"/>
              </w:rPr>
              <w:t>2 – water/sewer utilities</w:t>
            </w:r>
          </w:p>
        </w:tc>
        <w:tc>
          <w:tcPr>
            <w:tcW w:w="4788" w:type="dxa"/>
          </w:tcPr>
          <w:p w:rsidR="00C14688" w:rsidRPr="00C14688" w:rsidRDefault="00FF3974" w:rsidP="00FF3974">
            <w:pPr>
              <w:jc w:val="both"/>
              <w:rPr>
                <w:rFonts w:ascii="Arial" w:hAnsi="Arial" w:cs="Arial"/>
              </w:rPr>
            </w:pPr>
            <w:r>
              <w:rPr>
                <w:rFonts w:ascii="Arial" w:hAnsi="Arial" w:cs="Arial"/>
              </w:rPr>
              <w:t>1 – water supply/wastewater management</w:t>
            </w:r>
          </w:p>
        </w:tc>
      </w:tr>
      <w:tr w:rsidR="00C14688" w:rsidRPr="00C14688" w:rsidTr="00C14688">
        <w:tc>
          <w:tcPr>
            <w:tcW w:w="4788" w:type="dxa"/>
          </w:tcPr>
          <w:p w:rsidR="00C14688" w:rsidRDefault="00C14688" w:rsidP="00C14688">
            <w:pPr>
              <w:jc w:val="both"/>
              <w:rPr>
                <w:rFonts w:ascii="Arial" w:hAnsi="Arial" w:cs="Arial"/>
              </w:rPr>
            </w:pPr>
            <w:r>
              <w:rPr>
                <w:rFonts w:ascii="Arial" w:hAnsi="Arial" w:cs="Arial"/>
              </w:rPr>
              <w:t>1 – residential well user</w:t>
            </w:r>
          </w:p>
        </w:tc>
        <w:tc>
          <w:tcPr>
            <w:tcW w:w="4788" w:type="dxa"/>
          </w:tcPr>
          <w:p w:rsidR="00C14688" w:rsidRPr="00C14688" w:rsidRDefault="00FF3974" w:rsidP="005B478C">
            <w:pPr>
              <w:jc w:val="both"/>
              <w:rPr>
                <w:rFonts w:ascii="Arial" w:hAnsi="Arial" w:cs="Arial"/>
              </w:rPr>
            </w:pPr>
            <w:r>
              <w:rPr>
                <w:rFonts w:ascii="Arial" w:hAnsi="Arial" w:cs="Arial"/>
              </w:rPr>
              <w:t>1 – residential exempt well owner</w:t>
            </w:r>
          </w:p>
        </w:tc>
      </w:tr>
      <w:tr w:rsidR="00C14688" w:rsidRPr="00C14688" w:rsidTr="00C14688">
        <w:tc>
          <w:tcPr>
            <w:tcW w:w="4788" w:type="dxa"/>
          </w:tcPr>
          <w:p w:rsidR="00C14688" w:rsidRDefault="00C14688" w:rsidP="00C14688">
            <w:pPr>
              <w:jc w:val="both"/>
              <w:rPr>
                <w:rFonts w:ascii="Arial" w:hAnsi="Arial" w:cs="Arial"/>
              </w:rPr>
            </w:pPr>
            <w:r>
              <w:rPr>
                <w:rFonts w:ascii="Arial" w:hAnsi="Arial" w:cs="Arial"/>
              </w:rPr>
              <w:t>1 – business owner</w:t>
            </w:r>
          </w:p>
        </w:tc>
        <w:tc>
          <w:tcPr>
            <w:tcW w:w="4788" w:type="dxa"/>
          </w:tcPr>
          <w:p w:rsidR="00C14688" w:rsidRPr="00C14688" w:rsidRDefault="00FF3974" w:rsidP="00FF3974">
            <w:pPr>
              <w:jc w:val="both"/>
              <w:rPr>
                <w:rFonts w:ascii="Arial" w:hAnsi="Arial" w:cs="Arial"/>
              </w:rPr>
            </w:pPr>
            <w:r>
              <w:rPr>
                <w:rFonts w:ascii="Arial" w:hAnsi="Arial" w:cs="Arial"/>
              </w:rPr>
              <w:t>1 – commercial/industrial interest</w:t>
            </w:r>
          </w:p>
        </w:tc>
      </w:tr>
      <w:tr w:rsidR="00FF3974" w:rsidRPr="00C14688" w:rsidTr="00670D3C">
        <w:tc>
          <w:tcPr>
            <w:tcW w:w="4788" w:type="dxa"/>
          </w:tcPr>
          <w:p w:rsidR="00FF3974" w:rsidRDefault="00FF3974" w:rsidP="003F28F4">
            <w:pPr>
              <w:jc w:val="both"/>
              <w:rPr>
                <w:rFonts w:ascii="Arial" w:hAnsi="Arial" w:cs="Arial"/>
              </w:rPr>
            </w:pPr>
            <w:r>
              <w:rPr>
                <w:rFonts w:ascii="Arial" w:hAnsi="Arial" w:cs="Arial"/>
              </w:rPr>
              <w:t>1 – chamber of commerce</w:t>
            </w:r>
          </w:p>
        </w:tc>
        <w:tc>
          <w:tcPr>
            <w:tcW w:w="4788" w:type="dxa"/>
            <w:shd w:val="clear" w:color="auto" w:fill="BFBFBF" w:themeFill="background1" w:themeFillShade="BF"/>
          </w:tcPr>
          <w:p w:rsidR="00FF3974" w:rsidRPr="00C14688" w:rsidRDefault="00FF3974" w:rsidP="003F28F4">
            <w:pPr>
              <w:jc w:val="both"/>
              <w:rPr>
                <w:rFonts w:ascii="Arial" w:hAnsi="Arial" w:cs="Arial"/>
              </w:rPr>
            </w:pPr>
          </w:p>
        </w:tc>
      </w:tr>
      <w:tr w:rsidR="00C14688" w:rsidRPr="00C14688" w:rsidTr="00C14688">
        <w:tc>
          <w:tcPr>
            <w:tcW w:w="4788" w:type="dxa"/>
          </w:tcPr>
          <w:p w:rsidR="00C14688" w:rsidRDefault="00C14688" w:rsidP="00C14688">
            <w:pPr>
              <w:jc w:val="both"/>
              <w:rPr>
                <w:rFonts w:ascii="Arial" w:hAnsi="Arial" w:cs="Arial"/>
              </w:rPr>
            </w:pPr>
            <w:r>
              <w:rPr>
                <w:rFonts w:ascii="Arial" w:hAnsi="Arial" w:cs="Arial"/>
              </w:rPr>
              <w:t>1 – commercial agriculturist</w:t>
            </w:r>
          </w:p>
        </w:tc>
        <w:tc>
          <w:tcPr>
            <w:tcW w:w="4788" w:type="dxa"/>
          </w:tcPr>
          <w:p w:rsidR="00C14688" w:rsidRPr="00C14688" w:rsidRDefault="00FF3974" w:rsidP="005B478C">
            <w:pPr>
              <w:jc w:val="both"/>
              <w:rPr>
                <w:rFonts w:ascii="Arial" w:hAnsi="Arial" w:cs="Arial"/>
              </w:rPr>
            </w:pPr>
            <w:r>
              <w:rPr>
                <w:rFonts w:ascii="Arial" w:hAnsi="Arial" w:cs="Arial"/>
              </w:rPr>
              <w:t>1 – commercial agriculturist</w:t>
            </w:r>
          </w:p>
        </w:tc>
      </w:tr>
      <w:tr w:rsidR="00FF3974" w:rsidRPr="00C14688" w:rsidTr="00670D3C">
        <w:tc>
          <w:tcPr>
            <w:tcW w:w="4788" w:type="dxa"/>
            <w:shd w:val="clear" w:color="auto" w:fill="BFBFBF" w:themeFill="background1" w:themeFillShade="BF"/>
          </w:tcPr>
          <w:p w:rsidR="00FF3974" w:rsidRDefault="00FF3974" w:rsidP="003F28F4">
            <w:pPr>
              <w:jc w:val="both"/>
              <w:rPr>
                <w:rFonts w:ascii="Arial" w:hAnsi="Arial" w:cs="Arial"/>
              </w:rPr>
            </w:pPr>
          </w:p>
        </w:tc>
        <w:tc>
          <w:tcPr>
            <w:tcW w:w="4788" w:type="dxa"/>
          </w:tcPr>
          <w:p w:rsidR="00FF3974" w:rsidRPr="00C14688" w:rsidRDefault="00FF3974" w:rsidP="003F28F4">
            <w:pPr>
              <w:jc w:val="both"/>
              <w:rPr>
                <w:rFonts w:ascii="Arial" w:hAnsi="Arial" w:cs="Arial"/>
              </w:rPr>
            </w:pPr>
            <w:r>
              <w:rPr>
                <w:rFonts w:ascii="Arial" w:hAnsi="Arial" w:cs="Arial"/>
              </w:rPr>
              <w:t>1 – livestock owner</w:t>
            </w:r>
          </w:p>
        </w:tc>
      </w:tr>
      <w:tr w:rsidR="00C14688" w:rsidRPr="00C14688" w:rsidTr="00C14688">
        <w:tc>
          <w:tcPr>
            <w:tcW w:w="4788" w:type="dxa"/>
          </w:tcPr>
          <w:p w:rsidR="00C14688" w:rsidRDefault="00C14688" w:rsidP="003F28F4">
            <w:pPr>
              <w:jc w:val="both"/>
              <w:rPr>
                <w:rFonts w:ascii="Arial" w:hAnsi="Arial" w:cs="Arial"/>
              </w:rPr>
            </w:pPr>
            <w:r>
              <w:rPr>
                <w:rFonts w:ascii="Arial" w:hAnsi="Arial" w:cs="Arial"/>
              </w:rPr>
              <w:t>1 – resident of Vashon-Maury Island</w:t>
            </w:r>
          </w:p>
        </w:tc>
        <w:tc>
          <w:tcPr>
            <w:tcW w:w="4788" w:type="dxa"/>
          </w:tcPr>
          <w:p w:rsidR="00C14688" w:rsidRPr="00C14688" w:rsidRDefault="00FF3974" w:rsidP="003F28F4">
            <w:pPr>
              <w:jc w:val="both"/>
              <w:rPr>
                <w:rFonts w:ascii="Arial" w:hAnsi="Arial" w:cs="Arial"/>
              </w:rPr>
            </w:pPr>
            <w:r>
              <w:rPr>
                <w:rFonts w:ascii="Arial" w:hAnsi="Arial" w:cs="Arial"/>
              </w:rPr>
              <w:t>3 – residents of Vashon-Maury island</w:t>
            </w:r>
          </w:p>
        </w:tc>
      </w:tr>
      <w:tr w:rsidR="00FF3974" w:rsidRPr="00C14688" w:rsidTr="00670D3C">
        <w:tc>
          <w:tcPr>
            <w:tcW w:w="4788" w:type="dxa"/>
          </w:tcPr>
          <w:p w:rsidR="00FF3974" w:rsidRPr="00C14688" w:rsidRDefault="00FF3974" w:rsidP="003F28F4">
            <w:pPr>
              <w:jc w:val="both"/>
              <w:rPr>
                <w:rFonts w:ascii="Arial" w:hAnsi="Arial" w:cs="Arial"/>
              </w:rPr>
            </w:pPr>
            <w:r>
              <w:rPr>
                <w:rFonts w:ascii="Arial" w:hAnsi="Arial" w:cs="Arial"/>
              </w:rPr>
              <w:t>1 – groundwater advisory committee</w:t>
            </w:r>
          </w:p>
        </w:tc>
        <w:tc>
          <w:tcPr>
            <w:tcW w:w="4788" w:type="dxa"/>
            <w:shd w:val="clear" w:color="auto" w:fill="BFBFBF" w:themeFill="background1" w:themeFillShade="BF"/>
          </w:tcPr>
          <w:p w:rsidR="00FF3974" w:rsidRPr="00C14688" w:rsidRDefault="00FF3974" w:rsidP="003F28F4">
            <w:pPr>
              <w:jc w:val="both"/>
              <w:rPr>
                <w:rFonts w:ascii="Arial" w:hAnsi="Arial" w:cs="Arial"/>
              </w:rPr>
            </w:pPr>
          </w:p>
        </w:tc>
      </w:tr>
      <w:tr w:rsidR="00C14688" w:rsidRPr="00C14688" w:rsidTr="00C14688">
        <w:tc>
          <w:tcPr>
            <w:tcW w:w="4788" w:type="dxa"/>
          </w:tcPr>
          <w:p w:rsidR="00C14688" w:rsidRDefault="00C14688" w:rsidP="00C14688">
            <w:pPr>
              <w:jc w:val="both"/>
              <w:rPr>
                <w:rFonts w:ascii="Arial" w:hAnsi="Arial" w:cs="Arial"/>
              </w:rPr>
            </w:pPr>
            <w:r>
              <w:rPr>
                <w:rFonts w:ascii="Arial" w:hAnsi="Arial" w:cs="Arial"/>
              </w:rPr>
              <w:t>1 – local environmental organization</w:t>
            </w:r>
          </w:p>
        </w:tc>
        <w:tc>
          <w:tcPr>
            <w:tcW w:w="4788" w:type="dxa"/>
          </w:tcPr>
          <w:p w:rsidR="00C14688" w:rsidRPr="00C14688" w:rsidRDefault="00FF3974" w:rsidP="005B478C">
            <w:pPr>
              <w:jc w:val="both"/>
              <w:rPr>
                <w:rFonts w:ascii="Arial" w:hAnsi="Arial" w:cs="Arial"/>
              </w:rPr>
            </w:pPr>
            <w:r>
              <w:rPr>
                <w:rFonts w:ascii="Arial" w:hAnsi="Arial" w:cs="Arial"/>
              </w:rPr>
              <w:t>1 – local environmental organization</w:t>
            </w:r>
          </w:p>
        </w:tc>
      </w:tr>
    </w:tbl>
    <w:p w:rsidR="00C14688" w:rsidRDefault="00C14688" w:rsidP="005B478C">
      <w:pPr>
        <w:jc w:val="both"/>
        <w:rPr>
          <w:rFonts w:ascii="Arial" w:hAnsi="Arial" w:cs="Arial"/>
          <w:highlight w:val="yellow"/>
        </w:rPr>
      </w:pPr>
    </w:p>
    <w:p w:rsidR="00C14688" w:rsidRPr="00087403" w:rsidRDefault="00087403" w:rsidP="005B478C">
      <w:pPr>
        <w:jc w:val="both"/>
        <w:rPr>
          <w:rFonts w:ascii="Arial" w:hAnsi="Arial" w:cs="Arial"/>
        </w:rPr>
      </w:pPr>
      <w:r w:rsidRPr="00087403">
        <w:rPr>
          <w:rFonts w:ascii="Arial" w:hAnsi="Arial" w:cs="Arial"/>
        </w:rPr>
        <w:t>Executive staff state that the membership changes would allow for greater diversity for recruitment of new members, and removes outdated positions (for example, the current seat for the groundwater advisory committee member is being removed because that committee no longer exists).</w:t>
      </w:r>
    </w:p>
    <w:p w:rsidR="00087403" w:rsidRPr="00087403" w:rsidRDefault="00087403" w:rsidP="005B478C">
      <w:pPr>
        <w:jc w:val="both"/>
        <w:rPr>
          <w:rFonts w:ascii="Arial" w:hAnsi="Arial" w:cs="Arial"/>
        </w:rPr>
      </w:pPr>
    </w:p>
    <w:p w:rsidR="00087403" w:rsidRPr="00087403" w:rsidRDefault="00087403" w:rsidP="005B478C">
      <w:pPr>
        <w:jc w:val="both"/>
        <w:rPr>
          <w:rFonts w:ascii="Arial" w:hAnsi="Arial" w:cs="Arial"/>
        </w:rPr>
      </w:pPr>
      <w:r w:rsidRPr="00087403">
        <w:rPr>
          <w:rFonts w:ascii="Arial" w:hAnsi="Arial" w:cs="Arial"/>
        </w:rPr>
        <w:t>The Committee has unanimously supported these proposed membership changes, and the ordinance would make the Code consistent with the Committee's bylaws.</w:t>
      </w:r>
    </w:p>
    <w:p w:rsidR="00264BE1" w:rsidRDefault="00264BE1" w:rsidP="005B478C">
      <w:pPr>
        <w:pStyle w:val="BodyText"/>
        <w:jc w:val="both"/>
        <w:rPr>
          <w:rFonts w:ascii="Arial" w:hAnsi="Arial" w:cs="Arial"/>
          <w:b/>
          <w:i w:val="0"/>
          <w:smallCaps/>
          <w:szCs w:val="24"/>
        </w:rPr>
      </w:pPr>
    </w:p>
    <w:p w:rsidR="00087403" w:rsidRDefault="00087403" w:rsidP="00087403">
      <w:pPr>
        <w:jc w:val="both"/>
        <w:rPr>
          <w:rFonts w:ascii="Arial" w:hAnsi="Arial" w:cs="Arial"/>
          <w:b/>
          <w:smallCaps/>
          <w:szCs w:val="24"/>
          <w:u w:val="single"/>
        </w:rPr>
      </w:pPr>
      <w:r>
        <w:rPr>
          <w:rFonts w:ascii="Arial" w:hAnsi="Arial" w:cs="Arial"/>
          <w:b/>
          <w:smallCaps/>
          <w:szCs w:val="24"/>
          <w:u w:val="single"/>
        </w:rPr>
        <w:t>AMENDMENT</w:t>
      </w:r>
    </w:p>
    <w:p w:rsidR="00087403" w:rsidRDefault="00087403" w:rsidP="005B478C">
      <w:pPr>
        <w:pStyle w:val="BodyText"/>
        <w:jc w:val="both"/>
        <w:rPr>
          <w:rFonts w:ascii="Arial" w:hAnsi="Arial" w:cs="Arial"/>
          <w:b/>
          <w:i w:val="0"/>
          <w:smallCaps/>
          <w:szCs w:val="24"/>
        </w:rPr>
      </w:pPr>
    </w:p>
    <w:p w:rsidR="00087403" w:rsidRPr="00087403" w:rsidRDefault="00087403" w:rsidP="00087403">
      <w:pPr>
        <w:jc w:val="both"/>
        <w:rPr>
          <w:rFonts w:ascii="Arial" w:hAnsi="Arial" w:cs="Arial"/>
        </w:rPr>
      </w:pPr>
      <w:r>
        <w:rPr>
          <w:rFonts w:ascii="Arial" w:hAnsi="Arial" w:cs="Arial"/>
        </w:rPr>
        <w:t>A</w:t>
      </w:r>
      <w:r w:rsidRPr="00087403">
        <w:rPr>
          <w:rFonts w:ascii="Arial" w:hAnsi="Arial" w:cs="Arial"/>
        </w:rPr>
        <w:t>mendment 1</w:t>
      </w:r>
      <w:r>
        <w:rPr>
          <w:rFonts w:ascii="Arial" w:hAnsi="Arial" w:cs="Arial"/>
        </w:rPr>
        <w:t xml:space="preserve"> would make a technical correction to the ordinance, by using the language </w:t>
      </w:r>
      <w:r w:rsidR="00E34D65">
        <w:rPr>
          <w:rFonts w:ascii="Arial" w:hAnsi="Arial" w:cs="Arial"/>
        </w:rPr>
        <w:t>of the</w:t>
      </w:r>
      <w:r>
        <w:rPr>
          <w:rFonts w:ascii="Arial" w:hAnsi="Arial" w:cs="Arial"/>
        </w:rPr>
        <w:t xml:space="preserve"> current version of the King County Code.</w:t>
      </w:r>
    </w:p>
    <w:p w:rsidR="00087403" w:rsidRPr="001C4B19" w:rsidRDefault="00087403" w:rsidP="005B478C">
      <w:pPr>
        <w:pStyle w:val="BodyText"/>
        <w:jc w:val="both"/>
        <w:rPr>
          <w:rFonts w:ascii="Arial" w:hAnsi="Arial" w:cs="Arial"/>
          <w:b/>
          <w:i w:val="0"/>
          <w:smallCaps/>
          <w:szCs w:val="24"/>
        </w:rPr>
      </w:pPr>
    </w:p>
    <w:sectPr w:rsidR="00087403"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125795" w:rsidRDefault="00125795">
      <w:pPr>
        <w:pStyle w:val="FootnoteText"/>
      </w:pPr>
      <w:r>
        <w:rPr>
          <w:rStyle w:val="FootnoteReference"/>
        </w:rPr>
        <w:footnoteRef/>
      </w:r>
      <w:r>
        <w:t xml:space="preserve"> Ordinance 14214</w:t>
      </w:r>
    </w:p>
  </w:footnote>
  <w:footnote w:id="2">
    <w:p w:rsidR="00C14688" w:rsidRDefault="00C14688">
      <w:pPr>
        <w:pStyle w:val="FootnoteText"/>
      </w:pPr>
      <w:r>
        <w:rPr>
          <w:rStyle w:val="FootnoteReference"/>
        </w:rPr>
        <w:footnoteRef/>
      </w:r>
      <w:r>
        <w:t xml:space="preserve"> See K.C.C. 9.14.100 for a full list of groundwater committee responsibilities</w:t>
      </w:r>
    </w:p>
  </w:footnote>
  <w:footnote w:id="3">
    <w:p w:rsidR="00C14688" w:rsidRDefault="00C14688">
      <w:pPr>
        <w:pStyle w:val="FootnoteText"/>
      </w:pPr>
      <w:r>
        <w:rPr>
          <w:rStyle w:val="FootnoteReference"/>
        </w:rPr>
        <w:footnoteRef/>
      </w:r>
      <w:r>
        <w:t xml:space="preserve"> Ordinances 15082, 16724, and 17750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0"/>
  </w:num>
  <w:num w:numId="40">
    <w:abstractNumId w:val="27"/>
  </w:num>
  <w:num w:numId="41">
    <w:abstractNumId w:val="36"/>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403"/>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4AD"/>
    <w:rsid w:val="00110AC4"/>
    <w:rsid w:val="00111799"/>
    <w:rsid w:val="00113B09"/>
    <w:rsid w:val="00117D3D"/>
    <w:rsid w:val="00121D0A"/>
    <w:rsid w:val="0012573D"/>
    <w:rsid w:val="00125795"/>
    <w:rsid w:val="00126322"/>
    <w:rsid w:val="00131D0E"/>
    <w:rsid w:val="001320CB"/>
    <w:rsid w:val="0013286C"/>
    <w:rsid w:val="00132C16"/>
    <w:rsid w:val="00132DFC"/>
    <w:rsid w:val="00132FA5"/>
    <w:rsid w:val="00133981"/>
    <w:rsid w:val="0013486D"/>
    <w:rsid w:val="00134C11"/>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46F1"/>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0DC"/>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2B81"/>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67DD1"/>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3AEB"/>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0D3C"/>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19F9"/>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033"/>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688"/>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6443"/>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4D65"/>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0E"/>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03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3974"/>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88247-D430-48BE-9482-C48BB41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D960-F3D7-4F0E-A11A-F438094C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4</cp:revision>
  <cp:lastPrinted>2015-03-13T15:09:00Z</cp:lastPrinted>
  <dcterms:created xsi:type="dcterms:W3CDTF">2016-01-19T20:07:00Z</dcterms:created>
  <dcterms:modified xsi:type="dcterms:W3CDTF">2016-01-20T18:33:00Z</dcterms:modified>
</cp:coreProperties>
</file>