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2322"/>
        <w:gridCol w:w="2250"/>
        <w:gridCol w:w="1800"/>
        <w:gridCol w:w="2700"/>
      </w:tblGrid>
      <w:tr w:rsidR="007A0C3D" w:rsidRPr="00152107" w14:paraId="1D6BCEA5" w14:textId="77777777" w:rsidTr="00CB6F15">
        <w:tc>
          <w:tcPr>
            <w:tcW w:w="2322" w:type="dxa"/>
            <w:vAlign w:val="center"/>
          </w:tcPr>
          <w:p w14:paraId="2E8C2DC1" w14:textId="77777777" w:rsidR="007A0C3D" w:rsidRPr="00152107" w:rsidRDefault="007A0C3D">
            <w:pPr>
              <w:snapToGrid w:val="0"/>
              <w:spacing w:before="20" w:after="20"/>
              <w:ind w:left="-3"/>
              <w:rPr>
                <w:rFonts w:ascii="Arial" w:hAnsi="Arial" w:cs="Arial"/>
                <w:b/>
                <w:szCs w:val="22"/>
              </w:rPr>
            </w:pPr>
            <w:r w:rsidRPr="00152107">
              <w:rPr>
                <w:rFonts w:ascii="Arial" w:hAnsi="Arial" w:cs="Arial"/>
                <w:b/>
                <w:szCs w:val="22"/>
              </w:rPr>
              <w:t>Agenda Item No.:</w:t>
            </w:r>
          </w:p>
        </w:tc>
        <w:tc>
          <w:tcPr>
            <w:tcW w:w="2250" w:type="dxa"/>
            <w:vAlign w:val="center"/>
          </w:tcPr>
          <w:p w14:paraId="52C4162F" w14:textId="26660E67" w:rsidR="007A0C3D" w:rsidRPr="00152107" w:rsidRDefault="001979B4">
            <w:pPr>
              <w:snapToGrid w:val="0"/>
              <w:spacing w:before="20" w:after="20"/>
              <w:ind w:left="-3"/>
              <w:rPr>
                <w:rFonts w:ascii="Arial" w:hAnsi="Arial" w:cs="Arial"/>
                <w:szCs w:val="22"/>
              </w:rPr>
            </w:pPr>
            <w:r>
              <w:rPr>
                <w:rFonts w:ascii="Arial" w:hAnsi="Arial" w:cs="Arial"/>
                <w:szCs w:val="22"/>
              </w:rPr>
              <w:t>6</w:t>
            </w:r>
            <w:bookmarkStart w:id="0" w:name="_GoBack"/>
            <w:bookmarkEnd w:id="0"/>
          </w:p>
        </w:tc>
        <w:tc>
          <w:tcPr>
            <w:tcW w:w="1800" w:type="dxa"/>
            <w:vAlign w:val="center"/>
          </w:tcPr>
          <w:p w14:paraId="4793F772" w14:textId="77777777" w:rsidR="007A0C3D" w:rsidRPr="00152107" w:rsidRDefault="007A0C3D">
            <w:pPr>
              <w:snapToGrid w:val="0"/>
              <w:spacing w:before="20" w:after="20"/>
              <w:ind w:left="-3"/>
              <w:rPr>
                <w:rFonts w:ascii="Arial" w:hAnsi="Arial" w:cs="Arial"/>
                <w:b/>
                <w:szCs w:val="22"/>
              </w:rPr>
            </w:pPr>
            <w:r w:rsidRPr="00152107">
              <w:rPr>
                <w:rFonts w:ascii="Arial" w:hAnsi="Arial" w:cs="Arial"/>
                <w:b/>
                <w:szCs w:val="22"/>
              </w:rPr>
              <w:t>Date:</w:t>
            </w:r>
          </w:p>
        </w:tc>
        <w:tc>
          <w:tcPr>
            <w:tcW w:w="2700" w:type="dxa"/>
            <w:vAlign w:val="center"/>
          </w:tcPr>
          <w:p w14:paraId="1288993F" w14:textId="6B46A3E0" w:rsidR="007A0C3D" w:rsidRPr="00152107" w:rsidRDefault="00007DA8">
            <w:pPr>
              <w:snapToGrid w:val="0"/>
              <w:spacing w:before="20" w:after="20"/>
              <w:ind w:left="-3"/>
              <w:rPr>
                <w:rFonts w:ascii="Arial" w:hAnsi="Arial" w:cs="Arial"/>
                <w:szCs w:val="22"/>
              </w:rPr>
            </w:pPr>
            <w:r>
              <w:rPr>
                <w:rFonts w:ascii="Arial" w:hAnsi="Arial" w:cs="Arial"/>
                <w:szCs w:val="22"/>
              </w:rPr>
              <w:t>Jan. 13, 2016</w:t>
            </w:r>
          </w:p>
        </w:tc>
      </w:tr>
      <w:tr w:rsidR="007A0C3D" w:rsidRPr="00152107" w14:paraId="21DF1589" w14:textId="77777777" w:rsidTr="00CB6F15">
        <w:tc>
          <w:tcPr>
            <w:tcW w:w="2322" w:type="dxa"/>
          </w:tcPr>
          <w:p w14:paraId="4BE351BA" w14:textId="77777777" w:rsidR="007A0C3D" w:rsidRPr="00152107" w:rsidRDefault="00E2358A" w:rsidP="00CC2C91">
            <w:pPr>
              <w:snapToGrid w:val="0"/>
              <w:spacing w:before="20" w:after="20"/>
              <w:ind w:left="-3"/>
              <w:rPr>
                <w:rFonts w:ascii="Arial" w:hAnsi="Arial" w:cs="Arial"/>
                <w:b/>
                <w:szCs w:val="22"/>
              </w:rPr>
            </w:pPr>
            <w:r w:rsidRPr="00152107">
              <w:rPr>
                <w:rFonts w:ascii="Arial" w:hAnsi="Arial" w:cs="Arial"/>
                <w:b/>
                <w:szCs w:val="22"/>
              </w:rPr>
              <w:t xml:space="preserve">Proposed </w:t>
            </w:r>
            <w:r w:rsidR="007A0C3D" w:rsidRPr="00152107">
              <w:rPr>
                <w:rFonts w:ascii="Arial" w:hAnsi="Arial" w:cs="Arial"/>
                <w:b/>
                <w:szCs w:val="22"/>
              </w:rPr>
              <w:t>No.:</w:t>
            </w:r>
          </w:p>
        </w:tc>
        <w:tc>
          <w:tcPr>
            <w:tcW w:w="2250" w:type="dxa"/>
          </w:tcPr>
          <w:p w14:paraId="6AC338D7" w14:textId="50A2D97C" w:rsidR="007A0C3D" w:rsidRPr="00152107" w:rsidRDefault="00BD0585" w:rsidP="00007DA8">
            <w:pPr>
              <w:tabs>
                <w:tab w:val="right" w:pos="2556"/>
              </w:tabs>
              <w:snapToGrid w:val="0"/>
              <w:spacing w:before="20" w:after="20"/>
              <w:ind w:left="-3"/>
              <w:rPr>
                <w:rFonts w:ascii="Arial" w:hAnsi="Arial" w:cs="Arial"/>
                <w:szCs w:val="22"/>
              </w:rPr>
            </w:pPr>
            <w:r w:rsidRPr="00152107">
              <w:rPr>
                <w:rFonts w:ascii="Arial" w:hAnsi="Arial" w:cs="Arial"/>
                <w:szCs w:val="22"/>
              </w:rPr>
              <w:t>201</w:t>
            </w:r>
            <w:r w:rsidR="00007DA8">
              <w:rPr>
                <w:rFonts w:ascii="Arial" w:hAnsi="Arial" w:cs="Arial"/>
                <w:szCs w:val="22"/>
              </w:rPr>
              <w:t>6-0004</w:t>
            </w:r>
            <w:r w:rsidR="00CD2047" w:rsidRPr="00152107">
              <w:rPr>
                <w:rFonts w:ascii="Arial" w:hAnsi="Arial" w:cs="Arial"/>
                <w:szCs w:val="22"/>
              </w:rPr>
              <w:tab/>
            </w:r>
          </w:p>
        </w:tc>
        <w:tc>
          <w:tcPr>
            <w:tcW w:w="1800" w:type="dxa"/>
          </w:tcPr>
          <w:p w14:paraId="5E687C00" w14:textId="77777777" w:rsidR="007A0C3D" w:rsidRPr="00152107" w:rsidRDefault="007A0C3D">
            <w:pPr>
              <w:snapToGrid w:val="0"/>
              <w:spacing w:before="20" w:after="20"/>
              <w:ind w:left="-3"/>
              <w:rPr>
                <w:rFonts w:ascii="Arial" w:hAnsi="Arial" w:cs="Arial"/>
                <w:b/>
                <w:szCs w:val="22"/>
              </w:rPr>
            </w:pPr>
            <w:r w:rsidRPr="00152107">
              <w:rPr>
                <w:rFonts w:ascii="Arial" w:hAnsi="Arial" w:cs="Arial"/>
                <w:b/>
                <w:szCs w:val="22"/>
              </w:rPr>
              <w:t>Prepared by:</w:t>
            </w:r>
          </w:p>
        </w:tc>
        <w:tc>
          <w:tcPr>
            <w:tcW w:w="2700" w:type="dxa"/>
          </w:tcPr>
          <w:p w14:paraId="6969FB6B" w14:textId="77777777" w:rsidR="007A0C3D" w:rsidRPr="00152107" w:rsidRDefault="007A0C3D">
            <w:pPr>
              <w:snapToGrid w:val="0"/>
              <w:spacing w:before="20" w:after="20"/>
              <w:ind w:left="-3"/>
              <w:rPr>
                <w:rFonts w:ascii="Arial" w:hAnsi="Arial" w:cs="Arial"/>
                <w:szCs w:val="22"/>
              </w:rPr>
            </w:pPr>
            <w:r w:rsidRPr="00152107">
              <w:rPr>
                <w:rFonts w:ascii="Arial" w:hAnsi="Arial" w:cs="Arial"/>
                <w:szCs w:val="22"/>
              </w:rPr>
              <w:t>Nick Wagner</w:t>
            </w:r>
          </w:p>
        </w:tc>
      </w:tr>
    </w:tbl>
    <w:p w14:paraId="0649DE32" w14:textId="77777777" w:rsidR="007A0C3D" w:rsidRPr="004C7887" w:rsidRDefault="007A0C3D">
      <w:pPr>
        <w:jc w:val="center"/>
        <w:rPr>
          <w:rFonts w:ascii="Arial" w:hAnsi="Arial" w:cs="Arial"/>
        </w:rPr>
      </w:pPr>
    </w:p>
    <w:p w14:paraId="5ADDEB32" w14:textId="77777777" w:rsidR="00860EA0" w:rsidRPr="00152107" w:rsidRDefault="00860EA0" w:rsidP="004C7887">
      <w:pPr>
        <w:tabs>
          <w:tab w:val="left" w:pos="360"/>
        </w:tabs>
        <w:rPr>
          <w:rFonts w:ascii="Arial" w:hAnsi="Arial" w:cs="Arial"/>
          <w:b/>
          <w:caps/>
          <w:color w:val="000000"/>
        </w:rPr>
      </w:pPr>
      <w:r w:rsidRPr="00152107">
        <w:rPr>
          <w:rFonts w:ascii="Arial" w:hAnsi="Arial" w:cs="Arial"/>
          <w:b/>
          <w:caps/>
          <w:color w:val="000000"/>
          <w:u w:val="single"/>
        </w:rPr>
        <w:t>SUBJECT</w:t>
      </w:r>
    </w:p>
    <w:p w14:paraId="0E94BE80" w14:textId="636FE4FB" w:rsidR="0025119A" w:rsidRPr="00357974" w:rsidRDefault="00045593" w:rsidP="00357974">
      <w:pPr>
        <w:spacing w:before="240" w:after="240"/>
        <w:jc w:val="both"/>
        <w:rPr>
          <w:rFonts w:ascii="Arial" w:hAnsi="Arial" w:cs="Arial"/>
          <w:color w:val="000000"/>
        </w:rPr>
      </w:pPr>
      <w:r>
        <w:rPr>
          <w:rFonts w:ascii="Arial" w:hAnsi="Arial" w:cs="Arial"/>
          <w:color w:val="000000"/>
        </w:rPr>
        <w:t xml:space="preserve">A </w:t>
      </w:r>
      <w:r w:rsidR="00001CA6">
        <w:rPr>
          <w:rFonts w:ascii="Arial" w:hAnsi="Arial" w:cs="Arial"/>
          <w:color w:val="000000"/>
        </w:rPr>
        <w:t xml:space="preserve">supplemental appropriation to the </w:t>
      </w:r>
      <w:r w:rsidR="00001CA6" w:rsidRPr="00357974">
        <w:rPr>
          <w:rFonts w:ascii="Arial" w:hAnsi="Arial" w:cs="Arial"/>
          <w:color w:val="000000"/>
        </w:rPr>
        <w:t xml:space="preserve">Department of </w:t>
      </w:r>
      <w:r w:rsidR="00007DA8">
        <w:rPr>
          <w:rFonts w:ascii="Arial" w:hAnsi="Arial" w:cs="Arial"/>
          <w:color w:val="000000"/>
        </w:rPr>
        <w:t>Public Defense</w:t>
      </w:r>
      <w:r w:rsidR="00001CA6" w:rsidRPr="00357974">
        <w:rPr>
          <w:rFonts w:ascii="Arial" w:hAnsi="Arial" w:cs="Arial"/>
          <w:color w:val="000000"/>
        </w:rPr>
        <w:t xml:space="preserve"> (D</w:t>
      </w:r>
      <w:r w:rsidR="00007DA8">
        <w:rPr>
          <w:rFonts w:ascii="Arial" w:hAnsi="Arial" w:cs="Arial"/>
          <w:color w:val="000000"/>
        </w:rPr>
        <w:t>P</w:t>
      </w:r>
      <w:r w:rsidR="00001CA6" w:rsidRPr="00357974">
        <w:rPr>
          <w:rFonts w:ascii="Arial" w:hAnsi="Arial" w:cs="Arial"/>
          <w:color w:val="000000"/>
        </w:rPr>
        <w:t>D)</w:t>
      </w:r>
      <w:r w:rsidR="00001CA6">
        <w:rPr>
          <w:rFonts w:ascii="Arial" w:hAnsi="Arial" w:cs="Arial"/>
          <w:color w:val="000000"/>
        </w:rPr>
        <w:t xml:space="preserve"> to </w:t>
      </w:r>
      <w:r w:rsidR="00007DA8">
        <w:rPr>
          <w:rFonts w:ascii="Arial" w:hAnsi="Arial" w:cs="Arial"/>
          <w:color w:val="000000"/>
        </w:rPr>
        <w:t xml:space="preserve">support the costs arising from </w:t>
      </w:r>
      <w:r w:rsidR="000323FE">
        <w:rPr>
          <w:rFonts w:ascii="Arial" w:hAnsi="Arial" w:cs="Arial"/>
          <w:color w:val="000000"/>
        </w:rPr>
        <w:t xml:space="preserve">two </w:t>
      </w:r>
      <w:r w:rsidR="00007DA8">
        <w:rPr>
          <w:rFonts w:ascii="Arial" w:hAnsi="Arial" w:cs="Arial"/>
          <w:color w:val="000000"/>
        </w:rPr>
        <w:t>collective bargaining agreements with DPD employees.</w:t>
      </w:r>
    </w:p>
    <w:p w14:paraId="7B5CE619" w14:textId="77777777" w:rsidR="004C7887" w:rsidRPr="00152107" w:rsidRDefault="004C7887" w:rsidP="004C7887">
      <w:pPr>
        <w:tabs>
          <w:tab w:val="left" w:pos="360"/>
        </w:tabs>
        <w:rPr>
          <w:rFonts w:ascii="Arial" w:hAnsi="Arial" w:cs="Arial"/>
          <w:b/>
          <w:caps/>
          <w:color w:val="000000"/>
          <w:u w:val="single"/>
        </w:rPr>
      </w:pPr>
      <w:r w:rsidRPr="00152107">
        <w:rPr>
          <w:rFonts w:ascii="Arial" w:hAnsi="Arial" w:cs="Arial"/>
          <w:b/>
          <w:caps/>
          <w:color w:val="000000"/>
          <w:u w:val="single"/>
        </w:rPr>
        <w:t>SUMMARY</w:t>
      </w:r>
    </w:p>
    <w:p w14:paraId="20262421" w14:textId="77777777" w:rsidR="00EF5BAB" w:rsidRDefault="004C7887" w:rsidP="00B12DF9">
      <w:pPr>
        <w:spacing w:before="240"/>
        <w:jc w:val="both"/>
        <w:rPr>
          <w:rFonts w:ascii="Arial" w:hAnsi="Arial" w:cs="Arial"/>
          <w:color w:val="000000"/>
        </w:rPr>
      </w:pPr>
      <w:r w:rsidRPr="00152107">
        <w:rPr>
          <w:rFonts w:ascii="Arial" w:hAnsi="Arial" w:cs="Arial"/>
          <w:color w:val="000000"/>
        </w:rPr>
        <w:t xml:space="preserve">Proposed Ordinance </w:t>
      </w:r>
      <w:r w:rsidR="00860EA0" w:rsidRPr="00152107">
        <w:rPr>
          <w:rFonts w:ascii="Arial" w:hAnsi="Arial" w:cs="Arial"/>
          <w:color w:val="000000"/>
        </w:rPr>
        <w:t>201</w:t>
      </w:r>
      <w:r w:rsidR="00007DA8">
        <w:rPr>
          <w:rFonts w:ascii="Arial" w:hAnsi="Arial" w:cs="Arial"/>
          <w:color w:val="000000"/>
        </w:rPr>
        <w:t>6-0004</w:t>
      </w:r>
      <w:r w:rsidRPr="00152107">
        <w:rPr>
          <w:rFonts w:ascii="Arial" w:hAnsi="Arial" w:cs="Arial"/>
          <w:color w:val="000000"/>
        </w:rPr>
        <w:t xml:space="preserve"> (</w:t>
      </w:r>
      <w:r w:rsidR="00860EA0" w:rsidRPr="00152107">
        <w:rPr>
          <w:rFonts w:ascii="Arial" w:hAnsi="Arial" w:cs="Arial"/>
          <w:color w:val="000000"/>
        </w:rPr>
        <w:t>Att. 1</w:t>
      </w:r>
      <w:r w:rsidRPr="00152107">
        <w:rPr>
          <w:rFonts w:ascii="Arial" w:hAnsi="Arial" w:cs="Arial"/>
          <w:color w:val="000000"/>
        </w:rPr>
        <w:t xml:space="preserve">) would approve </w:t>
      </w:r>
      <w:r w:rsidR="00E749FA">
        <w:rPr>
          <w:rFonts w:ascii="Arial" w:hAnsi="Arial" w:cs="Arial"/>
          <w:color w:val="000000"/>
        </w:rPr>
        <w:t>a supplemental appropriation to D</w:t>
      </w:r>
      <w:r w:rsidR="00007DA8">
        <w:rPr>
          <w:rFonts w:ascii="Arial" w:hAnsi="Arial" w:cs="Arial"/>
          <w:color w:val="000000"/>
        </w:rPr>
        <w:t>P</w:t>
      </w:r>
      <w:r w:rsidR="00E749FA">
        <w:rPr>
          <w:rFonts w:ascii="Arial" w:hAnsi="Arial" w:cs="Arial"/>
          <w:color w:val="000000"/>
        </w:rPr>
        <w:t xml:space="preserve">D to </w:t>
      </w:r>
      <w:r w:rsidR="00B87353">
        <w:rPr>
          <w:rFonts w:ascii="Arial" w:hAnsi="Arial" w:cs="Arial"/>
          <w:color w:val="000000"/>
        </w:rPr>
        <w:t xml:space="preserve">cover </w:t>
      </w:r>
      <w:r w:rsidR="00F12667">
        <w:rPr>
          <w:rFonts w:ascii="Arial" w:hAnsi="Arial" w:cs="Arial"/>
          <w:color w:val="000000"/>
        </w:rPr>
        <w:t xml:space="preserve">2015-2016 </w:t>
      </w:r>
      <w:r w:rsidR="00B87353">
        <w:rPr>
          <w:rFonts w:ascii="Arial" w:hAnsi="Arial" w:cs="Arial"/>
          <w:color w:val="000000"/>
        </w:rPr>
        <w:t>costs arising from</w:t>
      </w:r>
      <w:r w:rsidR="00E749FA">
        <w:rPr>
          <w:rFonts w:ascii="Arial" w:hAnsi="Arial" w:cs="Arial"/>
          <w:color w:val="000000"/>
        </w:rPr>
        <w:t xml:space="preserve"> </w:t>
      </w:r>
      <w:r w:rsidR="00007DA8">
        <w:rPr>
          <w:rFonts w:ascii="Arial" w:hAnsi="Arial" w:cs="Arial"/>
          <w:color w:val="000000"/>
        </w:rPr>
        <w:t xml:space="preserve">collective bargaining agreements </w:t>
      </w:r>
      <w:r w:rsidR="00B918A8">
        <w:rPr>
          <w:rFonts w:ascii="Arial" w:hAnsi="Arial" w:cs="Arial"/>
          <w:color w:val="000000"/>
        </w:rPr>
        <w:t xml:space="preserve">(CBAs) </w:t>
      </w:r>
      <w:r w:rsidR="00007DA8">
        <w:rPr>
          <w:rFonts w:ascii="Arial" w:hAnsi="Arial" w:cs="Arial"/>
          <w:color w:val="000000"/>
        </w:rPr>
        <w:t>between King County and the two unions that represent DPD employees.</w:t>
      </w:r>
      <w:r w:rsidR="006D7F4E" w:rsidRPr="00AB7D8D">
        <w:rPr>
          <w:rFonts w:ascii="Arial" w:hAnsi="Arial" w:cs="Arial"/>
          <w:color w:val="000000"/>
        </w:rPr>
        <w:t xml:space="preserve"> </w:t>
      </w:r>
      <w:r w:rsidR="00B918A8">
        <w:rPr>
          <w:rFonts w:ascii="Arial" w:hAnsi="Arial" w:cs="Arial"/>
          <w:color w:val="000000"/>
        </w:rPr>
        <w:t>The CBAs would be approved by Proposed Ordinances 2016-0002 and 2016-0003, which have been referred to the Law, Justice, and Emergency Management Committee and</w:t>
      </w:r>
      <w:r w:rsidR="002C29FD">
        <w:rPr>
          <w:rFonts w:ascii="Arial" w:hAnsi="Arial" w:cs="Arial"/>
          <w:color w:val="000000"/>
        </w:rPr>
        <w:t xml:space="preserve"> are on that committee’s January 12 agenda for discussion and possible action.</w:t>
      </w:r>
    </w:p>
    <w:p w14:paraId="4CF230C5" w14:textId="434D8DB1" w:rsidR="00B12DF9" w:rsidRDefault="002C29FD" w:rsidP="00B12DF9">
      <w:pPr>
        <w:spacing w:before="240"/>
        <w:jc w:val="both"/>
        <w:rPr>
          <w:rFonts w:ascii="Arial" w:hAnsi="Arial" w:cs="Arial"/>
          <w:color w:val="000000"/>
        </w:rPr>
      </w:pPr>
      <w:r>
        <w:rPr>
          <w:rFonts w:ascii="Arial" w:hAnsi="Arial" w:cs="Arial"/>
          <w:color w:val="000000"/>
        </w:rPr>
        <w:t xml:space="preserve">The costs </w:t>
      </w:r>
      <w:r w:rsidR="00153D6C">
        <w:rPr>
          <w:rFonts w:ascii="Arial" w:hAnsi="Arial" w:cs="Arial"/>
          <w:color w:val="000000"/>
        </w:rPr>
        <w:t>arising from</w:t>
      </w:r>
      <w:r>
        <w:rPr>
          <w:rFonts w:ascii="Arial" w:hAnsi="Arial" w:cs="Arial"/>
          <w:color w:val="000000"/>
        </w:rPr>
        <w:t xml:space="preserve"> the new CBAs</w:t>
      </w:r>
      <w:r w:rsidR="00153D6C">
        <w:rPr>
          <w:rFonts w:ascii="Arial" w:hAnsi="Arial" w:cs="Arial"/>
          <w:color w:val="000000"/>
        </w:rPr>
        <w:t xml:space="preserve"> are due primarily to extensive reclassification of DPD attorneys and other staff following their transition from independent, nonprofit public defense agencies to </w:t>
      </w:r>
      <w:r w:rsidR="00870CFA">
        <w:rPr>
          <w:rFonts w:ascii="Arial" w:hAnsi="Arial" w:cs="Arial"/>
          <w:color w:val="000000"/>
        </w:rPr>
        <w:t xml:space="preserve">employment by the County. </w:t>
      </w:r>
      <w:r w:rsidR="001259F4">
        <w:rPr>
          <w:rFonts w:ascii="Arial" w:hAnsi="Arial" w:cs="Arial"/>
          <w:color w:val="000000"/>
        </w:rPr>
        <w:t>The reclassification is intended to promote parity of compensation and benefits between DPD and the Prosecuting Attorney’s Office</w:t>
      </w:r>
      <w:r w:rsidR="00053605">
        <w:rPr>
          <w:rFonts w:ascii="Arial" w:hAnsi="Arial" w:cs="Arial"/>
          <w:color w:val="000000"/>
        </w:rPr>
        <w:t>. Parity of compensation, benefits, and resources between defense attorneys and prosecuting attorneys</w:t>
      </w:r>
      <w:r w:rsidR="001259F4">
        <w:rPr>
          <w:rFonts w:ascii="Arial" w:hAnsi="Arial" w:cs="Arial"/>
          <w:color w:val="000000"/>
        </w:rPr>
        <w:t xml:space="preserve"> is one of the </w:t>
      </w:r>
      <w:r w:rsidR="00FB2C1D">
        <w:rPr>
          <w:rFonts w:ascii="Arial" w:hAnsi="Arial" w:cs="Arial"/>
          <w:color w:val="000000"/>
        </w:rPr>
        <w:t xml:space="preserve">American Bar Association’s Ten </w:t>
      </w:r>
      <w:r w:rsidR="001A53C1" w:rsidRPr="001A53C1">
        <w:rPr>
          <w:rFonts w:ascii="Arial" w:hAnsi="Arial" w:cs="Arial"/>
          <w:color w:val="000000"/>
        </w:rPr>
        <w:t>Principles for a Public Defense Delivery System</w:t>
      </w:r>
      <w:r w:rsidR="001A53C1">
        <w:rPr>
          <w:rFonts w:ascii="Arial" w:hAnsi="Arial" w:cs="Arial"/>
          <w:color w:val="000000"/>
        </w:rPr>
        <w:t xml:space="preserve">. </w:t>
      </w:r>
      <w:r w:rsidR="008C0675">
        <w:rPr>
          <w:rFonts w:ascii="Arial" w:hAnsi="Arial" w:cs="Arial"/>
          <w:color w:val="000000"/>
        </w:rPr>
        <w:t>Among</w:t>
      </w:r>
      <w:r w:rsidR="001A53C1">
        <w:rPr>
          <w:rFonts w:ascii="Arial" w:hAnsi="Arial" w:cs="Arial"/>
          <w:color w:val="000000"/>
        </w:rPr>
        <w:t xml:space="preserve"> the Public Defender’s dut</w:t>
      </w:r>
      <w:r w:rsidR="008C0675">
        <w:rPr>
          <w:rFonts w:ascii="Arial" w:hAnsi="Arial" w:cs="Arial"/>
          <w:color w:val="000000"/>
        </w:rPr>
        <w:t>ies</w:t>
      </w:r>
      <w:r w:rsidR="001A53C1">
        <w:rPr>
          <w:rFonts w:ascii="Arial" w:hAnsi="Arial" w:cs="Arial"/>
          <w:color w:val="000000"/>
        </w:rPr>
        <w:t xml:space="preserve"> under the King County Code </w:t>
      </w:r>
      <w:r w:rsidR="008C0675">
        <w:rPr>
          <w:rFonts w:ascii="Arial" w:hAnsi="Arial" w:cs="Arial"/>
          <w:color w:val="000000"/>
        </w:rPr>
        <w:t>is “</w:t>
      </w:r>
      <w:r w:rsidR="008C0675" w:rsidRPr="008C0675">
        <w:rPr>
          <w:rFonts w:ascii="Arial" w:hAnsi="Arial" w:cs="Arial"/>
          <w:color w:val="000000"/>
        </w:rPr>
        <w:t xml:space="preserve">ensuring that the </w:t>
      </w:r>
      <w:r w:rsidR="008C0675">
        <w:rPr>
          <w:rFonts w:ascii="Arial" w:hAnsi="Arial" w:cs="Arial"/>
          <w:color w:val="000000"/>
        </w:rPr>
        <w:t>[</w:t>
      </w:r>
      <w:r w:rsidR="008C0675" w:rsidRPr="008C0675">
        <w:rPr>
          <w:rFonts w:ascii="Arial" w:hAnsi="Arial" w:cs="Arial"/>
          <w:color w:val="000000"/>
        </w:rPr>
        <w:t>Ten Principles</w:t>
      </w:r>
      <w:r w:rsidR="008C0675">
        <w:rPr>
          <w:rFonts w:ascii="Arial" w:hAnsi="Arial" w:cs="Arial"/>
          <w:color w:val="000000"/>
        </w:rPr>
        <w:t>]</w:t>
      </w:r>
      <w:r w:rsidR="008C0675" w:rsidRPr="008C0675">
        <w:rPr>
          <w:rFonts w:ascii="Arial" w:hAnsi="Arial" w:cs="Arial"/>
          <w:color w:val="000000"/>
        </w:rPr>
        <w:t xml:space="preserve"> guide the management of the department and development of department standards for legal defense representation</w:t>
      </w:r>
      <w:r w:rsidR="008C0675">
        <w:rPr>
          <w:rFonts w:ascii="Arial" w:hAnsi="Arial" w:cs="Arial"/>
          <w:color w:val="000000"/>
        </w:rPr>
        <w:t>.”</w:t>
      </w:r>
      <w:r w:rsidR="000323FE">
        <w:rPr>
          <w:rFonts w:ascii="Arial" w:hAnsi="Arial" w:cs="Arial"/>
          <w:color w:val="000000"/>
        </w:rPr>
        <w:t xml:space="preserve"> KCC </w:t>
      </w:r>
      <w:r w:rsidR="000323FE" w:rsidRPr="001A53C1">
        <w:rPr>
          <w:rFonts w:ascii="Arial" w:hAnsi="Arial" w:cs="Arial"/>
          <w:color w:val="000000"/>
        </w:rPr>
        <w:t>2.60.026(A</w:t>
      </w:r>
      <w:proofErr w:type="gramStart"/>
      <w:r w:rsidR="000323FE" w:rsidRPr="001A53C1">
        <w:rPr>
          <w:rFonts w:ascii="Arial" w:hAnsi="Arial" w:cs="Arial"/>
          <w:color w:val="000000"/>
        </w:rPr>
        <w:t>)(</w:t>
      </w:r>
      <w:proofErr w:type="gramEnd"/>
      <w:r w:rsidR="000323FE" w:rsidRPr="001A53C1">
        <w:rPr>
          <w:rFonts w:ascii="Arial" w:hAnsi="Arial" w:cs="Arial"/>
          <w:color w:val="000000"/>
        </w:rPr>
        <w:t>4)</w:t>
      </w:r>
      <w:r w:rsidR="000323FE">
        <w:rPr>
          <w:rFonts w:ascii="Arial" w:hAnsi="Arial" w:cs="Arial"/>
          <w:color w:val="000000"/>
        </w:rPr>
        <w:t>.</w:t>
      </w:r>
    </w:p>
    <w:p w14:paraId="7EA47A2E" w14:textId="385BB9B4" w:rsidR="009F377D" w:rsidRPr="0003337F" w:rsidRDefault="008C0675" w:rsidP="00B12DF9">
      <w:pPr>
        <w:spacing w:before="240"/>
        <w:jc w:val="both"/>
        <w:rPr>
          <w:rFonts w:ascii="Arial" w:hAnsi="Arial" w:cs="Arial"/>
          <w:b/>
          <w:i/>
          <w:color w:val="000000"/>
        </w:rPr>
      </w:pPr>
      <w:r w:rsidRPr="0003337F">
        <w:rPr>
          <w:rFonts w:ascii="Arial" w:hAnsi="Arial" w:cs="Arial"/>
          <w:color w:val="000000"/>
        </w:rPr>
        <w:t xml:space="preserve">The </w:t>
      </w:r>
      <w:r w:rsidR="00057D0D" w:rsidRPr="0003337F">
        <w:rPr>
          <w:rFonts w:ascii="Arial" w:hAnsi="Arial" w:cs="Arial"/>
          <w:color w:val="000000"/>
        </w:rPr>
        <w:t xml:space="preserve">costs of the reclassification, which is retroactive to January 1, 2015, </w:t>
      </w:r>
      <w:r w:rsidR="000323FE" w:rsidRPr="0003337F">
        <w:rPr>
          <w:rFonts w:ascii="Arial" w:hAnsi="Arial" w:cs="Arial"/>
          <w:color w:val="000000"/>
        </w:rPr>
        <w:t>are</w:t>
      </w:r>
      <w:r w:rsidR="00057D0D" w:rsidRPr="0003337F">
        <w:rPr>
          <w:rFonts w:ascii="Arial" w:hAnsi="Arial" w:cs="Arial"/>
          <w:color w:val="000000"/>
        </w:rPr>
        <w:t xml:space="preserve"> expected to be about $9.3 million over the 2015-2016 biennium.</w:t>
      </w:r>
      <w:r w:rsidR="009F377D" w:rsidRPr="0003337F">
        <w:rPr>
          <w:rFonts w:ascii="Arial" w:hAnsi="Arial" w:cs="Arial"/>
          <w:color w:val="000000"/>
        </w:rPr>
        <w:t xml:space="preserve"> That is also the approximate amount of the proposed supplemental appropriation. </w:t>
      </w:r>
      <w:r w:rsidR="00CB7BEC" w:rsidRPr="0003337F">
        <w:rPr>
          <w:rFonts w:ascii="Arial" w:hAnsi="Arial" w:cs="Arial"/>
          <w:color w:val="000000"/>
        </w:rPr>
        <w:t>Of that amount, about $8.9 million would be drawn from the General Fund</w:t>
      </w:r>
      <w:r w:rsidR="00E52261" w:rsidRPr="0003337F">
        <w:rPr>
          <w:rFonts w:ascii="Arial" w:hAnsi="Arial" w:cs="Arial"/>
          <w:color w:val="000000"/>
        </w:rPr>
        <w:t xml:space="preserve">. </w:t>
      </w:r>
      <w:r w:rsidR="009F377D" w:rsidRPr="0003337F">
        <w:rPr>
          <w:rFonts w:ascii="Arial" w:hAnsi="Arial" w:cs="Arial"/>
          <w:color w:val="000000"/>
        </w:rPr>
        <w:t>According to executive staff, sufficient funds have been allocated in the 2015-2016 General Fun</w:t>
      </w:r>
      <w:r w:rsidR="00CB7BEC" w:rsidRPr="0003337F">
        <w:rPr>
          <w:rFonts w:ascii="Arial" w:hAnsi="Arial" w:cs="Arial"/>
          <w:color w:val="000000"/>
        </w:rPr>
        <w:t>d planned reserves</w:t>
      </w:r>
      <w:r w:rsidR="0003337F" w:rsidRPr="0003337F">
        <w:rPr>
          <w:rFonts w:ascii="Arial" w:hAnsi="Arial" w:cs="Arial"/>
          <w:color w:val="000000"/>
        </w:rPr>
        <w:t xml:space="preserve"> to avoid having to draw from the General Fund undesignated fund balance.</w:t>
      </w:r>
      <w:r w:rsidR="00CB7BEC" w:rsidRPr="0003337F">
        <w:rPr>
          <w:rFonts w:ascii="Arial" w:hAnsi="Arial" w:cs="Arial"/>
          <w:color w:val="000000"/>
        </w:rPr>
        <w:t xml:space="preserve"> </w:t>
      </w:r>
      <w:r w:rsidR="002E7DCC">
        <w:rPr>
          <w:rFonts w:ascii="Arial" w:hAnsi="Arial" w:cs="Arial"/>
          <w:color w:val="000000"/>
        </w:rPr>
        <w:t xml:space="preserve">The remaining $400,000 would be drawn from the MIDD </w:t>
      </w:r>
      <w:r w:rsidR="00570CE0">
        <w:rPr>
          <w:rFonts w:ascii="Arial" w:hAnsi="Arial" w:cs="Arial"/>
          <w:color w:val="000000"/>
        </w:rPr>
        <w:t xml:space="preserve">undesignated </w:t>
      </w:r>
      <w:r w:rsidR="002E7DCC">
        <w:rPr>
          <w:rFonts w:ascii="Arial" w:hAnsi="Arial" w:cs="Arial"/>
          <w:color w:val="000000"/>
        </w:rPr>
        <w:t>fund</w:t>
      </w:r>
      <w:r w:rsidR="00570CE0">
        <w:rPr>
          <w:rFonts w:ascii="Arial" w:hAnsi="Arial" w:cs="Arial"/>
          <w:color w:val="000000"/>
        </w:rPr>
        <w:t xml:space="preserve"> balance</w:t>
      </w:r>
      <w:r w:rsidR="004B2E4C">
        <w:rPr>
          <w:rFonts w:ascii="Arial" w:hAnsi="Arial" w:cs="Arial"/>
          <w:color w:val="000000"/>
        </w:rPr>
        <w:t>, reducing the fund balance from about $1.6 million to about $1.2 million, according to executive staff</w:t>
      </w:r>
      <w:r w:rsidR="002E7DCC">
        <w:rPr>
          <w:rFonts w:ascii="Arial" w:hAnsi="Arial" w:cs="Arial"/>
          <w:color w:val="000000"/>
        </w:rPr>
        <w:t>.</w:t>
      </w:r>
    </w:p>
    <w:p w14:paraId="6D54A976" w14:textId="1FC13BAB" w:rsidR="00C53964" w:rsidRDefault="00C53964" w:rsidP="0018324E">
      <w:pPr>
        <w:keepNext/>
        <w:tabs>
          <w:tab w:val="left" w:pos="360"/>
          <w:tab w:val="left" w:pos="5935"/>
        </w:tabs>
        <w:spacing w:before="240"/>
        <w:rPr>
          <w:rFonts w:ascii="Arial" w:hAnsi="Arial" w:cs="Arial"/>
          <w:b/>
          <w:caps/>
          <w:color w:val="000000"/>
          <w:u w:val="single"/>
        </w:rPr>
      </w:pPr>
      <w:r w:rsidRPr="00152107">
        <w:rPr>
          <w:rFonts w:ascii="Arial" w:hAnsi="Arial" w:cs="Arial"/>
          <w:b/>
          <w:caps/>
          <w:color w:val="000000"/>
          <w:u w:val="single"/>
        </w:rPr>
        <w:lastRenderedPageBreak/>
        <w:t>BACKGROUND</w:t>
      </w:r>
    </w:p>
    <w:p w14:paraId="7364FF55" w14:textId="77777777" w:rsidR="00A3004B" w:rsidRPr="001C3627" w:rsidRDefault="00A3004B" w:rsidP="00A3004B">
      <w:pPr>
        <w:pStyle w:val="Heading2"/>
      </w:pPr>
      <w:r w:rsidRPr="001C3627">
        <w:t>DPD Staffing</w:t>
      </w:r>
      <w:r>
        <w:t xml:space="preserve"> Levels</w:t>
      </w:r>
    </w:p>
    <w:p w14:paraId="04A4596B" w14:textId="77777777" w:rsidR="00A3004B" w:rsidRDefault="00A3004B" w:rsidP="00A3004B">
      <w:pPr>
        <w:pStyle w:val="SRBodyText"/>
      </w:pPr>
      <w:r>
        <w:t>During the deliberations leading to the Council’s adoption of the 2015-2016 Biennial Budget Ordinance (the Budget), advocates on behalf of DPD clients and staff questioned the adequacy of the approximately $109 million and 343.75 FTEs allocated to DPD in the Executive’s proposed budget, as did the Public Defense Advisory Board (PDAB). The Council adopted the Budget without substantial change in the allocation to DPD, but subject to two provisos, which called for a report and recommendations from the Executive, in collaboration with PDAB, on the sufficiency of the staffing and other resources of DPD in relation to its caseload.</w:t>
      </w:r>
      <w:r>
        <w:rPr>
          <w:rStyle w:val="FootnoteReference"/>
        </w:rPr>
        <w:footnoteReference w:id="1"/>
      </w:r>
    </w:p>
    <w:p w14:paraId="300702F6" w14:textId="77777777" w:rsidR="00A3004B" w:rsidRDefault="00A3004B" w:rsidP="00A3004B">
      <w:pPr>
        <w:pStyle w:val="SRBodyText"/>
      </w:pPr>
      <w:r>
        <w:t>The Executive transmitted the requested report and recommendations to the Council in July 2015 with a request for a supplemental appropriation to DPD for 2015-2016 to fund the implementation of the recommendations. The Executive recommended the addition of 21.0 full-time equivalent (FTE) positions and 20 additional term-limited temporary (TLT) positions to DPD’s budget at a cost of about $6.9 million for 2015-2016. The proposed supplemental appropriation also included about $2 million to cover COLAs for the positions that had been included in DPD’s adopted budget.</w:t>
      </w:r>
      <w:r w:rsidRPr="001509EA">
        <w:rPr>
          <w:rStyle w:val="FootnoteReference"/>
        </w:rPr>
        <w:t xml:space="preserve"> </w:t>
      </w:r>
      <w:r>
        <w:rPr>
          <w:rStyle w:val="FootnoteReference"/>
        </w:rPr>
        <w:footnoteReference w:id="2"/>
      </w:r>
      <w:r>
        <w:t xml:space="preserve"> The Council approved the requested supplemental appropriation by Ordinance 18117 on September 21, 2015.</w:t>
      </w:r>
    </w:p>
    <w:p w14:paraId="18096DD6" w14:textId="77777777" w:rsidR="00A3004B" w:rsidRPr="00620D8E" w:rsidRDefault="00A3004B" w:rsidP="00A3004B">
      <w:pPr>
        <w:pStyle w:val="Heading2"/>
      </w:pPr>
      <w:r w:rsidRPr="00620D8E">
        <w:t>DPD Compensation</w:t>
      </w:r>
      <w:r>
        <w:t xml:space="preserve"> Levels</w:t>
      </w:r>
    </w:p>
    <w:p w14:paraId="3CC775BF" w14:textId="77777777" w:rsidR="00A3004B" w:rsidRDefault="00A3004B" w:rsidP="00A3004B">
      <w:pPr>
        <w:pStyle w:val="SRBodyText"/>
        <w:rPr>
          <w:rFonts w:eastAsia="Times New Roman" w:cs="Arial"/>
        </w:rPr>
      </w:pPr>
      <w:r>
        <w:t>The King County Code provides in part, in KCC 2.60.026(A</w:t>
      </w:r>
      <w:proofErr w:type="gramStart"/>
      <w:r>
        <w:t>)(</w:t>
      </w:r>
      <w:proofErr w:type="gramEnd"/>
      <w:r>
        <w:t>4), that among the duties of the King County Public Defender is “</w:t>
      </w:r>
      <w:r>
        <w:rPr>
          <w:rFonts w:eastAsia="Times New Roman" w:cs="Arial"/>
        </w:rPr>
        <w:t>e</w:t>
      </w:r>
      <w:r w:rsidRPr="00685F31">
        <w:rPr>
          <w:rFonts w:eastAsia="Times New Roman" w:cs="Arial"/>
        </w:rPr>
        <w:t>nsuring that the American Bar Association Ten Principles for a Public Defense Delivery System, as approved by the American Bar Association House of Delegates in February of 2002, guide the management of the department and development of department standards for legal defense representation</w:t>
      </w:r>
      <w:r>
        <w:rPr>
          <w:rFonts w:eastAsia="Times New Roman" w:cs="Arial"/>
        </w:rPr>
        <w:t>.” Principle 8 of the ABA Ten Principles provides: “</w:t>
      </w:r>
      <w:r>
        <w:t>There is parity between defense counsel and the prosecution with respect to resources, and defense counsel is included as an equal partner in the justice system.” The ABA commentary on Principle 8 states in part: “There should be parity of workload, salaries and other resources (such as benefits, technology, facilities, legal research, support staff, paralegals, investigators, and access to forensic services and experts) between prosecution and public defense.” [Footnote omitted.]</w:t>
      </w:r>
    </w:p>
    <w:p w14:paraId="4AFCF368" w14:textId="07FEC757" w:rsidR="00A3004B" w:rsidRDefault="00E90D0E" w:rsidP="00A3004B">
      <w:pPr>
        <w:pStyle w:val="SRBodyText"/>
      </w:pPr>
      <w:r>
        <w:t xml:space="preserve">The supplemental appropriation requested by the Executive in July 2015 addressed the issue of how many attorneys and other staff should be funded in DPD, but did not address the issue of parity of compensation between DPD and the Prosecuting Attorney’s Office (PAO). That issue was a subject of ongoing negotiation at that time </w:t>
      </w:r>
      <w:r>
        <w:lastRenderedPageBreak/>
        <w:t>between the County and the unions representing DPD’s attorneys and other staff (PDMG and SEIU).</w:t>
      </w:r>
      <w:r>
        <w:rPr>
          <w:rStyle w:val="FootnoteReference"/>
        </w:rPr>
        <w:footnoteReference w:id="3"/>
      </w:r>
    </w:p>
    <w:p w14:paraId="72DFC31C" w14:textId="77777777" w:rsidR="00C53964" w:rsidRPr="00122E2B" w:rsidRDefault="00C53964" w:rsidP="004C7887">
      <w:pPr>
        <w:keepNext/>
        <w:tabs>
          <w:tab w:val="left" w:pos="360"/>
        </w:tabs>
        <w:spacing w:before="240"/>
        <w:rPr>
          <w:rFonts w:ascii="Arial" w:hAnsi="Arial" w:cs="Arial"/>
          <w:b/>
          <w:caps/>
          <w:color w:val="000000"/>
          <w:u w:val="single"/>
        </w:rPr>
      </w:pPr>
      <w:r w:rsidRPr="00122E2B">
        <w:rPr>
          <w:rFonts w:ascii="Arial" w:hAnsi="Arial" w:cs="Arial"/>
          <w:b/>
          <w:caps/>
          <w:color w:val="000000"/>
          <w:u w:val="single"/>
        </w:rPr>
        <w:t>ANALYSIS</w:t>
      </w:r>
    </w:p>
    <w:p w14:paraId="13CA0E39" w14:textId="77777777" w:rsidR="00147CFC" w:rsidRPr="003C3729" w:rsidRDefault="00147CFC" w:rsidP="00683D52">
      <w:pPr>
        <w:pStyle w:val="Heading2"/>
        <w:numPr>
          <w:ilvl w:val="0"/>
          <w:numId w:val="11"/>
        </w:numPr>
        <w:ind w:left="360"/>
      </w:pPr>
      <w:r w:rsidRPr="003C3729">
        <w:t>Attorneys</w:t>
      </w:r>
    </w:p>
    <w:p w14:paraId="4990590E" w14:textId="77777777" w:rsidR="00147CFC" w:rsidRPr="00EB799F" w:rsidRDefault="00147CFC" w:rsidP="00DB06BB">
      <w:pPr>
        <w:pStyle w:val="Heading3"/>
        <w:ind w:left="1080"/>
      </w:pPr>
      <w:r w:rsidRPr="00EB799F">
        <w:t>New Salary Structure</w:t>
      </w:r>
    </w:p>
    <w:p w14:paraId="61348982" w14:textId="4FEA0474" w:rsidR="00DE5072" w:rsidRPr="00EA409E" w:rsidRDefault="00147CFC" w:rsidP="00147CFC">
      <w:pPr>
        <w:pStyle w:val="SRBodyText"/>
      </w:pPr>
      <w:r>
        <w:t>To achieve parity of compensation between DPD attorneys and PAO attorneys, the proposed new CBA</w:t>
      </w:r>
      <w:r w:rsidR="00DA117F">
        <w:t>s</w:t>
      </w:r>
      <w:r>
        <w:t xml:space="preserve"> would create </w:t>
      </w:r>
      <w:r w:rsidR="00DA117F">
        <w:t xml:space="preserve">two new classifications: </w:t>
      </w:r>
      <w:r>
        <w:t xml:space="preserve">a non-supervisory classification, Public Defense Attorney I (PDA I), </w:t>
      </w:r>
      <w:r w:rsidR="00DE5072">
        <w:t>and a supervisory classification, Public Defense Attorney – Supervisor</w:t>
      </w:r>
      <w:r w:rsidR="003D256D">
        <w:t xml:space="preserve"> (PDA-S)</w:t>
      </w:r>
      <w:r w:rsidR="00DE5072">
        <w:t xml:space="preserve">. As shown in Attachment 2, each classification would consist of several sub-classifications, and each sub-classification would </w:t>
      </w:r>
      <w:r w:rsidR="007D6710">
        <w:t>include</w:t>
      </w:r>
      <w:r w:rsidR="00DE5072">
        <w:t xml:space="preserve"> multiple steps.</w:t>
      </w:r>
      <w:r w:rsidR="003D256D">
        <w:t xml:space="preserve"> There </w:t>
      </w:r>
      <w:r w:rsidR="00EA409E">
        <w:t>would be</w:t>
      </w:r>
      <w:r w:rsidR="003D256D">
        <w:t xml:space="preserve"> a one-to-one correspondence between the steps of PDA I and PDA-S and the steps of the </w:t>
      </w:r>
      <w:r w:rsidR="00EA409E">
        <w:t>PAO’s Deputy Prosecuting Attorney (DPA) and Senior Deputy Prosecuting Attorney (SDPA)</w:t>
      </w:r>
      <w:r w:rsidR="007D6710">
        <w:t xml:space="preserve"> classifications</w:t>
      </w:r>
      <w:r w:rsidR="00EA409E">
        <w:t>, and the salaries at each step would be the same (</w:t>
      </w:r>
      <w:r w:rsidR="00EA409E">
        <w:rPr>
          <w:i/>
        </w:rPr>
        <w:t>see</w:t>
      </w:r>
      <w:r w:rsidR="00EA409E">
        <w:t xml:space="preserve"> Att. 2).</w:t>
      </w:r>
    </w:p>
    <w:p w14:paraId="603F3BAB" w14:textId="77777777" w:rsidR="00147CFC" w:rsidRDefault="00147CFC" w:rsidP="00DB06BB">
      <w:pPr>
        <w:pStyle w:val="Heading3"/>
        <w:ind w:left="1080"/>
      </w:pPr>
      <w:r>
        <w:t>Initial Step Assignments</w:t>
      </w:r>
    </w:p>
    <w:p w14:paraId="74E0F5B2" w14:textId="35E9206C" w:rsidR="00147CFC" w:rsidRPr="008900BF" w:rsidRDefault="00147CFC" w:rsidP="00147CFC">
      <w:pPr>
        <w:pStyle w:val="SRBodyText"/>
      </w:pPr>
      <w:r>
        <w:t>Under the new CBA</w:t>
      </w:r>
      <w:r w:rsidR="00E36309">
        <w:t>s</w:t>
      </w:r>
      <w:r>
        <w:t>, the initial assignment of each DPD attorney to a step in the new salary structure would be based on the attorney’s total years of service in DPD and in the independent public defense agency (or agencies) in which the attorney was employed before joining the County</w:t>
      </w:r>
      <w:r w:rsidR="00E36309">
        <w:t>.</w:t>
      </w:r>
      <w:r w:rsidR="002225A5">
        <w:rPr>
          <w:rStyle w:val="FootnoteReference"/>
        </w:rPr>
        <w:footnoteReference w:id="4"/>
      </w:r>
      <w:r w:rsidR="00E36309">
        <w:t xml:space="preserve"> </w:t>
      </w:r>
      <w:r>
        <w:t>The initial step assignments of DPD attorneys are reflected in Attachment 3, which shows the number of attorneys initially assigned to each step.</w:t>
      </w:r>
      <w:r>
        <w:rPr>
          <w:rStyle w:val="FootnoteReference"/>
        </w:rPr>
        <w:footnoteReference w:id="5"/>
      </w:r>
    </w:p>
    <w:p w14:paraId="753EA10D" w14:textId="77777777" w:rsidR="00147CFC" w:rsidRPr="00B83C9E" w:rsidRDefault="00147CFC" w:rsidP="00DB06BB">
      <w:pPr>
        <w:pStyle w:val="Heading3"/>
        <w:ind w:left="1080"/>
      </w:pPr>
      <w:r w:rsidRPr="00B83C9E">
        <w:t>Assignment to Senior Levels</w:t>
      </w:r>
    </w:p>
    <w:p w14:paraId="0C0E009B" w14:textId="1759F36E" w:rsidR="00147CFC" w:rsidRPr="00A93206" w:rsidRDefault="000C2172" w:rsidP="00147CFC">
      <w:pPr>
        <w:pStyle w:val="SRBodyText"/>
      </w:pPr>
      <w:r>
        <w:t xml:space="preserve">As shown in Attachment 3, </w:t>
      </w:r>
      <w:r w:rsidR="0094321D">
        <w:t xml:space="preserve">the distribution of </w:t>
      </w:r>
      <w:r>
        <w:t>t</w:t>
      </w:r>
      <w:r w:rsidR="00ED5D35">
        <w:t>he initial step assignments of DPD attorneys do</w:t>
      </w:r>
      <w:r w:rsidR="0094321D">
        <w:t>es</w:t>
      </w:r>
      <w:r w:rsidR="00ED5D35">
        <w:t xml:space="preserve"> not </w:t>
      </w:r>
      <w:r>
        <w:t xml:space="preserve">yet </w:t>
      </w:r>
      <w:r w:rsidR="00ED5D35">
        <w:t xml:space="preserve">reflect parity </w:t>
      </w:r>
      <w:r>
        <w:t>with the</w:t>
      </w:r>
      <w:r w:rsidR="00ED5D35">
        <w:t xml:space="preserve"> distribution </w:t>
      </w:r>
      <w:r w:rsidR="00147CFC">
        <w:t>of PAO Criminal Division attorneys</w:t>
      </w:r>
      <w:r w:rsidR="00781F36">
        <w:t>, in that the PAO has a higher proportion of higher-paid attorneys</w:t>
      </w:r>
      <w:r>
        <w:t xml:space="preserve">. </w:t>
      </w:r>
      <w:r w:rsidR="00147CFC">
        <w:t xml:space="preserve">To </w:t>
      </w:r>
      <w:r>
        <w:t xml:space="preserve">further </w:t>
      </w:r>
      <w:r w:rsidR="00197041">
        <w:t>improve</w:t>
      </w:r>
      <w:r>
        <w:t xml:space="preserve"> parity</w:t>
      </w:r>
      <w:r w:rsidR="00147CFC">
        <w:t xml:space="preserve">, </w:t>
      </w:r>
      <w:r w:rsidR="00197041">
        <w:t xml:space="preserve">both CBAs provide for promotion of some DPD attorneys to more senior levels, based on detailed criteria set forth in the CBAs. </w:t>
      </w:r>
      <w:r w:rsidR="008B0CFD">
        <w:t xml:space="preserve">According to executive </w:t>
      </w:r>
      <w:r w:rsidR="008B0CFD">
        <w:lastRenderedPageBreak/>
        <w:t>staff, t</w:t>
      </w:r>
      <w:r w:rsidR="00197041">
        <w:t xml:space="preserve">he estimated cost of those promotions is included in the cost estimates contained in the Fiscal Note (Att. </w:t>
      </w:r>
      <w:r w:rsidR="00F51E79">
        <w:t>8</w:t>
      </w:r>
      <w:r w:rsidR="00197041">
        <w:t>).</w:t>
      </w:r>
    </w:p>
    <w:p w14:paraId="1039FCA0" w14:textId="77777777" w:rsidR="00147CFC" w:rsidRDefault="00147CFC" w:rsidP="00781F36">
      <w:pPr>
        <w:pStyle w:val="Heading2"/>
        <w:keepNext/>
      </w:pPr>
      <w:r>
        <w:t>Other Staff</w:t>
      </w:r>
    </w:p>
    <w:p w14:paraId="1B9D3016" w14:textId="7F9AB9F3" w:rsidR="00147CFC" w:rsidRDefault="00147CFC" w:rsidP="00147CFC">
      <w:pPr>
        <w:pStyle w:val="SRBodyText"/>
      </w:pPr>
      <w:r>
        <w:t>To achieve parity for non-attorney staff, the proposed new CBA</w:t>
      </w:r>
      <w:r w:rsidR="00B44798">
        <w:t>s</w:t>
      </w:r>
      <w:r>
        <w:t xml:space="preserve"> would standardize their classifications and compensation levels, which had varied from one DPD division to another. (</w:t>
      </w:r>
      <w:r w:rsidRPr="00076DA7">
        <w:rPr>
          <w:i/>
        </w:rPr>
        <w:t>See</w:t>
      </w:r>
      <w:r>
        <w:t xml:space="preserve"> Attachment 4</w:t>
      </w:r>
      <w:r w:rsidR="00B44798">
        <w:t>, which shows the standardization of classifications for non-supervisory staff</w:t>
      </w:r>
      <w:r>
        <w:t xml:space="preserve">.) Most of the non-attorney staff would be assigned to existing county classifications, which already have pay ranges assigned to them. For the classifications that are unique to DPD, the parties </w:t>
      </w:r>
      <w:r w:rsidR="00DF1702">
        <w:t xml:space="preserve">have </w:t>
      </w:r>
      <w:r>
        <w:t>created new classifications and negotiated the pay ranges by comparison with existing classifications or job postings. For example, Public Defense Mitigation Specialist was considered comparable to a Probation Mental Health Specialist position that King County District Court had posted and was assigned a similar pay range.</w:t>
      </w:r>
    </w:p>
    <w:p w14:paraId="784A8B0A" w14:textId="2EF66E9D" w:rsidR="00147CFC" w:rsidRDefault="00147CFC" w:rsidP="007F50D5">
      <w:pPr>
        <w:pStyle w:val="Heading2"/>
      </w:pPr>
      <w:r>
        <w:t>Average Percent Increase</w:t>
      </w:r>
    </w:p>
    <w:p w14:paraId="5EC4F0AC" w14:textId="660FCB15" w:rsidR="00147CFC" w:rsidRDefault="00147CFC" w:rsidP="00147CFC">
      <w:pPr>
        <w:pStyle w:val="SRBodyText"/>
      </w:pPr>
      <w:r>
        <w:t xml:space="preserve">On average, most of the </w:t>
      </w:r>
      <w:r w:rsidR="00DB06BB">
        <w:t xml:space="preserve">DPD </w:t>
      </w:r>
      <w:r>
        <w:t>attorneys and other staff will receive substantial increases in compensation under the new CBA. The average increases by classification are summarized in Attachment</w:t>
      </w:r>
      <w:r w:rsidR="00DB06BB">
        <w:t>s</w:t>
      </w:r>
      <w:r>
        <w:t xml:space="preserve"> 5</w:t>
      </w:r>
      <w:r w:rsidR="00DB06BB">
        <w:t xml:space="preserve"> and 6</w:t>
      </w:r>
      <w:r>
        <w:t xml:space="preserve">. This has been anticipated for some time, since the County learned soon after the </w:t>
      </w:r>
      <w:r w:rsidR="006F223E">
        <w:t>transition</w:t>
      </w:r>
      <w:r>
        <w:t xml:space="preserve"> of attorneys and other staff to the County from the independent public defense agencies that the agencies had been employing substantially more staff at substantially lower individual compensation levels than the County had previously believed.</w:t>
      </w:r>
    </w:p>
    <w:p w14:paraId="4451E202" w14:textId="63AA42E9" w:rsidR="00147CFC" w:rsidRDefault="00147CFC" w:rsidP="00147CFC">
      <w:pPr>
        <w:pStyle w:val="SRBodyText"/>
      </w:pPr>
      <w:r>
        <w:t>The new CBA provides for the increases in compensation due to reclassification to be retroactive</w:t>
      </w:r>
      <w:r w:rsidR="006F223E">
        <w:t xml:space="preserve"> to January 1, 2015, not to the July 1, 2013, transition date.</w:t>
      </w:r>
    </w:p>
    <w:p w14:paraId="460DA043" w14:textId="725F247A" w:rsidR="00147CFC" w:rsidRDefault="0080275E" w:rsidP="0080275E">
      <w:pPr>
        <w:pStyle w:val="Heading1"/>
      </w:pPr>
      <w:r>
        <w:t>FISCAL IMPACT</w:t>
      </w:r>
    </w:p>
    <w:p w14:paraId="3C101B4D" w14:textId="0859A434" w:rsidR="007F50D5" w:rsidRDefault="0080275E" w:rsidP="007F50D5">
      <w:pPr>
        <w:pStyle w:val="SRBodyText"/>
      </w:pPr>
      <w:r>
        <w:t xml:space="preserve">The </w:t>
      </w:r>
      <w:r w:rsidR="006F223E">
        <w:t xml:space="preserve">combined </w:t>
      </w:r>
      <w:r w:rsidR="00682ACE">
        <w:t xml:space="preserve">2015-2016 </w:t>
      </w:r>
      <w:r>
        <w:t xml:space="preserve">fiscal impact of the two CBAs is summarized in the table below, which is based on the Fiscal Note (Att. </w:t>
      </w:r>
      <w:r w:rsidR="00F51E79">
        <w:t>8</w:t>
      </w:r>
      <w:r w:rsidR="00BF34C6">
        <w:t>).</w:t>
      </w:r>
    </w:p>
    <w:tbl>
      <w:tblPr>
        <w:tblStyle w:val="TableGrid"/>
        <w:tblW w:w="0" w:type="auto"/>
        <w:jc w:val="center"/>
        <w:tblCellMar>
          <w:top w:w="58" w:type="dxa"/>
          <w:left w:w="115" w:type="dxa"/>
          <w:bottom w:w="58" w:type="dxa"/>
          <w:right w:w="115" w:type="dxa"/>
        </w:tblCellMar>
        <w:tblLook w:val="04A0" w:firstRow="1" w:lastRow="0" w:firstColumn="1" w:lastColumn="0" w:noHBand="0" w:noVBand="1"/>
      </w:tblPr>
      <w:tblGrid>
        <w:gridCol w:w="3583"/>
        <w:gridCol w:w="1469"/>
        <w:gridCol w:w="1457"/>
        <w:gridCol w:w="1527"/>
      </w:tblGrid>
      <w:tr w:rsidR="00BF34C6" w14:paraId="0A69E3A4" w14:textId="77777777" w:rsidTr="007D0724">
        <w:trPr>
          <w:tblHeader/>
          <w:jc w:val="center"/>
        </w:trPr>
        <w:tc>
          <w:tcPr>
            <w:tcW w:w="3583" w:type="dxa"/>
            <w:shd w:val="clear" w:color="auto" w:fill="D9D9D9" w:themeFill="background1" w:themeFillShade="D9"/>
          </w:tcPr>
          <w:p w14:paraId="0BA4ED33" w14:textId="77777777" w:rsidR="00BF34C6" w:rsidRDefault="00BF34C6" w:rsidP="00D54F0F">
            <w:pPr>
              <w:pStyle w:val="SRBodyText"/>
              <w:spacing w:before="0" w:after="0"/>
              <w:jc w:val="left"/>
              <w:rPr>
                <w:rFonts w:eastAsia="Times New Roman" w:cs="Arial"/>
                <w:b/>
                <w:color w:val="000000"/>
                <w:sz w:val="22"/>
                <w:lang w:eastAsia="ar-SA"/>
              </w:rPr>
            </w:pPr>
          </w:p>
        </w:tc>
        <w:tc>
          <w:tcPr>
            <w:tcW w:w="1469" w:type="dxa"/>
            <w:shd w:val="clear" w:color="auto" w:fill="D9D9D9" w:themeFill="background1" w:themeFillShade="D9"/>
          </w:tcPr>
          <w:p w14:paraId="512C6B89" w14:textId="77777777" w:rsidR="00BF34C6" w:rsidRDefault="00BF34C6" w:rsidP="00BF34C6">
            <w:pPr>
              <w:pStyle w:val="SRBodyText"/>
              <w:spacing w:before="0" w:after="0"/>
              <w:jc w:val="center"/>
              <w:rPr>
                <w:rFonts w:eastAsia="Times New Roman" w:cs="Arial"/>
                <w:b/>
                <w:color w:val="000000"/>
                <w:sz w:val="22"/>
                <w:lang w:eastAsia="ar-SA"/>
              </w:rPr>
            </w:pPr>
            <w:r>
              <w:rPr>
                <w:rFonts w:eastAsia="Times New Roman" w:cs="Arial"/>
                <w:b/>
                <w:color w:val="000000"/>
                <w:sz w:val="22"/>
                <w:lang w:eastAsia="ar-SA"/>
              </w:rPr>
              <w:t>2015</w:t>
            </w:r>
          </w:p>
        </w:tc>
        <w:tc>
          <w:tcPr>
            <w:tcW w:w="1457" w:type="dxa"/>
            <w:shd w:val="clear" w:color="auto" w:fill="D9D9D9" w:themeFill="background1" w:themeFillShade="D9"/>
          </w:tcPr>
          <w:p w14:paraId="30263CDB" w14:textId="77777777" w:rsidR="00BF34C6" w:rsidRDefault="00BF34C6" w:rsidP="00BF34C6">
            <w:pPr>
              <w:pStyle w:val="SRBodyText"/>
              <w:spacing w:before="0" w:after="0"/>
              <w:jc w:val="center"/>
              <w:rPr>
                <w:rFonts w:eastAsia="Times New Roman" w:cs="Arial"/>
                <w:b/>
                <w:color w:val="000000"/>
                <w:sz w:val="22"/>
                <w:lang w:eastAsia="ar-SA"/>
              </w:rPr>
            </w:pPr>
            <w:r>
              <w:rPr>
                <w:rFonts w:eastAsia="Times New Roman" w:cs="Arial"/>
                <w:b/>
                <w:color w:val="000000"/>
                <w:sz w:val="22"/>
                <w:lang w:eastAsia="ar-SA"/>
              </w:rPr>
              <w:t>2016</w:t>
            </w:r>
          </w:p>
        </w:tc>
        <w:tc>
          <w:tcPr>
            <w:tcW w:w="1527" w:type="dxa"/>
            <w:shd w:val="clear" w:color="auto" w:fill="D9D9D9" w:themeFill="background1" w:themeFillShade="D9"/>
          </w:tcPr>
          <w:p w14:paraId="45F95CCC" w14:textId="77777777" w:rsidR="00BF34C6" w:rsidRDefault="00BF34C6" w:rsidP="00BF34C6">
            <w:pPr>
              <w:pStyle w:val="SRBodyText"/>
              <w:spacing w:before="0" w:after="0"/>
              <w:jc w:val="center"/>
              <w:rPr>
                <w:rFonts w:eastAsia="Times New Roman" w:cs="Arial"/>
                <w:b/>
                <w:color w:val="000000"/>
                <w:sz w:val="22"/>
                <w:lang w:eastAsia="ar-SA"/>
              </w:rPr>
            </w:pPr>
            <w:r>
              <w:rPr>
                <w:rFonts w:eastAsia="Times New Roman" w:cs="Arial"/>
                <w:b/>
                <w:color w:val="000000"/>
                <w:sz w:val="22"/>
                <w:lang w:eastAsia="ar-SA"/>
              </w:rPr>
              <w:t>Total</w:t>
            </w:r>
          </w:p>
        </w:tc>
      </w:tr>
      <w:tr w:rsidR="00BF34C6" w14:paraId="546A1A60" w14:textId="77777777" w:rsidTr="007D0724">
        <w:trPr>
          <w:jc w:val="center"/>
        </w:trPr>
        <w:tc>
          <w:tcPr>
            <w:tcW w:w="3583" w:type="dxa"/>
            <w:shd w:val="clear" w:color="auto" w:fill="D9D9D9" w:themeFill="background1" w:themeFillShade="D9"/>
          </w:tcPr>
          <w:p w14:paraId="1B4EC2C7" w14:textId="341FBECC" w:rsidR="00BF34C6" w:rsidRDefault="00BF34C6" w:rsidP="00D54F0F">
            <w:pPr>
              <w:pStyle w:val="SRBodyText"/>
              <w:spacing w:before="0" w:after="0"/>
              <w:jc w:val="left"/>
              <w:rPr>
                <w:rFonts w:eastAsia="Times New Roman" w:cs="Arial"/>
                <w:b/>
                <w:color w:val="000000"/>
                <w:sz w:val="22"/>
                <w:lang w:eastAsia="ar-SA"/>
              </w:rPr>
            </w:pPr>
            <w:r>
              <w:rPr>
                <w:rFonts w:eastAsia="Times New Roman" w:cs="Arial"/>
                <w:b/>
                <w:color w:val="000000"/>
                <w:sz w:val="22"/>
                <w:lang w:eastAsia="ar-SA"/>
              </w:rPr>
              <w:t>General Fund</w:t>
            </w:r>
            <w:r w:rsidR="00427B5E">
              <w:rPr>
                <w:rFonts w:eastAsia="Times New Roman" w:cs="Arial"/>
                <w:b/>
                <w:color w:val="000000"/>
                <w:sz w:val="22"/>
                <w:lang w:eastAsia="ar-SA"/>
              </w:rPr>
              <w:t xml:space="preserve"> </w:t>
            </w:r>
            <w:r w:rsidR="005220FA">
              <w:rPr>
                <w:rFonts w:eastAsia="Times New Roman" w:cs="Arial"/>
                <w:b/>
                <w:color w:val="000000"/>
                <w:sz w:val="22"/>
                <w:lang w:eastAsia="ar-SA"/>
              </w:rPr>
              <w:t>– D</w:t>
            </w:r>
            <w:r w:rsidR="00427B5E">
              <w:rPr>
                <w:rFonts w:eastAsia="Times New Roman" w:cs="Arial"/>
                <w:b/>
                <w:color w:val="000000"/>
                <w:sz w:val="22"/>
                <w:lang w:eastAsia="ar-SA"/>
              </w:rPr>
              <w:t>PD</w:t>
            </w:r>
          </w:p>
        </w:tc>
        <w:tc>
          <w:tcPr>
            <w:tcW w:w="1469" w:type="dxa"/>
            <w:shd w:val="clear" w:color="auto" w:fill="D9D9D9" w:themeFill="background1" w:themeFillShade="D9"/>
          </w:tcPr>
          <w:p w14:paraId="3793089C" w14:textId="77777777" w:rsidR="00BF34C6" w:rsidRDefault="00BF34C6" w:rsidP="00BF34C6">
            <w:pPr>
              <w:pStyle w:val="SRBodyText"/>
              <w:spacing w:before="0" w:after="0"/>
              <w:jc w:val="center"/>
              <w:rPr>
                <w:rFonts w:eastAsia="Times New Roman" w:cs="Arial"/>
                <w:b/>
                <w:color w:val="000000"/>
                <w:sz w:val="22"/>
                <w:lang w:eastAsia="ar-SA"/>
              </w:rPr>
            </w:pPr>
          </w:p>
        </w:tc>
        <w:tc>
          <w:tcPr>
            <w:tcW w:w="1457" w:type="dxa"/>
            <w:shd w:val="clear" w:color="auto" w:fill="D9D9D9" w:themeFill="background1" w:themeFillShade="D9"/>
          </w:tcPr>
          <w:p w14:paraId="1EBE2AFB" w14:textId="77777777" w:rsidR="00BF34C6" w:rsidRDefault="00BF34C6" w:rsidP="00BF34C6">
            <w:pPr>
              <w:pStyle w:val="SRBodyText"/>
              <w:spacing w:before="0" w:after="0"/>
              <w:jc w:val="center"/>
              <w:rPr>
                <w:rFonts w:eastAsia="Times New Roman" w:cs="Arial"/>
                <w:b/>
                <w:color w:val="000000"/>
                <w:sz w:val="22"/>
                <w:lang w:eastAsia="ar-SA"/>
              </w:rPr>
            </w:pPr>
          </w:p>
        </w:tc>
        <w:tc>
          <w:tcPr>
            <w:tcW w:w="1527" w:type="dxa"/>
            <w:shd w:val="clear" w:color="auto" w:fill="D9D9D9" w:themeFill="background1" w:themeFillShade="D9"/>
          </w:tcPr>
          <w:p w14:paraId="00839EA7" w14:textId="77777777" w:rsidR="00BF34C6" w:rsidRDefault="00BF34C6" w:rsidP="00BF34C6">
            <w:pPr>
              <w:pStyle w:val="SRBodyText"/>
              <w:spacing w:before="0" w:after="0"/>
              <w:jc w:val="center"/>
              <w:rPr>
                <w:rFonts w:eastAsia="Times New Roman" w:cs="Arial"/>
                <w:b/>
                <w:color w:val="000000"/>
                <w:sz w:val="22"/>
                <w:lang w:eastAsia="ar-SA"/>
              </w:rPr>
            </w:pPr>
          </w:p>
        </w:tc>
      </w:tr>
      <w:tr w:rsidR="005220FA" w14:paraId="67E00616" w14:textId="77777777" w:rsidTr="00D54F0F">
        <w:trPr>
          <w:jc w:val="center"/>
        </w:trPr>
        <w:tc>
          <w:tcPr>
            <w:tcW w:w="3583" w:type="dxa"/>
            <w:shd w:val="clear" w:color="auto" w:fill="D9D9D9" w:themeFill="background1" w:themeFillShade="D9"/>
          </w:tcPr>
          <w:p w14:paraId="54F4CB68" w14:textId="131836DF" w:rsidR="005220FA" w:rsidRDefault="00D54F0F" w:rsidP="00D54F0F">
            <w:pPr>
              <w:pStyle w:val="SRBodyText"/>
              <w:tabs>
                <w:tab w:val="left" w:pos="228"/>
              </w:tabs>
              <w:spacing w:before="0" w:after="0"/>
              <w:jc w:val="left"/>
              <w:rPr>
                <w:rFonts w:eastAsia="Times New Roman" w:cs="Arial"/>
                <w:b/>
                <w:color w:val="000000"/>
                <w:sz w:val="22"/>
                <w:lang w:eastAsia="ar-SA"/>
              </w:rPr>
            </w:pPr>
            <w:r>
              <w:rPr>
                <w:rFonts w:eastAsia="Times New Roman" w:cs="Arial"/>
                <w:b/>
                <w:color w:val="000000"/>
                <w:sz w:val="22"/>
                <w:lang w:eastAsia="ar-SA"/>
              </w:rPr>
              <w:tab/>
            </w:r>
            <w:r w:rsidR="005220FA">
              <w:rPr>
                <w:rFonts w:eastAsia="Times New Roman" w:cs="Arial"/>
                <w:b/>
                <w:color w:val="000000"/>
                <w:sz w:val="22"/>
                <w:lang w:eastAsia="ar-SA"/>
              </w:rPr>
              <w:t>SEIU – Reclassification</w:t>
            </w:r>
          </w:p>
        </w:tc>
        <w:tc>
          <w:tcPr>
            <w:tcW w:w="1469" w:type="dxa"/>
          </w:tcPr>
          <w:p w14:paraId="4E2C43D3" w14:textId="150CF661" w:rsidR="005220FA" w:rsidRPr="005220FA" w:rsidRDefault="005220FA" w:rsidP="005220FA">
            <w:pPr>
              <w:pStyle w:val="SRBodyText"/>
              <w:spacing w:before="0" w:after="0"/>
              <w:jc w:val="right"/>
              <w:rPr>
                <w:rFonts w:eastAsia="Times New Roman" w:cs="Arial"/>
                <w:color w:val="000000"/>
                <w:sz w:val="22"/>
                <w:lang w:eastAsia="ar-SA"/>
              </w:rPr>
            </w:pPr>
            <w:r w:rsidRPr="005220FA">
              <w:rPr>
                <w:sz w:val="22"/>
              </w:rPr>
              <w:t xml:space="preserve"> </w:t>
            </w:r>
            <w:r>
              <w:rPr>
                <w:sz w:val="22"/>
              </w:rPr>
              <w:t>$</w:t>
            </w:r>
            <w:r w:rsidRPr="005220FA">
              <w:rPr>
                <w:sz w:val="22"/>
              </w:rPr>
              <w:t xml:space="preserve">4,091,223 </w:t>
            </w:r>
          </w:p>
        </w:tc>
        <w:tc>
          <w:tcPr>
            <w:tcW w:w="1457" w:type="dxa"/>
          </w:tcPr>
          <w:p w14:paraId="1332D6D6" w14:textId="6979F7F9" w:rsidR="005220FA" w:rsidRPr="005220FA" w:rsidRDefault="005220FA" w:rsidP="005220FA">
            <w:pPr>
              <w:pStyle w:val="SRBodyText"/>
              <w:spacing w:before="0" w:after="0"/>
              <w:jc w:val="right"/>
              <w:rPr>
                <w:rFonts w:eastAsia="Times New Roman" w:cs="Arial"/>
                <w:color w:val="000000"/>
                <w:sz w:val="22"/>
                <w:lang w:eastAsia="ar-SA"/>
              </w:rPr>
            </w:pPr>
            <w:r>
              <w:rPr>
                <w:sz w:val="22"/>
              </w:rPr>
              <w:t>$</w:t>
            </w:r>
            <w:r w:rsidRPr="005220FA">
              <w:rPr>
                <w:sz w:val="22"/>
              </w:rPr>
              <w:t xml:space="preserve">4,513,733 </w:t>
            </w:r>
          </w:p>
        </w:tc>
        <w:tc>
          <w:tcPr>
            <w:tcW w:w="1527" w:type="dxa"/>
          </w:tcPr>
          <w:p w14:paraId="206899C6" w14:textId="2D549219" w:rsidR="005220FA" w:rsidRPr="005220FA" w:rsidRDefault="005220FA" w:rsidP="005220FA">
            <w:pPr>
              <w:pStyle w:val="SRBodyText"/>
              <w:spacing w:before="0" w:after="0"/>
              <w:jc w:val="right"/>
              <w:rPr>
                <w:rFonts w:eastAsia="Times New Roman" w:cs="Arial"/>
                <w:color w:val="000000"/>
                <w:sz w:val="22"/>
                <w:lang w:eastAsia="ar-SA"/>
              </w:rPr>
            </w:pPr>
            <w:r w:rsidRPr="005220FA">
              <w:rPr>
                <w:sz w:val="22"/>
              </w:rPr>
              <w:t xml:space="preserve"> </w:t>
            </w:r>
            <w:r>
              <w:rPr>
                <w:sz w:val="22"/>
              </w:rPr>
              <w:t>$</w:t>
            </w:r>
            <w:r w:rsidRPr="005220FA">
              <w:rPr>
                <w:sz w:val="22"/>
              </w:rPr>
              <w:t xml:space="preserve">8,604,956 </w:t>
            </w:r>
          </w:p>
        </w:tc>
      </w:tr>
      <w:tr w:rsidR="005220FA" w14:paraId="55EC2AF7" w14:textId="77777777" w:rsidTr="00D54F0F">
        <w:trPr>
          <w:jc w:val="center"/>
        </w:trPr>
        <w:tc>
          <w:tcPr>
            <w:tcW w:w="3583" w:type="dxa"/>
            <w:shd w:val="clear" w:color="auto" w:fill="D9D9D9" w:themeFill="background1" w:themeFillShade="D9"/>
          </w:tcPr>
          <w:p w14:paraId="12BF6FDC" w14:textId="122842EB" w:rsidR="005220FA" w:rsidRDefault="00D54F0F" w:rsidP="00E73B59">
            <w:pPr>
              <w:pStyle w:val="SRBodyText"/>
              <w:tabs>
                <w:tab w:val="left" w:pos="228"/>
              </w:tabs>
              <w:spacing w:before="0" w:after="0"/>
              <w:jc w:val="left"/>
              <w:rPr>
                <w:rFonts w:eastAsia="Times New Roman" w:cs="Arial"/>
                <w:b/>
                <w:color w:val="000000"/>
                <w:sz w:val="22"/>
                <w:lang w:eastAsia="ar-SA"/>
              </w:rPr>
            </w:pPr>
            <w:r>
              <w:rPr>
                <w:rFonts w:eastAsia="Times New Roman" w:cs="Arial"/>
                <w:b/>
                <w:color w:val="000000"/>
                <w:sz w:val="22"/>
                <w:lang w:eastAsia="ar-SA"/>
              </w:rPr>
              <w:tab/>
            </w:r>
            <w:r w:rsidR="005220FA">
              <w:rPr>
                <w:rFonts w:eastAsia="Times New Roman" w:cs="Arial"/>
                <w:b/>
                <w:color w:val="000000"/>
                <w:sz w:val="22"/>
                <w:lang w:eastAsia="ar-SA"/>
              </w:rPr>
              <w:t xml:space="preserve">SEIU </w:t>
            </w:r>
            <w:r w:rsidR="00E73B59">
              <w:rPr>
                <w:rFonts w:eastAsia="Times New Roman" w:cs="Arial"/>
                <w:b/>
                <w:color w:val="000000"/>
                <w:sz w:val="22"/>
                <w:lang w:eastAsia="ar-SA"/>
              </w:rPr>
              <w:t>– C</w:t>
            </w:r>
            <w:r w:rsidR="005220FA">
              <w:rPr>
                <w:rFonts w:eastAsia="Times New Roman" w:cs="Arial"/>
                <w:b/>
                <w:color w:val="000000"/>
                <w:sz w:val="22"/>
                <w:lang w:eastAsia="ar-SA"/>
              </w:rPr>
              <w:t>OLAs</w:t>
            </w:r>
          </w:p>
        </w:tc>
        <w:tc>
          <w:tcPr>
            <w:tcW w:w="1469" w:type="dxa"/>
          </w:tcPr>
          <w:p w14:paraId="553318C5" w14:textId="1A12556D" w:rsidR="005220FA" w:rsidRPr="00E25DD9" w:rsidRDefault="00E25DD9" w:rsidP="005220FA">
            <w:pPr>
              <w:pStyle w:val="SRBodyText"/>
              <w:spacing w:before="0" w:after="0"/>
              <w:jc w:val="right"/>
              <w:rPr>
                <w:rFonts w:eastAsia="Times New Roman" w:cs="Arial"/>
                <w:color w:val="000000"/>
                <w:sz w:val="22"/>
                <w:lang w:eastAsia="ar-SA"/>
              </w:rPr>
            </w:pPr>
            <w:r w:rsidRPr="00E25DD9">
              <w:rPr>
                <w:sz w:val="22"/>
              </w:rPr>
              <w:t>$</w:t>
            </w:r>
            <w:r w:rsidR="005220FA" w:rsidRPr="00E25DD9">
              <w:rPr>
                <w:sz w:val="22"/>
              </w:rPr>
              <w:t xml:space="preserve">562,150 </w:t>
            </w:r>
          </w:p>
        </w:tc>
        <w:tc>
          <w:tcPr>
            <w:tcW w:w="1457" w:type="dxa"/>
          </w:tcPr>
          <w:p w14:paraId="244A3335" w14:textId="4C63EEF1" w:rsidR="005220FA" w:rsidRPr="00E25DD9" w:rsidRDefault="005220FA" w:rsidP="005220FA">
            <w:pPr>
              <w:pStyle w:val="SRBodyText"/>
              <w:spacing w:before="0" w:after="0"/>
              <w:jc w:val="right"/>
              <w:rPr>
                <w:rFonts w:eastAsia="Times New Roman" w:cs="Arial"/>
                <w:color w:val="000000"/>
                <w:sz w:val="22"/>
                <w:lang w:eastAsia="ar-SA"/>
              </w:rPr>
            </w:pPr>
            <w:r w:rsidRPr="00E25DD9">
              <w:rPr>
                <w:sz w:val="22"/>
              </w:rPr>
              <w:t xml:space="preserve"> </w:t>
            </w:r>
            <w:r w:rsidR="00E25DD9">
              <w:rPr>
                <w:sz w:val="22"/>
              </w:rPr>
              <w:t>$</w:t>
            </w:r>
            <w:r w:rsidRPr="00E25DD9">
              <w:rPr>
                <w:sz w:val="22"/>
              </w:rPr>
              <w:t xml:space="preserve">1,207,218 </w:t>
            </w:r>
          </w:p>
        </w:tc>
        <w:tc>
          <w:tcPr>
            <w:tcW w:w="1527" w:type="dxa"/>
          </w:tcPr>
          <w:p w14:paraId="4D9B3279" w14:textId="30D2842B" w:rsidR="005220FA" w:rsidRPr="00E25DD9" w:rsidRDefault="005220FA" w:rsidP="005220FA">
            <w:pPr>
              <w:pStyle w:val="SRBodyText"/>
              <w:spacing w:before="0" w:after="0"/>
              <w:jc w:val="right"/>
              <w:rPr>
                <w:rFonts w:eastAsia="Times New Roman" w:cs="Arial"/>
                <w:color w:val="000000"/>
                <w:sz w:val="22"/>
                <w:lang w:eastAsia="ar-SA"/>
              </w:rPr>
            </w:pPr>
            <w:r w:rsidRPr="00E25DD9">
              <w:rPr>
                <w:sz w:val="22"/>
              </w:rPr>
              <w:t xml:space="preserve"> </w:t>
            </w:r>
            <w:r w:rsidR="00E25DD9">
              <w:rPr>
                <w:sz w:val="22"/>
              </w:rPr>
              <w:t>$</w:t>
            </w:r>
            <w:r w:rsidRPr="00E25DD9">
              <w:rPr>
                <w:sz w:val="22"/>
              </w:rPr>
              <w:t xml:space="preserve">1,769,368 </w:t>
            </w:r>
          </w:p>
        </w:tc>
      </w:tr>
      <w:tr w:rsidR="00BF34C6" w14:paraId="6336C0DF" w14:textId="77777777" w:rsidTr="00D54F0F">
        <w:trPr>
          <w:jc w:val="center"/>
        </w:trPr>
        <w:tc>
          <w:tcPr>
            <w:tcW w:w="3583" w:type="dxa"/>
            <w:shd w:val="clear" w:color="auto" w:fill="D9D9D9" w:themeFill="background1" w:themeFillShade="D9"/>
          </w:tcPr>
          <w:p w14:paraId="0582A714" w14:textId="7BE43131" w:rsidR="00BF34C6" w:rsidRDefault="00D54F0F" w:rsidP="00D54F0F">
            <w:pPr>
              <w:pStyle w:val="SRBodyText"/>
              <w:tabs>
                <w:tab w:val="left" w:pos="228"/>
              </w:tabs>
              <w:spacing w:before="0" w:after="0"/>
              <w:jc w:val="left"/>
              <w:rPr>
                <w:rFonts w:eastAsia="Times New Roman" w:cs="Arial"/>
                <w:b/>
                <w:color w:val="000000"/>
                <w:sz w:val="22"/>
                <w:lang w:eastAsia="ar-SA"/>
              </w:rPr>
            </w:pPr>
            <w:r>
              <w:rPr>
                <w:rFonts w:eastAsia="Times New Roman" w:cs="Arial"/>
                <w:b/>
                <w:color w:val="000000"/>
                <w:sz w:val="22"/>
                <w:lang w:eastAsia="ar-SA"/>
              </w:rPr>
              <w:tab/>
            </w:r>
            <w:r w:rsidR="00BF34C6">
              <w:rPr>
                <w:rFonts w:eastAsia="Times New Roman" w:cs="Arial"/>
                <w:b/>
                <w:color w:val="000000"/>
                <w:sz w:val="22"/>
                <w:lang w:eastAsia="ar-SA"/>
              </w:rPr>
              <w:t>PDMG – Reclassification</w:t>
            </w:r>
          </w:p>
        </w:tc>
        <w:tc>
          <w:tcPr>
            <w:tcW w:w="1469" w:type="dxa"/>
          </w:tcPr>
          <w:p w14:paraId="00504CD0" w14:textId="77777777" w:rsidR="00BF34C6" w:rsidRPr="008560A6" w:rsidRDefault="00BF34C6" w:rsidP="005220FA">
            <w:pPr>
              <w:pStyle w:val="SRBodyText"/>
              <w:spacing w:before="0" w:after="0"/>
              <w:jc w:val="right"/>
              <w:rPr>
                <w:rFonts w:eastAsia="Times New Roman" w:cs="Arial"/>
                <w:color w:val="000000"/>
                <w:sz w:val="22"/>
                <w:lang w:eastAsia="ar-SA"/>
              </w:rPr>
            </w:pPr>
            <w:r w:rsidRPr="008560A6">
              <w:rPr>
                <w:rFonts w:eastAsia="Times New Roman" w:cs="Arial"/>
                <w:color w:val="000000"/>
                <w:sz w:val="22"/>
                <w:lang w:eastAsia="ar-SA"/>
              </w:rPr>
              <w:t>$161,983</w:t>
            </w:r>
          </w:p>
        </w:tc>
        <w:tc>
          <w:tcPr>
            <w:tcW w:w="1457" w:type="dxa"/>
          </w:tcPr>
          <w:p w14:paraId="239F70ED" w14:textId="77777777" w:rsidR="00BF34C6" w:rsidRPr="008560A6" w:rsidRDefault="00BF34C6" w:rsidP="005220FA">
            <w:pPr>
              <w:pStyle w:val="SRBodyText"/>
              <w:spacing w:before="0" w:after="0"/>
              <w:jc w:val="right"/>
              <w:rPr>
                <w:rFonts w:eastAsia="Times New Roman" w:cs="Arial"/>
                <w:color w:val="000000"/>
                <w:sz w:val="22"/>
                <w:lang w:eastAsia="ar-SA"/>
              </w:rPr>
            </w:pPr>
            <w:r w:rsidRPr="008560A6">
              <w:rPr>
                <w:rFonts w:eastAsia="Times New Roman" w:cs="Arial"/>
                <w:color w:val="000000"/>
                <w:sz w:val="22"/>
                <w:lang w:eastAsia="ar-SA"/>
              </w:rPr>
              <w:t>$25,854</w:t>
            </w:r>
          </w:p>
        </w:tc>
        <w:tc>
          <w:tcPr>
            <w:tcW w:w="1527" w:type="dxa"/>
          </w:tcPr>
          <w:p w14:paraId="36BBF1C4" w14:textId="77777777" w:rsidR="00BF34C6" w:rsidRPr="008560A6" w:rsidRDefault="00BF34C6" w:rsidP="005220FA">
            <w:pPr>
              <w:pStyle w:val="SRBodyText"/>
              <w:spacing w:before="0" w:after="0"/>
              <w:jc w:val="right"/>
              <w:rPr>
                <w:rFonts w:eastAsia="Times New Roman" w:cs="Arial"/>
                <w:color w:val="000000"/>
                <w:sz w:val="22"/>
                <w:lang w:eastAsia="ar-SA"/>
              </w:rPr>
            </w:pPr>
            <w:r>
              <w:rPr>
                <w:rFonts w:eastAsia="Times New Roman" w:cs="Arial"/>
                <w:color w:val="000000"/>
                <w:sz w:val="22"/>
                <w:lang w:eastAsia="ar-SA"/>
              </w:rPr>
              <w:t>$349,820</w:t>
            </w:r>
          </w:p>
        </w:tc>
      </w:tr>
      <w:tr w:rsidR="00BF34C6" w14:paraId="536E3897" w14:textId="77777777" w:rsidTr="00D54F0F">
        <w:trPr>
          <w:jc w:val="center"/>
        </w:trPr>
        <w:tc>
          <w:tcPr>
            <w:tcW w:w="3583" w:type="dxa"/>
            <w:shd w:val="clear" w:color="auto" w:fill="D9D9D9" w:themeFill="background1" w:themeFillShade="D9"/>
          </w:tcPr>
          <w:p w14:paraId="46920E97" w14:textId="7C400F58" w:rsidR="00BF34C6" w:rsidRDefault="00D54F0F" w:rsidP="00D54F0F">
            <w:pPr>
              <w:pStyle w:val="SRBodyText"/>
              <w:tabs>
                <w:tab w:val="left" w:pos="228"/>
              </w:tabs>
              <w:spacing w:before="0" w:after="0"/>
              <w:jc w:val="left"/>
              <w:rPr>
                <w:rFonts w:eastAsia="Times New Roman" w:cs="Arial"/>
                <w:b/>
                <w:color w:val="000000"/>
                <w:sz w:val="22"/>
                <w:lang w:eastAsia="ar-SA"/>
              </w:rPr>
            </w:pPr>
            <w:r>
              <w:rPr>
                <w:rFonts w:eastAsia="Times New Roman" w:cs="Arial"/>
                <w:b/>
                <w:color w:val="000000"/>
                <w:sz w:val="22"/>
                <w:lang w:eastAsia="ar-SA"/>
              </w:rPr>
              <w:tab/>
            </w:r>
            <w:r w:rsidR="00BF34C6">
              <w:rPr>
                <w:rFonts w:eastAsia="Times New Roman" w:cs="Arial"/>
                <w:b/>
                <w:color w:val="000000"/>
                <w:sz w:val="22"/>
                <w:lang w:eastAsia="ar-SA"/>
              </w:rPr>
              <w:t>PDMG – COLAs</w:t>
            </w:r>
          </w:p>
        </w:tc>
        <w:tc>
          <w:tcPr>
            <w:tcW w:w="1469" w:type="dxa"/>
          </w:tcPr>
          <w:p w14:paraId="6C46A00D" w14:textId="77777777" w:rsidR="00BF34C6" w:rsidRPr="008560A6" w:rsidRDefault="00BF34C6" w:rsidP="005220FA">
            <w:pPr>
              <w:pStyle w:val="SRBodyText"/>
              <w:spacing w:before="0" w:after="0"/>
              <w:jc w:val="right"/>
              <w:rPr>
                <w:rFonts w:eastAsia="Times New Roman" w:cs="Arial"/>
                <w:color w:val="000000"/>
                <w:sz w:val="22"/>
                <w:lang w:eastAsia="ar-SA"/>
              </w:rPr>
            </w:pPr>
            <w:r w:rsidRPr="008560A6">
              <w:rPr>
                <w:rFonts w:eastAsia="Times New Roman" w:cs="Arial"/>
                <w:color w:val="000000"/>
                <w:sz w:val="22"/>
                <w:lang w:eastAsia="ar-SA"/>
              </w:rPr>
              <w:t>$69,885</w:t>
            </w:r>
          </w:p>
        </w:tc>
        <w:tc>
          <w:tcPr>
            <w:tcW w:w="1457" w:type="dxa"/>
          </w:tcPr>
          <w:p w14:paraId="6C7713D2" w14:textId="77777777" w:rsidR="00BF34C6" w:rsidRPr="008560A6" w:rsidRDefault="00BF34C6" w:rsidP="005220FA">
            <w:pPr>
              <w:pStyle w:val="SRBodyText"/>
              <w:spacing w:before="0" w:after="0"/>
              <w:jc w:val="right"/>
              <w:rPr>
                <w:rFonts w:eastAsia="Times New Roman" w:cs="Arial"/>
                <w:color w:val="000000"/>
                <w:sz w:val="22"/>
                <w:lang w:eastAsia="ar-SA"/>
              </w:rPr>
            </w:pPr>
            <w:r w:rsidRPr="008560A6">
              <w:rPr>
                <w:rFonts w:eastAsia="Times New Roman" w:cs="Arial"/>
                <w:color w:val="000000"/>
                <w:sz w:val="22"/>
                <w:lang w:eastAsia="ar-SA"/>
              </w:rPr>
              <w:t>$84,419</w:t>
            </w:r>
          </w:p>
        </w:tc>
        <w:tc>
          <w:tcPr>
            <w:tcW w:w="1527" w:type="dxa"/>
          </w:tcPr>
          <w:p w14:paraId="2F405E4B" w14:textId="77777777" w:rsidR="00BF34C6" w:rsidRPr="008560A6" w:rsidRDefault="00BF34C6" w:rsidP="005220FA">
            <w:pPr>
              <w:pStyle w:val="SRBodyText"/>
              <w:spacing w:before="0" w:after="0"/>
              <w:jc w:val="right"/>
              <w:rPr>
                <w:rFonts w:eastAsia="Times New Roman" w:cs="Arial"/>
                <w:color w:val="000000"/>
                <w:sz w:val="22"/>
                <w:lang w:eastAsia="ar-SA"/>
              </w:rPr>
            </w:pPr>
            <w:r>
              <w:rPr>
                <w:rFonts w:eastAsia="Times New Roman" w:cs="Arial"/>
                <w:color w:val="000000"/>
                <w:sz w:val="22"/>
                <w:lang w:eastAsia="ar-SA"/>
              </w:rPr>
              <w:t>$224,189</w:t>
            </w:r>
          </w:p>
        </w:tc>
      </w:tr>
      <w:tr w:rsidR="00BF34C6" w14:paraId="3242FBFD" w14:textId="77777777" w:rsidTr="00D54F0F">
        <w:trPr>
          <w:jc w:val="center"/>
        </w:trPr>
        <w:tc>
          <w:tcPr>
            <w:tcW w:w="3583" w:type="dxa"/>
            <w:shd w:val="clear" w:color="auto" w:fill="D9D9D9" w:themeFill="background1" w:themeFillShade="D9"/>
          </w:tcPr>
          <w:p w14:paraId="467DCE6C" w14:textId="4099AE8F" w:rsidR="00BF34C6" w:rsidRDefault="00D54F0F" w:rsidP="00D54F0F">
            <w:pPr>
              <w:pStyle w:val="SRBodyText"/>
              <w:tabs>
                <w:tab w:val="left" w:pos="228"/>
              </w:tabs>
              <w:spacing w:before="0" w:after="0"/>
              <w:jc w:val="left"/>
              <w:rPr>
                <w:rFonts w:eastAsia="Times New Roman" w:cs="Arial"/>
                <w:b/>
                <w:color w:val="000000"/>
                <w:sz w:val="22"/>
                <w:lang w:eastAsia="ar-SA"/>
              </w:rPr>
            </w:pPr>
            <w:r>
              <w:rPr>
                <w:rFonts w:eastAsia="Times New Roman" w:cs="Arial"/>
                <w:b/>
                <w:color w:val="000000"/>
                <w:sz w:val="22"/>
                <w:lang w:eastAsia="ar-SA"/>
              </w:rPr>
              <w:tab/>
            </w:r>
            <w:r w:rsidR="00BF34C6">
              <w:rPr>
                <w:rFonts w:eastAsia="Times New Roman" w:cs="Arial"/>
                <w:b/>
                <w:color w:val="000000"/>
                <w:sz w:val="22"/>
                <w:lang w:eastAsia="ar-SA"/>
              </w:rPr>
              <w:t>Total Cost for 2015-2016</w:t>
            </w:r>
          </w:p>
        </w:tc>
        <w:tc>
          <w:tcPr>
            <w:tcW w:w="1469" w:type="dxa"/>
            <w:shd w:val="clear" w:color="auto" w:fill="D9D9D9" w:themeFill="background1" w:themeFillShade="D9"/>
          </w:tcPr>
          <w:p w14:paraId="6364EFB5" w14:textId="11D8C520" w:rsidR="00BF34C6" w:rsidRPr="00AB2374" w:rsidRDefault="00BF34C6" w:rsidP="005220FA">
            <w:pPr>
              <w:pStyle w:val="SRBodyText"/>
              <w:spacing w:before="0" w:after="0"/>
              <w:jc w:val="right"/>
              <w:rPr>
                <w:rFonts w:eastAsia="Times New Roman" w:cs="Arial"/>
                <w:b/>
                <w:color w:val="000000"/>
                <w:sz w:val="22"/>
                <w:lang w:eastAsia="ar-SA"/>
              </w:rPr>
            </w:pPr>
          </w:p>
        </w:tc>
        <w:tc>
          <w:tcPr>
            <w:tcW w:w="1457" w:type="dxa"/>
            <w:shd w:val="clear" w:color="auto" w:fill="D9D9D9" w:themeFill="background1" w:themeFillShade="D9"/>
          </w:tcPr>
          <w:p w14:paraId="324CD0DD" w14:textId="16DC05D7" w:rsidR="00BF34C6" w:rsidRPr="00AB2374" w:rsidRDefault="00BF34C6" w:rsidP="005220FA">
            <w:pPr>
              <w:pStyle w:val="SRBodyText"/>
              <w:spacing w:before="0" w:after="0"/>
              <w:jc w:val="right"/>
              <w:rPr>
                <w:rFonts w:eastAsia="Times New Roman" w:cs="Arial"/>
                <w:b/>
                <w:color w:val="000000"/>
                <w:sz w:val="22"/>
                <w:lang w:eastAsia="ar-SA"/>
              </w:rPr>
            </w:pPr>
          </w:p>
        </w:tc>
        <w:tc>
          <w:tcPr>
            <w:tcW w:w="1527" w:type="dxa"/>
          </w:tcPr>
          <w:p w14:paraId="47F58D85" w14:textId="2EE61F69" w:rsidR="00BF34C6" w:rsidRPr="00F00006" w:rsidRDefault="00E25DD9" w:rsidP="005220FA">
            <w:pPr>
              <w:pStyle w:val="SRBodyText"/>
              <w:spacing w:before="0" w:after="0"/>
              <w:jc w:val="right"/>
              <w:rPr>
                <w:rFonts w:eastAsia="Times New Roman" w:cs="Arial"/>
                <w:color w:val="000000"/>
                <w:sz w:val="22"/>
                <w:lang w:eastAsia="ar-SA"/>
              </w:rPr>
            </w:pPr>
            <w:r w:rsidRPr="00F00006">
              <w:rPr>
                <w:rFonts w:eastAsia="Times New Roman" w:cs="Arial"/>
                <w:color w:val="000000"/>
                <w:sz w:val="22"/>
                <w:lang w:eastAsia="ar-SA"/>
              </w:rPr>
              <w:t>$10,948,333</w:t>
            </w:r>
          </w:p>
        </w:tc>
      </w:tr>
      <w:tr w:rsidR="00427B5E" w14:paraId="593AA73A" w14:textId="77777777" w:rsidTr="00690B34">
        <w:trPr>
          <w:jc w:val="center"/>
        </w:trPr>
        <w:tc>
          <w:tcPr>
            <w:tcW w:w="3583" w:type="dxa"/>
            <w:shd w:val="clear" w:color="auto" w:fill="D9D9D9" w:themeFill="background1" w:themeFillShade="D9"/>
          </w:tcPr>
          <w:p w14:paraId="333992E9" w14:textId="38C5A068" w:rsidR="00427B5E" w:rsidRDefault="00D54F0F" w:rsidP="00D54F0F">
            <w:pPr>
              <w:pStyle w:val="SRBodyText"/>
              <w:tabs>
                <w:tab w:val="left" w:pos="228"/>
              </w:tabs>
              <w:spacing w:before="0" w:after="0"/>
              <w:ind w:left="228" w:hanging="228"/>
              <w:jc w:val="left"/>
              <w:rPr>
                <w:rFonts w:eastAsia="Times New Roman" w:cs="Arial"/>
                <w:b/>
                <w:color w:val="000000"/>
                <w:sz w:val="22"/>
                <w:lang w:eastAsia="ar-SA"/>
              </w:rPr>
            </w:pPr>
            <w:r>
              <w:rPr>
                <w:rFonts w:eastAsia="Times New Roman" w:cs="Arial"/>
                <w:b/>
                <w:color w:val="000000"/>
                <w:sz w:val="22"/>
                <w:lang w:eastAsia="ar-SA"/>
              </w:rPr>
              <w:tab/>
            </w:r>
            <w:r w:rsidR="00E25DD9">
              <w:rPr>
                <w:rFonts w:eastAsia="Times New Roman" w:cs="Arial"/>
                <w:b/>
                <w:color w:val="000000"/>
                <w:sz w:val="22"/>
                <w:lang w:eastAsia="ar-SA"/>
              </w:rPr>
              <w:t xml:space="preserve">COLA included in staffing supplemental </w:t>
            </w:r>
            <w:r>
              <w:rPr>
                <w:rFonts w:eastAsia="Times New Roman" w:cs="Arial"/>
                <w:b/>
                <w:color w:val="000000"/>
                <w:sz w:val="22"/>
                <w:lang w:eastAsia="ar-SA"/>
              </w:rPr>
              <w:t>a</w:t>
            </w:r>
            <w:r w:rsidR="00E25DD9">
              <w:rPr>
                <w:rFonts w:eastAsia="Times New Roman" w:cs="Arial"/>
                <w:b/>
                <w:color w:val="000000"/>
                <w:sz w:val="22"/>
                <w:lang w:eastAsia="ar-SA"/>
              </w:rPr>
              <w:t>ppropriation</w:t>
            </w:r>
          </w:p>
        </w:tc>
        <w:tc>
          <w:tcPr>
            <w:tcW w:w="1469" w:type="dxa"/>
            <w:shd w:val="clear" w:color="auto" w:fill="D9D9D9" w:themeFill="background1" w:themeFillShade="D9"/>
          </w:tcPr>
          <w:p w14:paraId="42C5C3D8" w14:textId="77777777" w:rsidR="00427B5E" w:rsidRPr="00AB2374" w:rsidRDefault="00427B5E" w:rsidP="005220FA">
            <w:pPr>
              <w:pStyle w:val="SRBodyText"/>
              <w:spacing w:before="0" w:after="0"/>
              <w:jc w:val="right"/>
              <w:rPr>
                <w:rFonts w:eastAsia="Times New Roman" w:cs="Arial"/>
                <w:b/>
                <w:color w:val="000000"/>
                <w:sz w:val="22"/>
                <w:lang w:eastAsia="ar-SA"/>
              </w:rPr>
            </w:pPr>
          </w:p>
        </w:tc>
        <w:tc>
          <w:tcPr>
            <w:tcW w:w="1457" w:type="dxa"/>
            <w:shd w:val="clear" w:color="auto" w:fill="D9D9D9" w:themeFill="background1" w:themeFillShade="D9"/>
          </w:tcPr>
          <w:p w14:paraId="37F70F15" w14:textId="77777777" w:rsidR="00427B5E" w:rsidRPr="00AB2374" w:rsidRDefault="00427B5E" w:rsidP="005220FA">
            <w:pPr>
              <w:pStyle w:val="SRBodyText"/>
              <w:spacing w:before="0" w:after="0"/>
              <w:jc w:val="right"/>
              <w:rPr>
                <w:rFonts w:eastAsia="Times New Roman" w:cs="Arial"/>
                <w:b/>
                <w:color w:val="000000"/>
                <w:sz w:val="22"/>
                <w:lang w:eastAsia="ar-SA"/>
              </w:rPr>
            </w:pPr>
          </w:p>
        </w:tc>
        <w:tc>
          <w:tcPr>
            <w:tcW w:w="1527" w:type="dxa"/>
            <w:vAlign w:val="center"/>
          </w:tcPr>
          <w:p w14:paraId="1C0A7BC3" w14:textId="35B175CC" w:rsidR="00427B5E" w:rsidRPr="00F00006" w:rsidRDefault="00D54F0F" w:rsidP="005220FA">
            <w:pPr>
              <w:pStyle w:val="SRBodyText"/>
              <w:spacing w:before="0" w:after="0"/>
              <w:jc w:val="right"/>
              <w:rPr>
                <w:rFonts w:eastAsia="Times New Roman" w:cs="Arial"/>
                <w:color w:val="000000"/>
                <w:sz w:val="22"/>
                <w:lang w:eastAsia="ar-SA"/>
              </w:rPr>
            </w:pPr>
            <w:r w:rsidRPr="00F00006">
              <w:rPr>
                <w:rFonts w:eastAsia="Times New Roman" w:cs="Arial"/>
                <w:color w:val="000000"/>
                <w:sz w:val="22"/>
                <w:lang w:eastAsia="ar-SA"/>
              </w:rPr>
              <w:t>($2,025,369)</w:t>
            </w:r>
          </w:p>
        </w:tc>
      </w:tr>
      <w:tr w:rsidR="00427B5E" w14:paraId="03B342D3" w14:textId="77777777" w:rsidTr="00F00006">
        <w:trPr>
          <w:jc w:val="center"/>
        </w:trPr>
        <w:tc>
          <w:tcPr>
            <w:tcW w:w="3583" w:type="dxa"/>
            <w:shd w:val="clear" w:color="auto" w:fill="D9D9D9" w:themeFill="background1" w:themeFillShade="D9"/>
          </w:tcPr>
          <w:p w14:paraId="1C3EC91F" w14:textId="22F18807" w:rsidR="00427B5E" w:rsidRDefault="00D54F0F" w:rsidP="00D54F0F">
            <w:pPr>
              <w:pStyle w:val="SRBodyText"/>
              <w:tabs>
                <w:tab w:val="left" w:pos="228"/>
              </w:tabs>
              <w:spacing w:before="0" w:after="0"/>
              <w:jc w:val="left"/>
              <w:rPr>
                <w:rFonts w:eastAsia="Times New Roman" w:cs="Arial"/>
                <w:b/>
                <w:color w:val="000000"/>
                <w:sz w:val="22"/>
                <w:lang w:eastAsia="ar-SA"/>
              </w:rPr>
            </w:pPr>
            <w:r>
              <w:rPr>
                <w:rFonts w:eastAsia="Times New Roman" w:cs="Arial"/>
                <w:b/>
                <w:color w:val="000000"/>
                <w:sz w:val="22"/>
                <w:lang w:eastAsia="ar-SA"/>
              </w:rPr>
              <w:tab/>
              <w:t>Total Supplemental Need</w:t>
            </w:r>
          </w:p>
        </w:tc>
        <w:tc>
          <w:tcPr>
            <w:tcW w:w="1469" w:type="dxa"/>
            <w:shd w:val="clear" w:color="auto" w:fill="D9D9D9" w:themeFill="background1" w:themeFillShade="D9"/>
          </w:tcPr>
          <w:p w14:paraId="2FB65BB7" w14:textId="77777777" w:rsidR="00427B5E" w:rsidRPr="00AB2374" w:rsidRDefault="00427B5E" w:rsidP="005220FA">
            <w:pPr>
              <w:pStyle w:val="SRBodyText"/>
              <w:spacing w:before="0" w:after="0"/>
              <w:jc w:val="right"/>
              <w:rPr>
                <w:rFonts w:eastAsia="Times New Roman" w:cs="Arial"/>
                <w:b/>
                <w:color w:val="000000"/>
                <w:sz w:val="22"/>
                <w:lang w:eastAsia="ar-SA"/>
              </w:rPr>
            </w:pPr>
          </w:p>
        </w:tc>
        <w:tc>
          <w:tcPr>
            <w:tcW w:w="1457" w:type="dxa"/>
            <w:shd w:val="clear" w:color="auto" w:fill="D9D9D9" w:themeFill="background1" w:themeFillShade="D9"/>
          </w:tcPr>
          <w:p w14:paraId="01E950D4" w14:textId="77777777" w:rsidR="00427B5E" w:rsidRPr="00AB2374" w:rsidRDefault="00427B5E" w:rsidP="005220FA">
            <w:pPr>
              <w:pStyle w:val="SRBodyText"/>
              <w:spacing w:before="0" w:after="0"/>
              <w:jc w:val="right"/>
              <w:rPr>
                <w:rFonts w:eastAsia="Times New Roman" w:cs="Arial"/>
                <w:b/>
                <w:color w:val="000000"/>
                <w:sz w:val="22"/>
                <w:lang w:eastAsia="ar-SA"/>
              </w:rPr>
            </w:pPr>
          </w:p>
        </w:tc>
        <w:tc>
          <w:tcPr>
            <w:tcW w:w="1527" w:type="dxa"/>
          </w:tcPr>
          <w:p w14:paraId="6ECE8438" w14:textId="7400D39F" w:rsidR="00427B5E" w:rsidRPr="00AB2374" w:rsidRDefault="00D54F0F" w:rsidP="005220FA">
            <w:pPr>
              <w:pStyle w:val="SRBodyText"/>
              <w:spacing w:before="0" w:after="0"/>
              <w:jc w:val="right"/>
              <w:rPr>
                <w:rFonts w:eastAsia="Times New Roman" w:cs="Arial"/>
                <w:b/>
                <w:color w:val="000000"/>
                <w:sz w:val="22"/>
                <w:lang w:eastAsia="ar-SA"/>
              </w:rPr>
            </w:pPr>
            <w:r>
              <w:rPr>
                <w:rFonts w:eastAsia="Times New Roman" w:cs="Arial"/>
                <w:b/>
                <w:color w:val="000000"/>
                <w:sz w:val="22"/>
                <w:lang w:eastAsia="ar-SA"/>
              </w:rPr>
              <w:t>$8,923,000</w:t>
            </w:r>
          </w:p>
        </w:tc>
      </w:tr>
      <w:tr w:rsidR="00427B5E" w14:paraId="74B1A319" w14:textId="77777777" w:rsidTr="001D4C8F">
        <w:trPr>
          <w:jc w:val="center"/>
        </w:trPr>
        <w:tc>
          <w:tcPr>
            <w:tcW w:w="3583" w:type="dxa"/>
            <w:shd w:val="clear" w:color="auto" w:fill="D9D9D9" w:themeFill="background1" w:themeFillShade="D9"/>
          </w:tcPr>
          <w:p w14:paraId="299E3A08" w14:textId="52461656" w:rsidR="00427B5E" w:rsidRDefault="00427B5E" w:rsidP="00D54F0F">
            <w:pPr>
              <w:pStyle w:val="SRBodyText"/>
              <w:spacing w:before="0" w:after="0"/>
              <w:jc w:val="left"/>
              <w:rPr>
                <w:rFonts w:eastAsia="Times New Roman" w:cs="Arial"/>
                <w:b/>
                <w:color w:val="000000"/>
                <w:sz w:val="22"/>
                <w:lang w:eastAsia="ar-SA"/>
              </w:rPr>
            </w:pPr>
          </w:p>
        </w:tc>
        <w:tc>
          <w:tcPr>
            <w:tcW w:w="1469" w:type="dxa"/>
            <w:shd w:val="clear" w:color="auto" w:fill="D9D9D9" w:themeFill="background1" w:themeFillShade="D9"/>
          </w:tcPr>
          <w:p w14:paraId="3624FD67" w14:textId="77777777" w:rsidR="00427B5E" w:rsidRPr="00AB2374" w:rsidRDefault="00427B5E" w:rsidP="005220FA">
            <w:pPr>
              <w:pStyle w:val="SRBodyText"/>
              <w:spacing w:before="0" w:after="0"/>
              <w:jc w:val="right"/>
              <w:rPr>
                <w:rFonts w:eastAsia="Times New Roman" w:cs="Arial"/>
                <w:b/>
                <w:color w:val="000000"/>
                <w:sz w:val="22"/>
                <w:lang w:eastAsia="ar-SA"/>
              </w:rPr>
            </w:pPr>
          </w:p>
        </w:tc>
        <w:tc>
          <w:tcPr>
            <w:tcW w:w="1457" w:type="dxa"/>
            <w:shd w:val="clear" w:color="auto" w:fill="D9D9D9" w:themeFill="background1" w:themeFillShade="D9"/>
          </w:tcPr>
          <w:p w14:paraId="441A309C" w14:textId="77777777" w:rsidR="00427B5E" w:rsidRPr="00AB2374" w:rsidRDefault="00427B5E" w:rsidP="005220FA">
            <w:pPr>
              <w:pStyle w:val="SRBodyText"/>
              <w:spacing w:before="0" w:after="0"/>
              <w:jc w:val="right"/>
              <w:rPr>
                <w:rFonts w:eastAsia="Times New Roman" w:cs="Arial"/>
                <w:b/>
                <w:color w:val="000000"/>
                <w:sz w:val="22"/>
                <w:lang w:eastAsia="ar-SA"/>
              </w:rPr>
            </w:pPr>
          </w:p>
        </w:tc>
        <w:tc>
          <w:tcPr>
            <w:tcW w:w="1527" w:type="dxa"/>
            <w:shd w:val="clear" w:color="auto" w:fill="D9D9D9" w:themeFill="background1" w:themeFillShade="D9"/>
          </w:tcPr>
          <w:p w14:paraId="3BC7A27F" w14:textId="77777777" w:rsidR="00427B5E" w:rsidRPr="00AB2374" w:rsidRDefault="00427B5E" w:rsidP="005220FA">
            <w:pPr>
              <w:pStyle w:val="SRBodyText"/>
              <w:spacing w:before="0" w:after="0"/>
              <w:jc w:val="right"/>
              <w:rPr>
                <w:rFonts w:eastAsia="Times New Roman" w:cs="Arial"/>
                <w:b/>
                <w:color w:val="000000"/>
                <w:sz w:val="22"/>
                <w:lang w:eastAsia="ar-SA"/>
              </w:rPr>
            </w:pPr>
          </w:p>
        </w:tc>
      </w:tr>
      <w:tr w:rsidR="00427B5E" w14:paraId="7ED3B9C1" w14:textId="77777777" w:rsidTr="00F00006">
        <w:trPr>
          <w:jc w:val="center"/>
        </w:trPr>
        <w:tc>
          <w:tcPr>
            <w:tcW w:w="3583" w:type="dxa"/>
            <w:shd w:val="clear" w:color="auto" w:fill="D9D9D9" w:themeFill="background1" w:themeFillShade="D9"/>
          </w:tcPr>
          <w:p w14:paraId="4BD86EEB" w14:textId="65D3CE7C" w:rsidR="00427B5E" w:rsidRDefault="00F00006" w:rsidP="006F223E">
            <w:pPr>
              <w:pStyle w:val="SRBodyText"/>
              <w:keepNext/>
              <w:spacing w:before="0" w:after="0"/>
              <w:jc w:val="left"/>
              <w:rPr>
                <w:rFonts w:eastAsia="Times New Roman" w:cs="Arial"/>
                <w:b/>
                <w:color w:val="000000"/>
                <w:sz w:val="22"/>
                <w:lang w:eastAsia="ar-SA"/>
              </w:rPr>
            </w:pPr>
            <w:r>
              <w:rPr>
                <w:rFonts w:eastAsia="Times New Roman" w:cs="Arial"/>
                <w:b/>
                <w:color w:val="000000"/>
                <w:sz w:val="22"/>
                <w:lang w:eastAsia="ar-SA"/>
              </w:rPr>
              <w:t>MIDD – DPD</w:t>
            </w:r>
          </w:p>
        </w:tc>
        <w:tc>
          <w:tcPr>
            <w:tcW w:w="1469" w:type="dxa"/>
            <w:shd w:val="clear" w:color="auto" w:fill="D9D9D9" w:themeFill="background1" w:themeFillShade="D9"/>
          </w:tcPr>
          <w:p w14:paraId="4923FF1E" w14:textId="77777777" w:rsidR="00427B5E" w:rsidRPr="00AB2374" w:rsidRDefault="00427B5E" w:rsidP="006F223E">
            <w:pPr>
              <w:pStyle w:val="SRBodyText"/>
              <w:keepNext/>
              <w:spacing w:before="0" w:after="0"/>
              <w:jc w:val="right"/>
              <w:rPr>
                <w:rFonts w:eastAsia="Times New Roman" w:cs="Arial"/>
                <w:b/>
                <w:color w:val="000000"/>
                <w:sz w:val="22"/>
                <w:lang w:eastAsia="ar-SA"/>
              </w:rPr>
            </w:pPr>
          </w:p>
        </w:tc>
        <w:tc>
          <w:tcPr>
            <w:tcW w:w="1457" w:type="dxa"/>
            <w:shd w:val="clear" w:color="auto" w:fill="D9D9D9" w:themeFill="background1" w:themeFillShade="D9"/>
          </w:tcPr>
          <w:p w14:paraId="04FF0243" w14:textId="77777777" w:rsidR="00427B5E" w:rsidRPr="00AB2374" w:rsidRDefault="00427B5E" w:rsidP="006F223E">
            <w:pPr>
              <w:pStyle w:val="SRBodyText"/>
              <w:keepNext/>
              <w:spacing w:before="0" w:after="0"/>
              <w:jc w:val="right"/>
              <w:rPr>
                <w:rFonts w:eastAsia="Times New Roman" w:cs="Arial"/>
                <w:b/>
                <w:color w:val="000000"/>
                <w:sz w:val="22"/>
                <w:lang w:eastAsia="ar-SA"/>
              </w:rPr>
            </w:pPr>
          </w:p>
        </w:tc>
        <w:tc>
          <w:tcPr>
            <w:tcW w:w="1527" w:type="dxa"/>
            <w:shd w:val="clear" w:color="auto" w:fill="D9D9D9" w:themeFill="background1" w:themeFillShade="D9"/>
          </w:tcPr>
          <w:p w14:paraId="46066815" w14:textId="77777777" w:rsidR="00427B5E" w:rsidRPr="00AB2374" w:rsidRDefault="00427B5E" w:rsidP="006F223E">
            <w:pPr>
              <w:pStyle w:val="SRBodyText"/>
              <w:keepNext/>
              <w:spacing w:before="0" w:after="0"/>
              <w:jc w:val="right"/>
              <w:rPr>
                <w:rFonts w:eastAsia="Times New Roman" w:cs="Arial"/>
                <w:b/>
                <w:color w:val="000000"/>
                <w:sz w:val="22"/>
                <w:lang w:eastAsia="ar-SA"/>
              </w:rPr>
            </w:pPr>
          </w:p>
        </w:tc>
      </w:tr>
      <w:tr w:rsidR="00F00006" w14:paraId="70FBA3C3" w14:textId="77777777" w:rsidTr="00D54F0F">
        <w:trPr>
          <w:jc w:val="center"/>
        </w:trPr>
        <w:tc>
          <w:tcPr>
            <w:tcW w:w="3583" w:type="dxa"/>
            <w:shd w:val="clear" w:color="auto" w:fill="D9D9D9" w:themeFill="background1" w:themeFillShade="D9"/>
          </w:tcPr>
          <w:p w14:paraId="1BAA3B80" w14:textId="01220CDC" w:rsidR="00F00006" w:rsidRDefault="00F00006" w:rsidP="006F223E">
            <w:pPr>
              <w:pStyle w:val="SRBodyText"/>
              <w:keepNext/>
              <w:tabs>
                <w:tab w:val="left" w:pos="228"/>
              </w:tabs>
              <w:spacing w:before="0" w:after="0"/>
              <w:jc w:val="left"/>
              <w:rPr>
                <w:rFonts w:eastAsia="Times New Roman" w:cs="Arial"/>
                <w:b/>
                <w:color w:val="000000"/>
                <w:sz w:val="22"/>
                <w:lang w:eastAsia="ar-SA"/>
              </w:rPr>
            </w:pPr>
            <w:r>
              <w:rPr>
                <w:rFonts w:eastAsia="Times New Roman" w:cs="Arial"/>
                <w:b/>
                <w:color w:val="000000"/>
                <w:sz w:val="22"/>
                <w:lang w:eastAsia="ar-SA"/>
              </w:rPr>
              <w:tab/>
              <w:t>SEIU – Reclassification</w:t>
            </w:r>
          </w:p>
        </w:tc>
        <w:tc>
          <w:tcPr>
            <w:tcW w:w="1469" w:type="dxa"/>
          </w:tcPr>
          <w:p w14:paraId="6CB95E03" w14:textId="47A9D3D0" w:rsidR="00F00006" w:rsidRPr="00F00006" w:rsidRDefault="00F00006" w:rsidP="006F223E">
            <w:pPr>
              <w:pStyle w:val="SRBodyText"/>
              <w:keepNext/>
              <w:spacing w:before="0" w:after="0"/>
              <w:jc w:val="right"/>
              <w:rPr>
                <w:rFonts w:eastAsia="Times New Roman" w:cs="Arial"/>
                <w:b/>
                <w:color w:val="000000"/>
                <w:sz w:val="22"/>
                <w:lang w:eastAsia="ar-SA"/>
              </w:rPr>
            </w:pPr>
            <w:r w:rsidRPr="00F00006">
              <w:rPr>
                <w:sz w:val="22"/>
              </w:rPr>
              <w:t xml:space="preserve"> </w:t>
            </w:r>
            <w:r>
              <w:rPr>
                <w:sz w:val="22"/>
              </w:rPr>
              <w:t>$</w:t>
            </w:r>
            <w:r w:rsidRPr="00F00006">
              <w:rPr>
                <w:sz w:val="22"/>
              </w:rPr>
              <w:t xml:space="preserve">143,688 </w:t>
            </w:r>
          </w:p>
        </w:tc>
        <w:tc>
          <w:tcPr>
            <w:tcW w:w="1457" w:type="dxa"/>
          </w:tcPr>
          <w:p w14:paraId="1E5881FE" w14:textId="592FB17F" w:rsidR="00F00006" w:rsidRPr="00F00006" w:rsidRDefault="00F00006" w:rsidP="006F223E">
            <w:pPr>
              <w:pStyle w:val="SRBodyText"/>
              <w:keepNext/>
              <w:spacing w:before="0" w:after="0"/>
              <w:jc w:val="right"/>
              <w:rPr>
                <w:rFonts w:eastAsia="Times New Roman" w:cs="Arial"/>
                <w:b/>
                <w:color w:val="000000"/>
                <w:sz w:val="22"/>
                <w:lang w:eastAsia="ar-SA"/>
              </w:rPr>
            </w:pPr>
            <w:r w:rsidRPr="00F00006">
              <w:rPr>
                <w:sz w:val="22"/>
              </w:rPr>
              <w:t xml:space="preserve"> </w:t>
            </w:r>
            <w:r>
              <w:rPr>
                <w:sz w:val="22"/>
              </w:rPr>
              <w:t>$</w:t>
            </w:r>
            <w:r w:rsidRPr="00F00006">
              <w:rPr>
                <w:sz w:val="22"/>
              </w:rPr>
              <w:t xml:space="preserve">178,764 </w:t>
            </w:r>
          </w:p>
        </w:tc>
        <w:tc>
          <w:tcPr>
            <w:tcW w:w="1527" w:type="dxa"/>
          </w:tcPr>
          <w:p w14:paraId="447FAC23" w14:textId="15B9344C" w:rsidR="00F00006" w:rsidRPr="00F00006" w:rsidRDefault="00F00006" w:rsidP="006F223E">
            <w:pPr>
              <w:pStyle w:val="SRBodyText"/>
              <w:keepNext/>
              <w:spacing w:before="0" w:after="0"/>
              <w:jc w:val="right"/>
              <w:rPr>
                <w:rFonts w:eastAsia="Times New Roman" w:cs="Arial"/>
                <w:b/>
                <w:color w:val="000000"/>
                <w:sz w:val="22"/>
                <w:lang w:eastAsia="ar-SA"/>
              </w:rPr>
            </w:pPr>
            <w:r w:rsidRPr="00F00006">
              <w:rPr>
                <w:sz w:val="22"/>
              </w:rPr>
              <w:t xml:space="preserve"> </w:t>
            </w:r>
            <w:r>
              <w:rPr>
                <w:sz w:val="22"/>
              </w:rPr>
              <w:t>$</w:t>
            </w:r>
            <w:r w:rsidRPr="00F00006">
              <w:rPr>
                <w:sz w:val="22"/>
              </w:rPr>
              <w:t xml:space="preserve">322,452 </w:t>
            </w:r>
          </w:p>
        </w:tc>
      </w:tr>
      <w:tr w:rsidR="00F00006" w14:paraId="268F0C13" w14:textId="77777777" w:rsidTr="00D54F0F">
        <w:trPr>
          <w:jc w:val="center"/>
        </w:trPr>
        <w:tc>
          <w:tcPr>
            <w:tcW w:w="3583" w:type="dxa"/>
            <w:shd w:val="clear" w:color="auto" w:fill="D9D9D9" w:themeFill="background1" w:themeFillShade="D9"/>
          </w:tcPr>
          <w:p w14:paraId="2BFBEEE4" w14:textId="1253FA70" w:rsidR="00F00006" w:rsidRDefault="00F00006" w:rsidP="00F00006">
            <w:pPr>
              <w:pStyle w:val="SRBodyText"/>
              <w:tabs>
                <w:tab w:val="left" w:pos="228"/>
              </w:tabs>
              <w:spacing w:before="0" w:after="0"/>
              <w:jc w:val="left"/>
              <w:rPr>
                <w:rFonts w:eastAsia="Times New Roman" w:cs="Arial"/>
                <w:b/>
                <w:color w:val="000000"/>
                <w:sz w:val="22"/>
                <w:lang w:eastAsia="ar-SA"/>
              </w:rPr>
            </w:pPr>
            <w:r>
              <w:rPr>
                <w:rFonts w:eastAsia="Times New Roman" w:cs="Arial"/>
                <w:b/>
                <w:color w:val="000000"/>
                <w:sz w:val="22"/>
                <w:lang w:eastAsia="ar-SA"/>
              </w:rPr>
              <w:tab/>
              <w:t>SEIU -- COLAs</w:t>
            </w:r>
          </w:p>
        </w:tc>
        <w:tc>
          <w:tcPr>
            <w:tcW w:w="1469" w:type="dxa"/>
          </w:tcPr>
          <w:p w14:paraId="7B086A2E" w14:textId="1FF65F67" w:rsidR="00F00006" w:rsidRPr="00F00006" w:rsidRDefault="00F00006" w:rsidP="00F00006">
            <w:pPr>
              <w:pStyle w:val="SRBodyText"/>
              <w:spacing w:before="0" w:after="0"/>
              <w:jc w:val="right"/>
              <w:rPr>
                <w:rFonts w:eastAsia="Times New Roman" w:cs="Arial"/>
                <w:b/>
                <w:color w:val="000000"/>
                <w:sz w:val="22"/>
                <w:lang w:eastAsia="ar-SA"/>
              </w:rPr>
            </w:pPr>
            <w:r>
              <w:rPr>
                <w:sz w:val="22"/>
              </w:rPr>
              <w:t>$</w:t>
            </w:r>
            <w:r w:rsidRPr="00F00006">
              <w:rPr>
                <w:sz w:val="22"/>
              </w:rPr>
              <w:t xml:space="preserve">17,511 </w:t>
            </w:r>
          </w:p>
        </w:tc>
        <w:tc>
          <w:tcPr>
            <w:tcW w:w="1457" w:type="dxa"/>
          </w:tcPr>
          <w:p w14:paraId="0CDE6040" w14:textId="49B6B4E1" w:rsidR="00F00006" w:rsidRPr="00F00006" w:rsidRDefault="00F00006" w:rsidP="00F00006">
            <w:pPr>
              <w:pStyle w:val="SRBodyText"/>
              <w:spacing w:before="0" w:after="0"/>
              <w:jc w:val="right"/>
              <w:rPr>
                <w:rFonts w:eastAsia="Times New Roman" w:cs="Arial"/>
                <w:b/>
                <w:color w:val="000000"/>
                <w:sz w:val="22"/>
                <w:lang w:eastAsia="ar-SA"/>
              </w:rPr>
            </w:pPr>
            <w:r w:rsidRPr="00F00006">
              <w:rPr>
                <w:sz w:val="22"/>
              </w:rPr>
              <w:t xml:space="preserve"> </w:t>
            </w:r>
            <w:r>
              <w:rPr>
                <w:sz w:val="22"/>
              </w:rPr>
              <w:t>$</w:t>
            </w:r>
            <w:r w:rsidRPr="00F00006">
              <w:rPr>
                <w:sz w:val="22"/>
              </w:rPr>
              <w:t xml:space="preserve">37,604 </w:t>
            </w:r>
          </w:p>
        </w:tc>
        <w:tc>
          <w:tcPr>
            <w:tcW w:w="1527" w:type="dxa"/>
          </w:tcPr>
          <w:p w14:paraId="4A1F1C57" w14:textId="0145FA01" w:rsidR="00F00006" w:rsidRPr="00F00006" w:rsidRDefault="00F00006" w:rsidP="00F00006">
            <w:pPr>
              <w:pStyle w:val="SRBodyText"/>
              <w:spacing w:before="0" w:after="0"/>
              <w:jc w:val="right"/>
              <w:rPr>
                <w:rFonts w:eastAsia="Times New Roman" w:cs="Arial"/>
                <w:b/>
                <w:color w:val="000000"/>
                <w:sz w:val="22"/>
                <w:lang w:eastAsia="ar-SA"/>
              </w:rPr>
            </w:pPr>
            <w:r w:rsidRPr="00F00006">
              <w:rPr>
                <w:sz w:val="22"/>
              </w:rPr>
              <w:t xml:space="preserve"> </w:t>
            </w:r>
            <w:r>
              <w:rPr>
                <w:sz w:val="22"/>
              </w:rPr>
              <w:t>$</w:t>
            </w:r>
            <w:r w:rsidRPr="00F00006">
              <w:rPr>
                <w:sz w:val="22"/>
              </w:rPr>
              <w:t xml:space="preserve">55,115 </w:t>
            </w:r>
          </w:p>
        </w:tc>
      </w:tr>
      <w:tr w:rsidR="00F00006" w14:paraId="46E79E19" w14:textId="77777777" w:rsidTr="00F00006">
        <w:trPr>
          <w:jc w:val="center"/>
        </w:trPr>
        <w:tc>
          <w:tcPr>
            <w:tcW w:w="3583" w:type="dxa"/>
            <w:shd w:val="clear" w:color="auto" w:fill="D9D9D9" w:themeFill="background1" w:themeFillShade="D9"/>
          </w:tcPr>
          <w:p w14:paraId="56A736C1" w14:textId="74DFC587" w:rsidR="00F00006" w:rsidRDefault="00F00006" w:rsidP="00F00006">
            <w:pPr>
              <w:pStyle w:val="SRBodyText"/>
              <w:tabs>
                <w:tab w:val="left" w:pos="228"/>
              </w:tabs>
              <w:spacing w:before="0" w:after="0"/>
              <w:jc w:val="left"/>
              <w:rPr>
                <w:rFonts w:eastAsia="Times New Roman" w:cs="Arial"/>
                <w:b/>
                <w:color w:val="000000"/>
                <w:sz w:val="22"/>
                <w:lang w:eastAsia="ar-SA"/>
              </w:rPr>
            </w:pPr>
            <w:r>
              <w:rPr>
                <w:rFonts w:eastAsia="Times New Roman" w:cs="Arial"/>
                <w:b/>
                <w:color w:val="000000"/>
                <w:sz w:val="22"/>
                <w:lang w:eastAsia="ar-SA"/>
              </w:rPr>
              <w:tab/>
              <w:t>Total Supplemental Need</w:t>
            </w:r>
          </w:p>
        </w:tc>
        <w:tc>
          <w:tcPr>
            <w:tcW w:w="1469" w:type="dxa"/>
            <w:shd w:val="clear" w:color="auto" w:fill="D9D9D9" w:themeFill="background1" w:themeFillShade="D9"/>
          </w:tcPr>
          <w:p w14:paraId="67EC636D" w14:textId="77777777" w:rsidR="00F00006" w:rsidRPr="00F00006" w:rsidRDefault="00F00006" w:rsidP="00F00006">
            <w:pPr>
              <w:pStyle w:val="SRBodyText"/>
              <w:spacing w:before="0" w:after="0"/>
              <w:jc w:val="right"/>
              <w:rPr>
                <w:rFonts w:eastAsia="Times New Roman" w:cs="Arial"/>
                <w:b/>
                <w:color w:val="000000"/>
                <w:sz w:val="22"/>
                <w:lang w:eastAsia="ar-SA"/>
              </w:rPr>
            </w:pPr>
          </w:p>
        </w:tc>
        <w:tc>
          <w:tcPr>
            <w:tcW w:w="1457" w:type="dxa"/>
            <w:shd w:val="clear" w:color="auto" w:fill="D9D9D9" w:themeFill="background1" w:themeFillShade="D9"/>
          </w:tcPr>
          <w:p w14:paraId="72AF3A37" w14:textId="77777777" w:rsidR="00F00006" w:rsidRPr="00F00006" w:rsidRDefault="00F00006" w:rsidP="00F00006">
            <w:pPr>
              <w:pStyle w:val="SRBodyText"/>
              <w:spacing w:before="0" w:after="0"/>
              <w:jc w:val="right"/>
              <w:rPr>
                <w:rFonts w:eastAsia="Times New Roman" w:cs="Arial"/>
                <w:b/>
                <w:color w:val="000000"/>
                <w:sz w:val="22"/>
                <w:lang w:eastAsia="ar-SA"/>
              </w:rPr>
            </w:pPr>
          </w:p>
        </w:tc>
        <w:tc>
          <w:tcPr>
            <w:tcW w:w="1527" w:type="dxa"/>
          </w:tcPr>
          <w:p w14:paraId="47594638" w14:textId="08EC5807" w:rsidR="00F00006" w:rsidRPr="00F00006" w:rsidRDefault="00F00006" w:rsidP="00F00006">
            <w:pPr>
              <w:pStyle w:val="SRBodyText"/>
              <w:spacing w:before="0" w:after="0"/>
              <w:jc w:val="right"/>
              <w:rPr>
                <w:rFonts w:eastAsia="Times New Roman" w:cs="Arial"/>
                <w:b/>
                <w:color w:val="000000"/>
                <w:sz w:val="22"/>
                <w:lang w:eastAsia="ar-SA"/>
              </w:rPr>
            </w:pPr>
            <w:r w:rsidRPr="00F00006">
              <w:rPr>
                <w:b/>
                <w:sz w:val="22"/>
              </w:rPr>
              <w:t xml:space="preserve"> </w:t>
            </w:r>
            <w:r w:rsidR="00370E34">
              <w:rPr>
                <w:b/>
                <w:sz w:val="22"/>
              </w:rPr>
              <w:t>$</w:t>
            </w:r>
            <w:r w:rsidRPr="00F00006">
              <w:rPr>
                <w:b/>
                <w:sz w:val="22"/>
              </w:rPr>
              <w:t xml:space="preserve">378,000 </w:t>
            </w:r>
          </w:p>
        </w:tc>
      </w:tr>
      <w:tr w:rsidR="001D4C8F" w14:paraId="4AECF735" w14:textId="77777777" w:rsidTr="00690B34">
        <w:trPr>
          <w:jc w:val="center"/>
        </w:trPr>
        <w:tc>
          <w:tcPr>
            <w:tcW w:w="3583" w:type="dxa"/>
            <w:shd w:val="clear" w:color="auto" w:fill="D9D9D9" w:themeFill="background1" w:themeFillShade="D9"/>
          </w:tcPr>
          <w:p w14:paraId="673F5BF9" w14:textId="77777777" w:rsidR="001D4C8F" w:rsidRDefault="001D4C8F" w:rsidP="00F00006">
            <w:pPr>
              <w:pStyle w:val="SRBodyText"/>
              <w:tabs>
                <w:tab w:val="left" w:pos="228"/>
              </w:tabs>
              <w:spacing w:before="0" w:after="0"/>
              <w:jc w:val="left"/>
              <w:rPr>
                <w:rFonts w:eastAsia="Times New Roman" w:cs="Arial"/>
                <w:b/>
                <w:color w:val="000000"/>
                <w:sz w:val="22"/>
                <w:lang w:eastAsia="ar-SA"/>
              </w:rPr>
            </w:pPr>
          </w:p>
        </w:tc>
        <w:tc>
          <w:tcPr>
            <w:tcW w:w="1469" w:type="dxa"/>
            <w:shd w:val="clear" w:color="auto" w:fill="D9D9D9" w:themeFill="background1" w:themeFillShade="D9"/>
          </w:tcPr>
          <w:p w14:paraId="04B83ABA" w14:textId="77777777" w:rsidR="001D4C8F" w:rsidRPr="00F00006" w:rsidRDefault="001D4C8F" w:rsidP="00F00006">
            <w:pPr>
              <w:pStyle w:val="SRBodyText"/>
              <w:spacing w:before="0" w:after="0"/>
              <w:jc w:val="right"/>
              <w:rPr>
                <w:rFonts w:eastAsia="Times New Roman" w:cs="Arial"/>
                <w:b/>
                <w:color w:val="000000"/>
                <w:sz w:val="22"/>
                <w:lang w:eastAsia="ar-SA"/>
              </w:rPr>
            </w:pPr>
          </w:p>
        </w:tc>
        <w:tc>
          <w:tcPr>
            <w:tcW w:w="1457" w:type="dxa"/>
            <w:shd w:val="clear" w:color="auto" w:fill="D9D9D9" w:themeFill="background1" w:themeFillShade="D9"/>
          </w:tcPr>
          <w:p w14:paraId="2AB1934A" w14:textId="77777777" w:rsidR="001D4C8F" w:rsidRPr="00F00006" w:rsidRDefault="001D4C8F" w:rsidP="00F00006">
            <w:pPr>
              <w:pStyle w:val="SRBodyText"/>
              <w:spacing w:before="0" w:after="0"/>
              <w:jc w:val="right"/>
              <w:rPr>
                <w:rFonts w:eastAsia="Times New Roman" w:cs="Arial"/>
                <w:b/>
                <w:color w:val="000000"/>
                <w:sz w:val="22"/>
                <w:lang w:eastAsia="ar-SA"/>
              </w:rPr>
            </w:pPr>
          </w:p>
        </w:tc>
        <w:tc>
          <w:tcPr>
            <w:tcW w:w="1527" w:type="dxa"/>
            <w:shd w:val="clear" w:color="auto" w:fill="D9D9D9" w:themeFill="background1" w:themeFillShade="D9"/>
          </w:tcPr>
          <w:p w14:paraId="796C4DAE" w14:textId="77777777" w:rsidR="001D4C8F" w:rsidRPr="00F00006" w:rsidRDefault="001D4C8F" w:rsidP="00F00006">
            <w:pPr>
              <w:pStyle w:val="SRBodyText"/>
              <w:spacing w:before="0" w:after="0"/>
              <w:jc w:val="right"/>
              <w:rPr>
                <w:b/>
                <w:sz w:val="22"/>
              </w:rPr>
            </w:pPr>
          </w:p>
        </w:tc>
      </w:tr>
      <w:tr w:rsidR="001D4C8F" w14:paraId="477BAA12" w14:textId="77777777" w:rsidTr="00690B34">
        <w:trPr>
          <w:jc w:val="center"/>
        </w:trPr>
        <w:tc>
          <w:tcPr>
            <w:tcW w:w="3583" w:type="dxa"/>
            <w:shd w:val="clear" w:color="auto" w:fill="D9D9D9" w:themeFill="background1" w:themeFillShade="D9"/>
          </w:tcPr>
          <w:p w14:paraId="7D7B2865" w14:textId="03AD53B0" w:rsidR="001D4C8F" w:rsidRDefault="001D4C8F" w:rsidP="00F00006">
            <w:pPr>
              <w:pStyle w:val="SRBodyText"/>
              <w:tabs>
                <w:tab w:val="left" w:pos="228"/>
              </w:tabs>
              <w:spacing w:before="0" w:after="0"/>
              <w:jc w:val="left"/>
              <w:rPr>
                <w:rFonts w:eastAsia="Times New Roman" w:cs="Arial"/>
                <w:b/>
                <w:color w:val="000000"/>
                <w:sz w:val="22"/>
                <w:lang w:eastAsia="ar-SA"/>
              </w:rPr>
            </w:pPr>
            <w:r>
              <w:rPr>
                <w:rFonts w:eastAsia="Times New Roman" w:cs="Arial"/>
                <w:b/>
                <w:color w:val="000000"/>
                <w:sz w:val="22"/>
                <w:lang w:eastAsia="ar-SA"/>
              </w:rPr>
              <w:t>Proposed Supplemental Appropriation</w:t>
            </w:r>
          </w:p>
        </w:tc>
        <w:tc>
          <w:tcPr>
            <w:tcW w:w="1469" w:type="dxa"/>
            <w:shd w:val="clear" w:color="auto" w:fill="D9D9D9" w:themeFill="background1" w:themeFillShade="D9"/>
          </w:tcPr>
          <w:p w14:paraId="78C9934A" w14:textId="77777777" w:rsidR="001D4C8F" w:rsidRPr="00F00006" w:rsidRDefault="001D4C8F" w:rsidP="00F00006">
            <w:pPr>
              <w:pStyle w:val="SRBodyText"/>
              <w:spacing w:before="0" w:after="0"/>
              <w:jc w:val="right"/>
              <w:rPr>
                <w:rFonts w:eastAsia="Times New Roman" w:cs="Arial"/>
                <w:b/>
                <w:color w:val="000000"/>
                <w:sz w:val="22"/>
                <w:lang w:eastAsia="ar-SA"/>
              </w:rPr>
            </w:pPr>
          </w:p>
        </w:tc>
        <w:tc>
          <w:tcPr>
            <w:tcW w:w="1457" w:type="dxa"/>
            <w:shd w:val="clear" w:color="auto" w:fill="D9D9D9" w:themeFill="background1" w:themeFillShade="D9"/>
          </w:tcPr>
          <w:p w14:paraId="68246D99" w14:textId="77777777" w:rsidR="001D4C8F" w:rsidRPr="00F00006" w:rsidRDefault="001D4C8F" w:rsidP="00F00006">
            <w:pPr>
              <w:pStyle w:val="SRBodyText"/>
              <w:spacing w:before="0" w:after="0"/>
              <w:jc w:val="right"/>
              <w:rPr>
                <w:rFonts w:eastAsia="Times New Roman" w:cs="Arial"/>
                <w:b/>
                <w:color w:val="000000"/>
                <w:sz w:val="22"/>
                <w:lang w:eastAsia="ar-SA"/>
              </w:rPr>
            </w:pPr>
          </w:p>
        </w:tc>
        <w:tc>
          <w:tcPr>
            <w:tcW w:w="1527" w:type="dxa"/>
            <w:vAlign w:val="center"/>
          </w:tcPr>
          <w:p w14:paraId="6016F9D2" w14:textId="3D194FF4" w:rsidR="001D4C8F" w:rsidRPr="00690B34" w:rsidRDefault="00690B34" w:rsidP="00690B34">
            <w:pPr>
              <w:jc w:val="right"/>
              <w:rPr>
                <w:b/>
                <w:lang w:eastAsia="en-US"/>
              </w:rPr>
            </w:pPr>
            <w:r w:rsidRPr="00690B34">
              <w:rPr>
                <w:rFonts w:ascii="Arial" w:hAnsi="Arial" w:cs="Arial"/>
                <w:b/>
                <w:sz w:val="22"/>
                <w:lang w:eastAsia="en-US"/>
              </w:rPr>
              <w:t>$9,301,000</w:t>
            </w:r>
          </w:p>
        </w:tc>
      </w:tr>
    </w:tbl>
    <w:p w14:paraId="58D3F4FA" w14:textId="7C213EEF" w:rsidR="001D4C8F" w:rsidRDefault="00216BF5" w:rsidP="007F50D5">
      <w:pPr>
        <w:pStyle w:val="SRBodyText"/>
      </w:pPr>
      <w:r w:rsidRPr="0003337F">
        <w:rPr>
          <w:rFonts w:cs="Arial"/>
          <w:color w:val="000000"/>
        </w:rPr>
        <w:t>According to executive staff, sufficient funds have been allocated in the 2015-2016 General Fund planned reserves to avoid having to draw from the General Fund undesignated fund balance.</w:t>
      </w:r>
      <w:r w:rsidR="00570CE0">
        <w:rPr>
          <w:rFonts w:cs="Arial"/>
          <w:color w:val="000000"/>
        </w:rPr>
        <w:t xml:space="preserve"> The $378,000 increase for employees who are supported by MIDD would come from the MIDD undesignated fund balance</w:t>
      </w:r>
      <w:r w:rsidR="004B2E4C">
        <w:rPr>
          <w:rFonts w:cs="Arial"/>
          <w:color w:val="000000"/>
        </w:rPr>
        <w:t>,</w:t>
      </w:r>
      <w:r w:rsidR="004B2E4C" w:rsidRPr="004B2E4C">
        <w:rPr>
          <w:rFonts w:cs="Arial"/>
          <w:color w:val="000000"/>
        </w:rPr>
        <w:t xml:space="preserve"> </w:t>
      </w:r>
      <w:r w:rsidR="004B2E4C">
        <w:rPr>
          <w:rFonts w:cs="Arial"/>
          <w:color w:val="000000"/>
        </w:rPr>
        <w:t>reducing the fund balance from about $1.6 million to about $1.2 million, according to executive staff.</w:t>
      </w:r>
    </w:p>
    <w:p w14:paraId="0CC03C65" w14:textId="7A561B6B" w:rsidR="00BF34C6" w:rsidRPr="007F50D5" w:rsidRDefault="00682ACE" w:rsidP="007F50D5">
      <w:pPr>
        <w:pStyle w:val="SRBodyText"/>
      </w:pPr>
      <w:r>
        <w:t>The projected fiscal impact for 2017-2018 and 2019-2020, according to the Fiscal Note</w:t>
      </w:r>
      <w:r w:rsidR="003A37EA">
        <w:t xml:space="preserve"> (Att. </w:t>
      </w:r>
      <w:r w:rsidR="00F51E79">
        <w:t>8</w:t>
      </w:r>
      <w:r w:rsidR="003A37EA">
        <w:t>)</w:t>
      </w:r>
      <w:r>
        <w:t>, is $9,896,264 and $10,549,417, respectively.</w:t>
      </w:r>
    </w:p>
    <w:p w14:paraId="14F9AB56" w14:textId="1498495C" w:rsidR="00A27B60" w:rsidRPr="00122E2B" w:rsidRDefault="008E3534" w:rsidP="004D1FAF">
      <w:pPr>
        <w:keepNext/>
        <w:spacing w:before="240"/>
        <w:jc w:val="both"/>
        <w:rPr>
          <w:rFonts w:ascii="Arial" w:hAnsi="Arial" w:cs="Arial"/>
          <w:b/>
          <w:color w:val="000000"/>
          <w:u w:val="single"/>
        </w:rPr>
      </w:pPr>
      <w:r w:rsidRPr="00122E2B">
        <w:rPr>
          <w:rFonts w:ascii="Arial" w:hAnsi="Arial" w:cs="Arial"/>
          <w:b/>
          <w:color w:val="000000"/>
          <w:u w:val="single"/>
        </w:rPr>
        <w:t>AMENDMENT</w:t>
      </w:r>
      <w:r w:rsidR="00EE3975" w:rsidRPr="00122E2B">
        <w:rPr>
          <w:rFonts w:ascii="Arial" w:hAnsi="Arial" w:cs="Arial"/>
          <w:b/>
          <w:color w:val="000000"/>
          <w:u w:val="single"/>
        </w:rPr>
        <w:t>S</w:t>
      </w:r>
    </w:p>
    <w:p w14:paraId="27B6CA7A" w14:textId="287193CA" w:rsidR="00E265EA" w:rsidRPr="00122E2B" w:rsidRDefault="00122E2B" w:rsidP="003166EE">
      <w:pPr>
        <w:spacing w:before="240"/>
        <w:jc w:val="both"/>
        <w:rPr>
          <w:rFonts w:ascii="Arial" w:hAnsi="Arial" w:cs="Arial"/>
          <w:color w:val="000000"/>
        </w:rPr>
      </w:pPr>
      <w:r w:rsidRPr="00122E2B">
        <w:rPr>
          <w:rFonts w:ascii="Arial" w:hAnsi="Arial" w:cs="Arial"/>
          <w:color w:val="000000"/>
        </w:rPr>
        <w:t>None anticipated.</w:t>
      </w:r>
    </w:p>
    <w:p w14:paraId="77C7524D" w14:textId="77777777" w:rsidR="00CD2047" w:rsidRPr="00152107" w:rsidRDefault="00823CF0" w:rsidP="00CB34A0">
      <w:pPr>
        <w:pStyle w:val="BodyText"/>
        <w:keepNext/>
        <w:spacing w:before="240" w:after="240"/>
        <w:rPr>
          <w:rFonts w:ascii="Arial" w:hAnsi="Arial" w:cs="Arial"/>
          <w:b/>
          <w:color w:val="000000"/>
          <w:u w:val="single"/>
        </w:rPr>
      </w:pPr>
      <w:r w:rsidRPr="00152107">
        <w:rPr>
          <w:rFonts w:ascii="Arial" w:hAnsi="Arial" w:cs="Arial"/>
          <w:b/>
          <w:color w:val="000000"/>
          <w:u w:val="single"/>
        </w:rPr>
        <w:t>INVITED</w:t>
      </w:r>
    </w:p>
    <w:p w14:paraId="34AD5EBE" w14:textId="77777777" w:rsidR="00E749FA" w:rsidRPr="00CA6521" w:rsidRDefault="00E749FA" w:rsidP="00CA6521">
      <w:pPr>
        <w:pStyle w:val="List-NoSpaces"/>
      </w:pPr>
      <w:r w:rsidRPr="00CA6521">
        <w:t xml:space="preserve">Dwight Dively, </w:t>
      </w:r>
      <w:r w:rsidR="00197DE8" w:rsidRPr="00CA6521">
        <w:t>Director, Office of Performance, Strategy, and Budget</w:t>
      </w:r>
    </w:p>
    <w:p w14:paraId="7A1861C8" w14:textId="68EED649" w:rsidR="00823CF0" w:rsidRPr="00CA6521" w:rsidRDefault="00AA36CF" w:rsidP="00CA6521">
      <w:pPr>
        <w:pStyle w:val="List-NoSpaces"/>
      </w:pPr>
      <w:r w:rsidRPr="00CA6521">
        <w:t>Sasha Alessi</w:t>
      </w:r>
      <w:r w:rsidR="00823CF0" w:rsidRPr="00CA6521">
        <w:t>, Labor Negotiator, Office of Labor Relations</w:t>
      </w:r>
    </w:p>
    <w:p w14:paraId="79721BAD" w14:textId="772860EB" w:rsidR="00FD1036" w:rsidRPr="00CA6521" w:rsidRDefault="00CA6521" w:rsidP="00CA6521">
      <w:pPr>
        <w:pStyle w:val="List-NoSpaces"/>
      </w:pPr>
      <w:r w:rsidRPr="00CA6521">
        <w:t>Ida Kovacic, Union Representative, SEIU, Local 925</w:t>
      </w:r>
    </w:p>
    <w:p w14:paraId="3C9C0F30" w14:textId="3F33FCEF" w:rsidR="00AA36CF" w:rsidRPr="00CA6521" w:rsidRDefault="00D90B31" w:rsidP="00CA6521">
      <w:pPr>
        <w:pStyle w:val="List-NoSpaces"/>
      </w:pPr>
      <w:r w:rsidRPr="00CA6521">
        <w:t>Christine Jackson, Bargaining Team Member, Public Defense Management Guild</w:t>
      </w:r>
    </w:p>
    <w:p w14:paraId="15723539" w14:textId="77777777" w:rsidR="004C7887" w:rsidRPr="00152107" w:rsidRDefault="004C7887" w:rsidP="00CA6521">
      <w:pPr>
        <w:pStyle w:val="Heading1"/>
      </w:pPr>
      <w:r w:rsidRPr="00152107">
        <w:t>ATTACHMENTS</w:t>
      </w:r>
    </w:p>
    <w:p w14:paraId="59708134" w14:textId="57AD6380" w:rsidR="004C7887" w:rsidRPr="00CA6521" w:rsidRDefault="004C7887" w:rsidP="00683D52">
      <w:pPr>
        <w:pStyle w:val="List-NoSpaces"/>
        <w:numPr>
          <w:ilvl w:val="0"/>
          <w:numId w:val="10"/>
        </w:numPr>
        <w:ind w:left="360"/>
      </w:pPr>
      <w:r w:rsidRPr="00CA6521">
        <w:t xml:space="preserve">Proposed Ordinance </w:t>
      </w:r>
      <w:r w:rsidR="0006233A" w:rsidRPr="00CA6521">
        <w:t>201</w:t>
      </w:r>
      <w:r w:rsidR="00122E2B" w:rsidRPr="00CA6521">
        <w:t>6-0004</w:t>
      </w:r>
    </w:p>
    <w:p w14:paraId="102ABF09" w14:textId="77777777" w:rsidR="0080275E" w:rsidRDefault="0080275E" w:rsidP="00683D52">
      <w:pPr>
        <w:pStyle w:val="List-NoSpaces"/>
        <w:keepNext w:val="0"/>
        <w:numPr>
          <w:ilvl w:val="0"/>
          <w:numId w:val="10"/>
        </w:numPr>
        <w:suppressAutoHyphens w:val="0"/>
        <w:snapToGrid/>
        <w:spacing w:before="240" w:after="240"/>
        <w:ind w:left="360"/>
        <w:jc w:val="both"/>
      </w:pPr>
      <w:r>
        <w:t>Attorney Salary Structure of DPD vs. PAO Under Proposed New CBAs</w:t>
      </w:r>
    </w:p>
    <w:p w14:paraId="52EF8061" w14:textId="77777777" w:rsidR="0080275E" w:rsidRDefault="0080275E" w:rsidP="00683D52">
      <w:pPr>
        <w:pStyle w:val="List-NoSpaces"/>
        <w:keepNext w:val="0"/>
        <w:numPr>
          <w:ilvl w:val="0"/>
          <w:numId w:val="10"/>
        </w:numPr>
        <w:suppressAutoHyphens w:val="0"/>
        <w:snapToGrid/>
        <w:spacing w:before="240" w:after="240"/>
        <w:ind w:left="360"/>
        <w:jc w:val="both"/>
      </w:pPr>
      <w:r>
        <w:t>Attorney Salary Structure of DPD vs. PAO, Including Current Employee Count, Under Proposed New CBAs</w:t>
      </w:r>
    </w:p>
    <w:p w14:paraId="491CE759" w14:textId="77777777" w:rsidR="0080275E" w:rsidRDefault="0080275E" w:rsidP="00683D52">
      <w:pPr>
        <w:pStyle w:val="List-NoSpaces"/>
        <w:keepNext w:val="0"/>
        <w:numPr>
          <w:ilvl w:val="0"/>
          <w:numId w:val="10"/>
        </w:numPr>
        <w:suppressAutoHyphens w:val="0"/>
        <w:snapToGrid/>
        <w:spacing w:before="240" w:after="240"/>
        <w:ind w:left="360"/>
        <w:jc w:val="both"/>
      </w:pPr>
      <w:r>
        <w:t>Previous vs. New Classifications of Non-Attorney Staff</w:t>
      </w:r>
    </w:p>
    <w:p w14:paraId="74E42090" w14:textId="1D13535C" w:rsidR="0080275E" w:rsidRDefault="0080275E" w:rsidP="00683D52">
      <w:pPr>
        <w:pStyle w:val="List-NoSpaces"/>
        <w:keepNext w:val="0"/>
        <w:numPr>
          <w:ilvl w:val="0"/>
          <w:numId w:val="10"/>
        </w:numPr>
        <w:suppressAutoHyphens w:val="0"/>
        <w:snapToGrid/>
        <w:spacing w:before="240" w:after="240"/>
        <w:ind w:left="360"/>
        <w:jc w:val="both"/>
      </w:pPr>
      <w:r>
        <w:t>Average Increases in Compensation</w:t>
      </w:r>
      <w:r w:rsidR="007D0724">
        <w:t xml:space="preserve"> – Non-supervisory</w:t>
      </w:r>
    </w:p>
    <w:p w14:paraId="2DA6263F" w14:textId="57451D21" w:rsidR="007D0724" w:rsidRDefault="007D0724" w:rsidP="00683D52">
      <w:pPr>
        <w:pStyle w:val="List-NoSpaces"/>
        <w:keepNext w:val="0"/>
        <w:numPr>
          <w:ilvl w:val="0"/>
          <w:numId w:val="10"/>
        </w:numPr>
        <w:suppressAutoHyphens w:val="0"/>
        <w:snapToGrid/>
        <w:spacing w:before="240" w:after="240"/>
        <w:ind w:left="360"/>
        <w:jc w:val="both"/>
      </w:pPr>
      <w:r>
        <w:t>Average Increases in Compensation – Supervisory</w:t>
      </w:r>
    </w:p>
    <w:p w14:paraId="5985E4FE" w14:textId="77777777" w:rsidR="004C7887" w:rsidRPr="00CA6521" w:rsidRDefault="00CD2047" w:rsidP="00CA6521">
      <w:pPr>
        <w:pStyle w:val="List-NoSpaces"/>
      </w:pPr>
      <w:r w:rsidRPr="00CA6521">
        <w:t>Transmittal letter</w:t>
      </w:r>
    </w:p>
    <w:p w14:paraId="51C0E802" w14:textId="709616B3" w:rsidR="00197DE8" w:rsidRPr="00CA6521" w:rsidRDefault="00197DE8" w:rsidP="00CA6521">
      <w:pPr>
        <w:pStyle w:val="List-NoSpaces"/>
      </w:pPr>
      <w:r w:rsidRPr="00CA6521">
        <w:t>Fiscal Note</w:t>
      </w:r>
    </w:p>
    <w:sectPr w:rsidR="00197DE8" w:rsidRPr="00CA6521" w:rsidSect="00516B79">
      <w:headerReference w:type="even" r:id="rId8"/>
      <w:headerReference w:type="default" r:id="rId9"/>
      <w:footerReference w:type="even" r:id="rId10"/>
      <w:footerReference w:type="default" r:id="rId11"/>
      <w:headerReference w:type="first" r:id="rId12"/>
      <w:footerReference w:type="first" r:id="rId13"/>
      <w:pgSz w:w="12240" w:h="15840"/>
      <w:pgMar w:top="1440" w:right="1584" w:bottom="1260" w:left="158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BE4C8" w14:textId="77777777" w:rsidR="00510A73" w:rsidRDefault="00510A73">
      <w:r>
        <w:separator/>
      </w:r>
    </w:p>
  </w:endnote>
  <w:endnote w:type="continuationSeparator" w:id="0">
    <w:p w14:paraId="6A328B90" w14:textId="77777777" w:rsidR="00510A73" w:rsidRDefault="00510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FDB9E" w14:textId="77777777" w:rsidR="004D1FAF" w:rsidRDefault="004D1F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963A1" w14:textId="77777777" w:rsidR="004D1FAF" w:rsidRDefault="004D1F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C0BA0" w14:textId="77777777" w:rsidR="004D1FAF" w:rsidRDefault="004D1FA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D56A5" w14:textId="77777777" w:rsidR="00510A73" w:rsidRDefault="00510A73">
      <w:r>
        <w:separator/>
      </w:r>
    </w:p>
  </w:footnote>
  <w:footnote w:type="continuationSeparator" w:id="0">
    <w:p w14:paraId="72C04010" w14:textId="77777777" w:rsidR="00510A73" w:rsidRDefault="00510A73">
      <w:r>
        <w:continuationSeparator/>
      </w:r>
    </w:p>
  </w:footnote>
  <w:footnote w:id="1">
    <w:p w14:paraId="6512C082" w14:textId="77777777" w:rsidR="00A3004B" w:rsidRDefault="00A3004B" w:rsidP="00A3004B">
      <w:pPr>
        <w:pStyle w:val="FootnoteText"/>
      </w:pPr>
      <w:r>
        <w:rPr>
          <w:rStyle w:val="FootnoteReference"/>
          <w:rFonts w:eastAsiaTheme="majorEastAsia"/>
        </w:rPr>
        <w:footnoteRef/>
      </w:r>
      <w:r>
        <w:t xml:space="preserve"> Ordinance 17941, §§ 18 P3, 49 P1.</w:t>
      </w:r>
    </w:p>
  </w:footnote>
  <w:footnote w:id="2">
    <w:p w14:paraId="1B70325D" w14:textId="77777777" w:rsidR="00A3004B" w:rsidRDefault="00A3004B" w:rsidP="00A3004B">
      <w:pPr>
        <w:pStyle w:val="FootnoteText"/>
      </w:pPr>
      <w:r>
        <w:rPr>
          <w:rStyle w:val="FootnoteReference"/>
          <w:rFonts w:eastAsiaTheme="majorEastAsia"/>
        </w:rPr>
        <w:footnoteRef/>
      </w:r>
      <w:r>
        <w:t xml:space="preserve"> The COLAs had been inadvertently omitted from the proposed and adopted budgets for DPD.</w:t>
      </w:r>
    </w:p>
  </w:footnote>
  <w:footnote w:id="3">
    <w:p w14:paraId="54321318" w14:textId="77777777" w:rsidR="00E90D0E" w:rsidRPr="00B538F7" w:rsidRDefault="00E90D0E" w:rsidP="00E90D0E">
      <w:pPr>
        <w:pStyle w:val="FootnoteText"/>
      </w:pPr>
      <w:r w:rsidRPr="00F3151F">
        <w:rPr>
          <w:rStyle w:val="FootnoteReference"/>
          <w:rFonts w:eastAsiaTheme="majorEastAsia"/>
        </w:rPr>
        <w:footnoteRef/>
      </w:r>
      <w:r w:rsidRPr="00B538F7">
        <w:t xml:space="preserve"> Tentative agreement on the CBA with </w:t>
      </w:r>
      <w:r>
        <w:t>PDMG</w:t>
      </w:r>
      <w:r w:rsidRPr="00B538F7">
        <w:t xml:space="preserve"> was not reached until August 18, 2015. That CBA was not ratified by the union until August 27, 2015, and was not signed by the Executive until December 14, 2015. </w:t>
      </w:r>
      <w:r>
        <w:t>The proposed ordinance that would approve that CBA (</w:t>
      </w:r>
      <w:r w:rsidRPr="00B538F7">
        <w:t>2016-0002</w:t>
      </w:r>
      <w:r>
        <w:t>)</w:t>
      </w:r>
      <w:r w:rsidRPr="00B538F7">
        <w:t xml:space="preserve"> was transmitted to the Council on December 15, 2015.</w:t>
      </w:r>
      <w:r>
        <w:t xml:space="preserve"> Tentative agreement on the CBA with SEIU Local 925 was not reached until July 30, 2015. That CBA was not ratified by the union until August 26, 2015, and it was not signed by the Executive until December 10, 2015. The proposed ordinance that would approve that CBA (2016-0003) was transmitted to the Council on December 15, 2015. </w:t>
      </w:r>
    </w:p>
  </w:footnote>
  <w:footnote w:id="4">
    <w:p w14:paraId="7CE6FDBE" w14:textId="38416125" w:rsidR="002225A5" w:rsidRDefault="002225A5">
      <w:pPr>
        <w:pStyle w:val="FootnoteText"/>
      </w:pPr>
      <w:r>
        <w:rPr>
          <w:rStyle w:val="FootnoteReference"/>
        </w:rPr>
        <w:footnoteRef/>
      </w:r>
      <w:r>
        <w:t xml:space="preserve"> For non-supervisory attorneys, their “actual prior years of service in a comparable position” before joining the independent public defense agency would also be considered.</w:t>
      </w:r>
    </w:p>
  </w:footnote>
  <w:footnote w:id="5">
    <w:p w14:paraId="1458334E" w14:textId="1B8F48FC" w:rsidR="00147CFC" w:rsidRPr="00827177" w:rsidRDefault="00147CFC" w:rsidP="00147CFC">
      <w:pPr>
        <w:pStyle w:val="FootnoteText"/>
      </w:pPr>
      <w:r>
        <w:rPr>
          <w:rStyle w:val="FootnoteReference"/>
          <w:rFonts w:eastAsiaTheme="majorEastAsia"/>
        </w:rPr>
        <w:footnoteRef/>
      </w:r>
      <w:r>
        <w:t xml:space="preserve"> Attorneys who currently are being paid salaries higher than they would receive after the initial step assignments would be “Y-rated,” meaning that they would continue to receive their current salaries under the new CBA until the salary schedule caught up to them. The proposed initial salaries of all the members of the bargaining unit—attorneys and non-attorneys—are listed in the table attached to the MOA on Step Placement.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2877A" w14:textId="3C67BCAA" w:rsidR="004D1FAF" w:rsidRDefault="004D1F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2146C" w14:textId="72BD90E8" w:rsidR="004D1FAF" w:rsidRDefault="004D1F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A93D5" w14:textId="32FD59B8" w:rsidR="004D1FAF" w:rsidRDefault="004D1FAF">
    <w:pPr>
      <w:jc w:val="center"/>
      <w:rPr>
        <w:rFonts w:ascii="Verdana" w:hAnsi="Verdana"/>
        <w:b/>
        <w:sz w:val="28"/>
        <w:szCs w:val="30"/>
      </w:rPr>
    </w:pPr>
    <w:r>
      <w:rPr>
        <w:rFonts w:ascii="Arial" w:hAnsi="Arial"/>
        <w:noProof/>
        <w:sz w:val="22"/>
        <w:szCs w:val="22"/>
        <w:lang w:eastAsia="en-US"/>
      </w:rPr>
      <w:drawing>
        <wp:inline distT="0" distB="0" distL="0" distR="0" wp14:anchorId="1EDE52D2" wp14:editId="521C0A72">
          <wp:extent cx="1141933" cy="798118"/>
          <wp:effectExtent l="0" t="0" r="127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029" cy="799583"/>
                  </a:xfrm>
                  <a:prstGeom prst="rect">
                    <a:avLst/>
                  </a:prstGeom>
                  <a:solidFill>
                    <a:srgbClr val="FFFFFF"/>
                  </a:solidFill>
                  <a:ln>
                    <a:noFill/>
                  </a:ln>
                </pic:spPr>
              </pic:pic>
            </a:graphicData>
          </a:graphic>
        </wp:inline>
      </w:drawing>
    </w:r>
  </w:p>
  <w:p w14:paraId="14A609D4" w14:textId="77777777" w:rsidR="004D1FAF" w:rsidRDefault="004D1FAF" w:rsidP="0089222C">
    <w:pPr>
      <w:spacing w:before="120"/>
      <w:jc w:val="center"/>
      <w:rPr>
        <w:rFonts w:ascii="Verdana" w:hAnsi="Verdana"/>
        <w:b/>
        <w:sz w:val="28"/>
        <w:szCs w:val="30"/>
      </w:rPr>
    </w:pPr>
    <w:r w:rsidRPr="0089222C">
      <w:rPr>
        <w:rFonts w:ascii="Verdana" w:hAnsi="Verdana"/>
        <w:b/>
        <w:sz w:val="28"/>
        <w:szCs w:val="30"/>
      </w:rPr>
      <w:t>Metropolitan King County Council</w:t>
    </w:r>
  </w:p>
  <w:p w14:paraId="58FD8856" w14:textId="116424A3" w:rsidR="004D1FAF" w:rsidRPr="00C3138C" w:rsidRDefault="004D1FAF" w:rsidP="00542056">
    <w:pPr>
      <w:jc w:val="center"/>
      <w:rPr>
        <w:rFonts w:ascii="Verdana" w:hAnsi="Verdana"/>
        <w:b/>
        <w:sz w:val="26"/>
        <w:szCs w:val="26"/>
      </w:rPr>
    </w:pPr>
    <w:r w:rsidRPr="00C3138C">
      <w:rPr>
        <w:rFonts w:ascii="Verdana" w:hAnsi="Verdana"/>
        <w:b/>
        <w:sz w:val="26"/>
        <w:szCs w:val="26"/>
      </w:rPr>
      <w:t>Budget and Fiscal Management Committee</w:t>
    </w:r>
  </w:p>
  <w:p w14:paraId="40D3CD60" w14:textId="77777777" w:rsidR="004D1FAF" w:rsidRPr="0038130A" w:rsidRDefault="004D1FAF" w:rsidP="0089222C">
    <w:pPr>
      <w:spacing w:before="240" w:after="240"/>
      <w:jc w:val="center"/>
      <w:rPr>
        <w:rFonts w:ascii="Arial" w:hAnsi="Arial" w:cs="Arial"/>
        <w:b/>
        <w:sz w:val="22"/>
        <w:szCs w:val="30"/>
      </w:rPr>
    </w:pPr>
    <w:r w:rsidRPr="0038130A">
      <w:rPr>
        <w:rFonts w:ascii="Arial" w:hAnsi="Arial" w:cs="Arial"/>
        <w:b/>
        <w:sz w:val="22"/>
        <w:szCs w:val="30"/>
      </w:rPr>
      <w:t>STAFF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93609"/>
    <w:multiLevelType w:val="hybridMultilevel"/>
    <w:tmpl w:val="3D2045F4"/>
    <w:lvl w:ilvl="0" w:tplc="01E0637C">
      <w:start w:val="1"/>
      <w:numFmt w:val="decimal"/>
      <w:pStyle w:val="Heading3"/>
      <w:lvlText w:val="%1."/>
      <w:lvlJc w:val="left"/>
      <w:pPr>
        <w:ind w:left="1440" w:hanging="360"/>
      </w:pPr>
      <w:rPr>
        <w:rFonts w:hint="default"/>
        <w:b/>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F73507"/>
    <w:multiLevelType w:val="hybridMultilevel"/>
    <w:tmpl w:val="A4E43E02"/>
    <w:lvl w:ilvl="0" w:tplc="62781944">
      <w:start w:val="1"/>
      <w:numFmt w:val="decimal"/>
      <w:pStyle w:val="List-NoSpac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EE55B2"/>
    <w:multiLevelType w:val="multilevel"/>
    <w:tmpl w:val="F3D4A9B2"/>
    <w:lvl w:ilvl="0">
      <w:start w:val="1"/>
      <w:numFmt w:val="upperRoman"/>
      <w:lvlText w:val="%1."/>
      <w:lvlJc w:val="left"/>
      <w:pPr>
        <w:ind w:left="-1080" w:firstLine="0"/>
      </w:pPr>
      <w:rPr>
        <w:rFonts w:hint="default"/>
      </w:rPr>
    </w:lvl>
    <w:lvl w:ilvl="1">
      <w:start w:val="1"/>
      <w:numFmt w:val="upperLetter"/>
      <w:lvlText w:val="%2."/>
      <w:lvlJc w:val="left"/>
      <w:pPr>
        <w:ind w:left="-360" w:firstLine="0"/>
      </w:pPr>
      <w:rPr>
        <w:rFonts w:hint="default"/>
      </w:rPr>
    </w:lvl>
    <w:lvl w:ilvl="2">
      <w:start w:val="1"/>
      <w:numFmt w:val="decimal"/>
      <w:lvlText w:val="%3."/>
      <w:lvlJc w:val="left"/>
      <w:pPr>
        <w:ind w:left="360" w:firstLine="0"/>
      </w:pPr>
      <w:rPr>
        <w:rFonts w:ascii="Arial" w:hAnsi="Arial" w:hint="default"/>
        <w:b/>
        <w:i w:val="0"/>
        <w:color w:val="auto"/>
        <w:sz w:val="24"/>
      </w:rPr>
    </w:lvl>
    <w:lvl w:ilvl="3">
      <w:start w:val="1"/>
      <w:numFmt w:val="lowerLetter"/>
      <w:lvlText w:val="%4."/>
      <w:lvlJc w:val="left"/>
      <w:pPr>
        <w:ind w:left="1440" w:hanging="360"/>
      </w:pPr>
      <w:rPr>
        <w:rFonts w:hint="default"/>
      </w:rPr>
    </w:lvl>
    <w:lvl w:ilvl="4">
      <w:start w:val="1"/>
      <w:numFmt w:val="decimal"/>
      <w:lvlText w:val="(%5)"/>
      <w:lvlJc w:val="left"/>
      <w:pPr>
        <w:ind w:left="1800" w:firstLine="0"/>
      </w:pPr>
      <w:rPr>
        <w:rFonts w:hint="default"/>
      </w:rPr>
    </w:lvl>
    <w:lvl w:ilvl="5">
      <w:start w:val="1"/>
      <w:numFmt w:val="lowerLetter"/>
      <w:pStyle w:val="Heading6"/>
      <w:lvlText w:val="(%6)"/>
      <w:lvlJc w:val="left"/>
      <w:pPr>
        <w:ind w:left="2520" w:firstLine="0"/>
      </w:pPr>
      <w:rPr>
        <w:rFonts w:hint="default"/>
      </w:rPr>
    </w:lvl>
    <w:lvl w:ilvl="6">
      <w:start w:val="1"/>
      <w:numFmt w:val="lowerRoman"/>
      <w:pStyle w:val="Heading7"/>
      <w:lvlText w:val="(%7)"/>
      <w:lvlJc w:val="left"/>
      <w:pPr>
        <w:ind w:left="3240" w:firstLine="0"/>
      </w:pPr>
      <w:rPr>
        <w:rFonts w:hint="default"/>
      </w:rPr>
    </w:lvl>
    <w:lvl w:ilvl="7">
      <w:start w:val="1"/>
      <w:numFmt w:val="lowerLetter"/>
      <w:pStyle w:val="Heading8"/>
      <w:lvlText w:val="(%8)"/>
      <w:lvlJc w:val="left"/>
      <w:pPr>
        <w:ind w:left="3960" w:firstLine="0"/>
      </w:pPr>
      <w:rPr>
        <w:rFonts w:hint="default"/>
      </w:rPr>
    </w:lvl>
    <w:lvl w:ilvl="8">
      <w:start w:val="1"/>
      <w:numFmt w:val="lowerRoman"/>
      <w:pStyle w:val="Heading9"/>
      <w:lvlText w:val="(%9)"/>
      <w:lvlJc w:val="left"/>
      <w:pPr>
        <w:ind w:left="4680" w:firstLine="0"/>
      </w:pPr>
      <w:rPr>
        <w:rFonts w:hint="default"/>
      </w:rPr>
    </w:lvl>
  </w:abstractNum>
  <w:abstractNum w:abstractNumId="3" w15:restartNumberingAfterBreak="0">
    <w:nsid w:val="4E5A0635"/>
    <w:multiLevelType w:val="hybridMultilevel"/>
    <w:tmpl w:val="78B64792"/>
    <w:lvl w:ilvl="0" w:tplc="032AA412">
      <w:start w:val="1"/>
      <w:numFmt w:val="decimal"/>
      <w:pStyle w:val="Heading5"/>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53733665"/>
    <w:multiLevelType w:val="hybridMultilevel"/>
    <w:tmpl w:val="B186DDF8"/>
    <w:lvl w:ilvl="0" w:tplc="744854CA">
      <w:start w:val="1"/>
      <w:numFmt w:val="lowerLetter"/>
      <w:pStyle w:val="Heading4"/>
      <w:lvlText w:val="%1."/>
      <w:lvlJc w:val="left"/>
      <w:pPr>
        <w:ind w:left="2160" w:hanging="360"/>
      </w:pPr>
      <w:rPr>
        <w:rFonts w:ascii="Arial" w:hAnsi="Arial" w:hint="default"/>
        <w:b/>
        <w:i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6F0F5FF7"/>
    <w:multiLevelType w:val="hybridMultilevel"/>
    <w:tmpl w:val="CBF05368"/>
    <w:lvl w:ilvl="0" w:tplc="B9522768">
      <w:start w:val="1"/>
      <w:numFmt w:val="upperLetter"/>
      <w:pStyle w:val="Heading2"/>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47265C"/>
    <w:multiLevelType w:val="hybridMultilevel"/>
    <w:tmpl w:val="2864DF3A"/>
    <w:lvl w:ilvl="0" w:tplc="48AA1EC2">
      <w:start w:val="1"/>
      <w:numFmt w:val="upperLetter"/>
      <w:pStyle w:val="AnalysisHeading2"/>
      <w:lvlText w:val="%1."/>
      <w:lvlJc w:val="left"/>
      <w:pPr>
        <w:ind w:left="720" w:hanging="360"/>
      </w:pPr>
      <w:rPr>
        <w:rFonts w:ascii="Arial" w:hAnsi="Arial"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1E12B2"/>
    <w:multiLevelType w:val="hybridMultilevel"/>
    <w:tmpl w:val="56F6A5C4"/>
    <w:lvl w:ilvl="0" w:tplc="F912C0BA">
      <w:start w:val="1"/>
      <w:numFmt w:val="bullet"/>
      <w:pStyle w:val="BulletedList-NoSpaces"/>
      <w:lvlText w:val=""/>
      <w:lvlJc w:val="left"/>
      <w:pPr>
        <w:ind w:left="720" w:hanging="360"/>
      </w:pPr>
      <w:rPr>
        <w:rFonts w:ascii="Symbol" w:hAnsi="Symbol" w:hint="default"/>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D33F02"/>
    <w:multiLevelType w:val="hybridMultilevel"/>
    <w:tmpl w:val="B7E69890"/>
    <w:lvl w:ilvl="0" w:tplc="6D7CD142">
      <w:start w:val="1"/>
      <w:numFmt w:val="decimal"/>
      <w:pStyle w:val="AnalysisHeading3"/>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6"/>
  </w:num>
  <w:num w:numId="4">
    <w:abstractNumId w:val="8"/>
  </w:num>
  <w:num w:numId="5">
    <w:abstractNumId w:val="7"/>
  </w:num>
  <w:num w:numId="6">
    <w:abstractNumId w:val="5"/>
  </w:num>
  <w:num w:numId="7">
    <w:abstractNumId w:val="0"/>
  </w:num>
  <w:num w:numId="8">
    <w:abstractNumId w:val="4"/>
  </w:num>
  <w:num w:numId="9">
    <w:abstractNumId w:val="3"/>
  </w:num>
  <w:num w:numId="10">
    <w:abstractNumId w:val="1"/>
    <w:lvlOverride w:ilvl="0">
      <w:startOverride w:val="1"/>
    </w:lvlOverride>
  </w:num>
  <w:num w:numId="11">
    <w:abstractNumId w:val="5"/>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D92"/>
    <w:rsid w:val="00001CA6"/>
    <w:rsid w:val="00001CCE"/>
    <w:rsid w:val="000034D5"/>
    <w:rsid w:val="00006F15"/>
    <w:rsid w:val="00007DA8"/>
    <w:rsid w:val="000138B0"/>
    <w:rsid w:val="00014B44"/>
    <w:rsid w:val="00016115"/>
    <w:rsid w:val="00017995"/>
    <w:rsid w:val="000215BF"/>
    <w:rsid w:val="000323FE"/>
    <w:rsid w:val="0003337F"/>
    <w:rsid w:val="000333E1"/>
    <w:rsid w:val="000344A1"/>
    <w:rsid w:val="00034E6E"/>
    <w:rsid w:val="00041675"/>
    <w:rsid w:val="00045593"/>
    <w:rsid w:val="00052487"/>
    <w:rsid w:val="00052FE1"/>
    <w:rsid w:val="00053605"/>
    <w:rsid w:val="00057D0D"/>
    <w:rsid w:val="00061E56"/>
    <w:rsid w:val="0006233A"/>
    <w:rsid w:val="00073CC6"/>
    <w:rsid w:val="00075780"/>
    <w:rsid w:val="00085F5C"/>
    <w:rsid w:val="000A0AD3"/>
    <w:rsid w:val="000A385B"/>
    <w:rsid w:val="000A6E26"/>
    <w:rsid w:val="000B3EA8"/>
    <w:rsid w:val="000B72C8"/>
    <w:rsid w:val="000C2172"/>
    <w:rsid w:val="000C70DA"/>
    <w:rsid w:val="000D09C6"/>
    <w:rsid w:val="000D2B43"/>
    <w:rsid w:val="000D3906"/>
    <w:rsid w:val="000D5EC2"/>
    <w:rsid w:val="000F3515"/>
    <w:rsid w:val="00100738"/>
    <w:rsid w:val="00104318"/>
    <w:rsid w:val="00107AF1"/>
    <w:rsid w:val="001214FA"/>
    <w:rsid w:val="00122E2B"/>
    <w:rsid w:val="001259F4"/>
    <w:rsid w:val="00126E3A"/>
    <w:rsid w:val="001473CC"/>
    <w:rsid w:val="00147CFC"/>
    <w:rsid w:val="00152107"/>
    <w:rsid w:val="00153D6C"/>
    <w:rsid w:val="00180F4C"/>
    <w:rsid w:val="00182F5F"/>
    <w:rsid w:val="0018324E"/>
    <w:rsid w:val="00184844"/>
    <w:rsid w:val="00197041"/>
    <w:rsid w:val="001979B4"/>
    <w:rsid w:val="00197DE8"/>
    <w:rsid w:val="001A53C1"/>
    <w:rsid w:val="001B4596"/>
    <w:rsid w:val="001B56D1"/>
    <w:rsid w:val="001C4458"/>
    <w:rsid w:val="001C44A9"/>
    <w:rsid w:val="001C616B"/>
    <w:rsid w:val="001D10F1"/>
    <w:rsid w:val="001D124C"/>
    <w:rsid w:val="001D395E"/>
    <w:rsid w:val="001D4C8F"/>
    <w:rsid w:val="001D79C5"/>
    <w:rsid w:val="001E5250"/>
    <w:rsid w:val="001F49B5"/>
    <w:rsid w:val="00212B50"/>
    <w:rsid w:val="0021662B"/>
    <w:rsid w:val="0021667F"/>
    <w:rsid w:val="00216BF5"/>
    <w:rsid w:val="00217D79"/>
    <w:rsid w:val="00221568"/>
    <w:rsid w:val="002225A5"/>
    <w:rsid w:val="002254EE"/>
    <w:rsid w:val="002270C5"/>
    <w:rsid w:val="0023568E"/>
    <w:rsid w:val="002421DA"/>
    <w:rsid w:val="0025119A"/>
    <w:rsid w:val="002546B8"/>
    <w:rsid w:val="00270175"/>
    <w:rsid w:val="00274EA6"/>
    <w:rsid w:val="002764AE"/>
    <w:rsid w:val="002812BD"/>
    <w:rsid w:val="002909F4"/>
    <w:rsid w:val="00294428"/>
    <w:rsid w:val="00295865"/>
    <w:rsid w:val="002A3591"/>
    <w:rsid w:val="002A6EFE"/>
    <w:rsid w:val="002C29FD"/>
    <w:rsid w:val="002C3A8B"/>
    <w:rsid w:val="002E6ACC"/>
    <w:rsid w:val="002E7DCC"/>
    <w:rsid w:val="00313A11"/>
    <w:rsid w:val="00315D96"/>
    <w:rsid w:val="003166EE"/>
    <w:rsid w:val="0032033B"/>
    <w:rsid w:val="00342FB7"/>
    <w:rsid w:val="0035501F"/>
    <w:rsid w:val="00357974"/>
    <w:rsid w:val="00360277"/>
    <w:rsid w:val="00370E34"/>
    <w:rsid w:val="00377938"/>
    <w:rsid w:val="0038130A"/>
    <w:rsid w:val="003852A0"/>
    <w:rsid w:val="003A1490"/>
    <w:rsid w:val="003A37EA"/>
    <w:rsid w:val="003B59B0"/>
    <w:rsid w:val="003D256D"/>
    <w:rsid w:val="003E0569"/>
    <w:rsid w:val="003F65E4"/>
    <w:rsid w:val="00404C38"/>
    <w:rsid w:val="00412331"/>
    <w:rsid w:val="00421118"/>
    <w:rsid w:val="00427B5E"/>
    <w:rsid w:val="0047396E"/>
    <w:rsid w:val="0047495B"/>
    <w:rsid w:val="00490540"/>
    <w:rsid w:val="00496655"/>
    <w:rsid w:val="004A112B"/>
    <w:rsid w:val="004A3E97"/>
    <w:rsid w:val="004B2E4C"/>
    <w:rsid w:val="004B65E1"/>
    <w:rsid w:val="004C0CD2"/>
    <w:rsid w:val="004C5772"/>
    <w:rsid w:val="004C5CE7"/>
    <w:rsid w:val="004C7887"/>
    <w:rsid w:val="004D0214"/>
    <w:rsid w:val="004D1FAF"/>
    <w:rsid w:val="004D5B20"/>
    <w:rsid w:val="004D7FF8"/>
    <w:rsid w:val="004F4D8C"/>
    <w:rsid w:val="004F53A8"/>
    <w:rsid w:val="004F7D92"/>
    <w:rsid w:val="00510A73"/>
    <w:rsid w:val="005116D4"/>
    <w:rsid w:val="00516B79"/>
    <w:rsid w:val="005220FA"/>
    <w:rsid w:val="0053010B"/>
    <w:rsid w:val="00536312"/>
    <w:rsid w:val="00540303"/>
    <w:rsid w:val="00542056"/>
    <w:rsid w:val="005429FE"/>
    <w:rsid w:val="00551E63"/>
    <w:rsid w:val="005568AA"/>
    <w:rsid w:val="00562664"/>
    <w:rsid w:val="00562AE3"/>
    <w:rsid w:val="00566DBF"/>
    <w:rsid w:val="00570CE0"/>
    <w:rsid w:val="00573BF0"/>
    <w:rsid w:val="00583906"/>
    <w:rsid w:val="00594789"/>
    <w:rsid w:val="00594F83"/>
    <w:rsid w:val="005A52D9"/>
    <w:rsid w:val="005C1358"/>
    <w:rsid w:val="005C323E"/>
    <w:rsid w:val="005D1C41"/>
    <w:rsid w:val="005D1EE2"/>
    <w:rsid w:val="005E0537"/>
    <w:rsid w:val="005E53FD"/>
    <w:rsid w:val="00603058"/>
    <w:rsid w:val="006125F4"/>
    <w:rsid w:val="00637716"/>
    <w:rsid w:val="0063776C"/>
    <w:rsid w:val="00646491"/>
    <w:rsid w:val="00650E6E"/>
    <w:rsid w:val="00653F27"/>
    <w:rsid w:val="00676D30"/>
    <w:rsid w:val="00677A19"/>
    <w:rsid w:val="00680F09"/>
    <w:rsid w:val="00682ACE"/>
    <w:rsid w:val="00683D52"/>
    <w:rsid w:val="006874B2"/>
    <w:rsid w:val="00687CEC"/>
    <w:rsid w:val="006905F0"/>
    <w:rsid w:val="00690B34"/>
    <w:rsid w:val="00690EE9"/>
    <w:rsid w:val="006A4034"/>
    <w:rsid w:val="006B1BEC"/>
    <w:rsid w:val="006B2F3B"/>
    <w:rsid w:val="006C45B6"/>
    <w:rsid w:val="006C77F6"/>
    <w:rsid w:val="006D483D"/>
    <w:rsid w:val="006D7F4E"/>
    <w:rsid w:val="006F0253"/>
    <w:rsid w:val="006F0F40"/>
    <w:rsid w:val="006F12DF"/>
    <w:rsid w:val="006F223E"/>
    <w:rsid w:val="006F74CC"/>
    <w:rsid w:val="007055EF"/>
    <w:rsid w:val="00707E6F"/>
    <w:rsid w:val="00710CD6"/>
    <w:rsid w:val="00710CD8"/>
    <w:rsid w:val="00722A47"/>
    <w:rsid w:val="00723BCB"/>
    <w:rsid w:val="007306B3"/>
    <w:rsid w:val="00736DCA"/>
    <w:rsid w:val="00737E8F"/>
    <w:rsid w:val="00741F40"/>
    <w:rsid w:val="00743B12"/>
    <w:rsid w:val="0075037F"/>
    <w:rsid w:val="00781F36"/>
    <w:rsid w:val="00795B87"/>
    <w:rsid w:val="00797514"/>
    <w:rsid w:val="007A0C3D"/>
    <w:rsid w:val="007A6E53"/>
    <w:rsid w:val="007B397E"/>
    <w:rsid w:val="007B6AA8"/>
    <w:rsid w:val="007C3D8A"/>
    <w:rsid w:val="007C743D"/>
    <w:rsid w:val="007D0724"/>
    <w:rsid w:val="007D28F1"/>
    <w:rsid w:val="007D6710"/>
    <w:rsid w:val="007D6AF7"/>
    <w:rsid w:val="007E6046"/>
    <w:rsid w:val="007E7A8F"/>
    <w:rsid w:val="007F0F9F"/>
    <w:rsid w:val="007F13FB"/>
    <w:rsid w:val="007F1B40"/>
    <w:rsid w:val="007F34B6"/>
    <w:rsid w:val="007F50D5"/>
    <w:rsid w:val="00800668"/>
    <w:rsid w:val="0080275E"/>
    <w:rsid w:val="008065A2"/>
    <w:rsid w:val="008113C4"/>
    <w:rsid w:val="00814048"/>
    <w:rsid w:val="00815656"/>
    <w:rsid w:val="00817BA5"/>
    <w:rsid w:val="00823CF0"/>
    <w:rsid w:val="00846C10"/>
    <w:rsid w:val="00857B6B"/>
    <w:rsid w:val="008608C0"/>
    <w:rsid w:val="00860EA0"/>
    <w:rsid w:val="008633FA"/>
    <w:rsid w:val="00870CFA"/>
    <w:rsid w:val="00877298"/>
    <w:rsid w:val="00886FCD"/>
    <w:rsid w:val="00887174"/>
    <w:rsid w:val="0089222C"/>
    <w:rsid w:val="008963D9"/>
    <w:rsid w:val="00896709"/>
    <w:rsid w:val="008A65DC"/>
    <w:rsid w:val="008A6B28"/>
    <w:rsid w:val="008B0CFD"/>
    <w:rsid w:val="008B19C8"/>
    <w:rsid w:val="008B21B6"/>
    <w:rsid w:val="008B5D2B"/>
    <w:rsid w:val="008C0675"/>
    <w:rsid w:val="008C118B"/>
    <w:rsid w:val="008C1C6C"/>
    <w:rsid w:val="008C52A7"/>
    <w:rsid w:val="008C58F4"/>
    <w:rsid w:val="008E3534"/>
    <w:rsid w:val="008E54D0"/>
    <w:rsid w:val="008F4399"/>
    <w:rsid w:val="00900FCF"/>
    <w:rsid w:val="009262D7"/>
    <w:rsid w:val="0092749B"/>
    <w:rsid w:val="0092750F"/>
    <w:rsid w:val="00927F91"/>
    <w:rsid w:val="0093159E"/>
    <w:rsid w:val="00942ACF"/>
    <w:rsid w:val="0094321D"/>
    <w:rsid w:val="00944343"/>
    <w:rsid w:val="00956F75"/>
    <w:rsid w:val="009611F8"/>
    <w:rsid w:val="00966CDF"/>
    <w:rsid w:val="00975A03"/>
    <w:rsid w:val="00984776"/>
    <w:rsid w:val="00990568"/>
    <w:rsid w:val="009907A6"/>
    <w:rsid w:val="00994C2C"/>
    <w:rsid w:val="00996874"/>
    <w:rsid w:val="009A262D"/>
    <w:rsid w:val="009A3D93"/>
    <w:rsid w:val="009B247A"/>
    <w:rsid w:val="009C18C1"/>
    <w:rsid w:val="009C1CE8"/>
    <w:rsid w:val="009C7607"/>
    <w:rsid w:val="009D15D9"/>
    <w:rsid w:val="009E1623"/>
    <w:rsid w:val="009F0553"/>
    <w:rsid w:val="009F26D8"/>
    <w:rsid w:val="009F377D"/>
    <w:rsid w:val="009F3F7D"/>
    <w:rsid w:val="009F44F0"/>
    <w:rsid w:val="00A01FC0"/>
    <w:rsid w:val="00A02562"/>
    <w:rsid w:val="00A16353"/>
    <w:rsid w:val="00A21437"/>
    <w:rsid w:val="00A27B60"/>
    <w:rsid w:val="00A3004B"/>
    <w:rsid w:val="00A429B1"/>
    <w:rsid w:val="00A504CA"/>
    <w:rsid w:val="00A70EB3"/>
    <w:rsid w:val="00A7234E"/>
    <w:rsid w:val="00A72532"/>
    <w:rsid w:val="00A86AC4"/>
    <w:rsid w:val="00A9030B"/>
    <w:rsid w:val="00A9053E"/>
    <w:rsid w:val="00A94A0E"/>
    <w:rsid w:val="00AA36CF"/>
    <w:rsid w:val="00AA7BCE"/>
    <w:rsid w:val="00AB7513"/>
    <w:rsid w:val="00AB7D45"/>
    <w:rsid w:val="00AB7D8D"/>
    <w:rsid w:val="00AC6945"/>
    <w:rsid w:val="00AD1450"/>
    <w:rsid w:val="00AE7627"/>
    <w:rsid w:val="00AF4EB2"/>
    <w:rsid w:val="00B05C59"/>
    <w:rsid w:val="00B12DF9"/>
    <w:rsid w:val="00B17CA4"/>
    <w:rsid w:val="00B206A9"/>
    <w:rsid w:val="00B40B5E"/>
    <w:rsid w:val="00B41529"/>
    <w:rsid w:val="00B42DED"/>
    <w:rsid w:val="00B44798"/>
    <w:rsid w:val="00B45D80"/>
    <w:rsid w:val="00B55567"/>
    <w:rsid w:val="00B62CAC"/>
    <w:rsid w:val="00B65DE2"/>
    <w:rsid w:val="00B72402"/>
    <w:rsid w:val="00B772B8"/>
    <w:rsid w:val="00B80FA6"/>
    <w:rsid w:val="00B83C9E"/>
    <w:rsid w:val="00B87353"/>
    <w:rsid w:val="00B918A8"/>
    <w:rsid w:val="00B92689"/>
    <w:rsid w:val="00B9394B"/>
    <w:rsid w:val="00B94D16"/>
    <w:rsid w:val="00B96B79"/>
    <w:rsid w:val="00BB5795"/>
    <w:rsid w:val="00BC66D3"/>
    <w:rsid w:val="00BD0585"/>
    <w:rsid w:val="00BE71AA"/>
    <w:rsid w:val="00BF34C6"/>
    <w:rsid w:val="00BF36DB"/>
    <w:rsid w:val="00BF78B8"/>
    <w:rsid w:val="00C11F3F"/>
    <w:rsid w:val="00C2454E"/>
    <w:rsid w:val="00C24CC2"/>
    <w:rsid w:val="00C263DE"/>
    <w:rsid w:val="00C3138C"/>
    <w:rsid w:val="00C317D6"/>
    <w:rsid w:val="00C35E0E"/>
    <w:rsid w:val="00C370D7"/>
    <w:rsid w:val="00C451BC"/>
    <w:rsid w:val="00C53964"/>
    <w:rsid w:val="00C633F9"/>
    <w:rsid w:val="00C65AF8"/>
    <w:rsid w:val="00C819C9"/>
    <w:rsid w:val="00C856AE"/>
    <w:rsid w:val="00C91525"/>
    <w:rsid w:val="00C95A98"/>
    <w:rsid w:val="00CA0600"/>
    <w:rsid w:val="00CA6521"/>
    <w:rsid w:val="00CB03A0"/>
    <w:rsid w:val="00CB0B01"/>
    <w:rsid w:val="00CB34A0"/>
    <w:rsid w:val="00CB4E8E"/>
    <w:rsid w:val="00CB6F15"/>
    <w:rsid w:val="00CB7BEC"/>
    <w:rsid w:val="00CC0E21"/>
    <w:rsid w:val="00CC2C91"/>
    <w:rsid w:val="00CD0D05"/>
    <w:rsid w:val="00CD2047"/>
    <w:rsid w:val="00CD61FE"/>
    <w:rsid w:val="00CE0725"/>
    <w:rsid w:val="00CE6A7E"/>
    <w:rsid w:val="00CF06E7"/>
    <w:rsid w:val="00D15114"/>
    <w:rsid w:val="00D1777A"/>
    <w:rsid w:val="00D23AD3"/>
    <w:rsid w:val="00D24089"/>
    <w:rsid w:val="00D246B6"/>
    <w:rsid w:val="00D24911"/>
    <w:rsid w:val="00D269E4"/>
    <w:rsid w:val="00D315F8"/>
    <w:rsid w:val="00D3318D"/>
    <w:rsid w:val="00D3635B"/>
    <w:rsid w:val="00D45012"/>
    <w:rsid w:val="00D5335A"/>
    <w:rsid w:val="00D54F0F"/>
    <w:rsid w:val="00D55D5C"/>
    <w:rsid w:val="00D563A4"/>
    <w:rsid w:val="00D614A1"/>
    <w:rsid w:val="00D61799"/>
    <w:rsid w:val="00D61FAE"/>
    <w:rsid w:val="00D65AD7"/>
    <w:rsid w:val="00D70847"/>
    <w:rsid w:val="00D709A5"/>
    <w:rsid w:val="00D7231A"/>
    <w:rsid w:val="00D81C2E"/>
    <w:rsid w:val="00D90491"/>
    <w:rsid w:val="00D90B31"/>
    <w:rsid w:val="00D95C43"/>
    <w:rsid w:val="00DA117F"/>
    <w:rsid w:val="00DB06BB"/>
    <w:rsid w:val="00DB1336"/>
    <w:rsid w:val="00DC168C"/>
    <w:rsid w:val="00DC5975"/>
    <w:rsid w:val="00DD5E17"/>
    <w:rsid w:val="00DE5072"/>
    <w:rsid w:val="00DE5497"/>
    <w:rsid w:val="00DF1702"/>
    <w:rsid w:val="00E12A43"/>
    <w:rsid w:val="00E14D40"/>
    <w:rsid w:val="00E17E24"/>
    <w:rsid w:val="00E22595"/>
    <w:rsid w:val="00E2358A"/>
    <w:rsid w:val="00E25DD9"/>
    <w:rsid w:val="00E265EA"/>
    <w:rsid w:val="00E30AE6"/>
    <w:rsid w:val="00E30C5E"/>
    <w:rsid w:val="00E32574"/>
    <w:rsid w:val="00E347E3"/>
    <w:rsid w:val="00E36309"/>
    <w:rsid w:val="00E3769E"/>
    <w:rsid w:val="00E478D9"/>
    <w:rsid w:val="00E52261"/>
    <w:rsid w:val="00E5352A"/>
    <w:rsid w:val="00E545AA"/>
    <w:rsid w:val="00E54ACC"/>
    <w:rsid w:val="00E73B59"/>
    <w:rsid w:val="00E749FA"/>
    <w:rsid w:val="00E83A52"/>
    <w:rsid w:val="00E90D0E"/>
    <w:rsid w:val="00E93664"/>
    <w:rsid w:val="00E9402C"/>
    <w:rsid w:val="00E94584"/>
    <w:rsid w:val="00E95B07"/>
    <w:rsid w:val="00EA084B"/>
    <w:rsid w:val="00EA409E"/>
    <w:rsid w:val="00EA7C18"/>
    <w:rsid w:val="00EC4EDE"/>
    <w:rsid w:val="00EC6583"/>
    <w:rsid w:val="00ED12A8"/>
    <w:rsid w:val="00ED3167"/>
    <w:rsid w:val="00ED47AA"/>
    <w:rsid w:val="00ED5D35"/>
    <w:rsid w:val="00ED69E8"/>
    <w:rsid w:val="00EE3975"/>
    <w:rsid w:val="00EE4C5A"/>
    <w:rsid w:val="00EF061E"/>
    <w:rsid w:val="00EF0D2A"/>
    <w:rsid w:val="00EF5BAB"/>
    <w:rsid w:val="00F00006"/>
    <w:rsid w:val="00F11B97"/>
    <w:rsid w:val="00F12667"/>
    <w:rsid w:val="00F12C53"/>
    <w:rsid w:val="00F13C38"/>
    <w:rsid w:val="00F14C52"/>
    <w:rsid w:val="00F16910"/>
    <w:rsid w:val="00F2792A"/>
    <w:rsid w:val="00F30D82"/>
    <w:rsid w:val="00F4085A"/>
    <w:rsid w:val="00F4145B"/>
    <w:rsid w:val="00F459F9"/>
    <w:rsid w:val="00F46180"/>
    <w:rsid w:val="00F51E79"/>
    <w:rsid w:val="00F57DF3"/>
    <w:rsid w:val="00F6044D"/>
    <w:rsid w:val="00F758A1"/>
    <w:rsid w:val="00F77A48"/>
    <w:rsid w:val="00F811C4"/>
    <w:rsid w:val="00F81EA5"/>
    <w:rsid w:val="00F8371A"/>
    <w:rsid w:val="00F928E7"/>
    <w:rsid w:val="00FA0222"/>
    <w:rsid w:val="00FA107D"/>
    <w:rsid w:val="00FA65AD"/>
    <w:rsid w:val="00FB2C1D"/>
    <w:rsid w:val="00FB51D2"/>
    <w:rsid w:val="00FD06B6"/>
    <w:rsid w:val="00FD1036"/>
    <w:rsid w:val="00FD15D4"/>
    <w:rsid w:val="00FD2AA2"/>
    <w:rsid w:val="00FD4FEF"/>
    <w:rsid w:val="00FE3836"/>
    <w:rsid w:val="00FE3E25"/>
    <w:rsid w:val="00FE46E6"/>
    <w:rsid w:val="00FE6F39"/>
    <w:rsid w:val="00FF0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4A8F503F"/>
  <w15:docId w15:val="{70116CF8-8295-49D5-9293-DCAB89F75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SRBodyText"/>
    <w:next w:val="SRBodyText"/>
    <w:link w:val="Heading1Char"/>
    <w:uiPriority w:val="9"/>
    <w:qFormat/>
    <w:rsid w:val="00CA6521"/>
    <w:pPr>
      <w:outlineLvl w:val="0"/>
    </w:pPr>
    <w:rPr>
      <w:rFonts w:cs="Arial"/>
      <w:b/>
      <w:caps/>
      <w:u w:val="single"/>
    </w:rPr>
  </w:style>
  <w:style w:type="paragraph" w:styleId="Heading2">
    <w:name w:val="heading 2"/>
    <w:basedOn w:val="Heading1"/>
    <w:next w:val="SRBodyText"/>
    <w:link w:val="Heading2Char"/>
    <w:uiPriority w:val="9"/>
    <w:unhideWhenUsed/>
    <w:qFormat/>
    <w:rsid w:val="00CA6521"/>
    <w:pPr>
      <w:numPr>
        <w:numId w:val="6"/>
      </w:numPr>
      <w:outlineLvl w:val="1"/>
    </w:pPr>
    <w:rPr>
      <w:caps w:val="0"/>
      <w:u w:val="none"/>
    </w:rPr>
  </w:style>
  <w:style w:type="paragraph" w:styleId="Heading3">
    <w:name w:val="heading 3"/>
    <w:basedOn w:val="Heading2"/>
    <w:next w:val="Normal"/>
    <w:link w:val="Heading3Char"/>
    <w:uiPriority w:val="9"/>
    <w:unhideWhenUsed/>
    <w:qFormat/>
    <w:rsid w:val="00B83C9E"/>
    <w:pPr>
      <w:keepNext/>
      <w:numPr>
        <w:numId w:val="7"/>
      </w:numPr>
      <w:outlineLvl w:val="2"/>
    </w:pPr>
  </w:style>
  <w:style w:type="paragraph" w:styleId="Heading4">
    <w:name w:val="heading 4"/>
    <w:basedOn w:val="Heading3"/>
    <w:next w:val="Normal"/>
    <w:link w:val="Heading4Char"/>
    <w:uiPriority w:val="9"/>
    <w:unhideWhenUsed/>
    <w:qFormat/>
    <w:rsid w:val="00CA6521"/>
    <w:pPr>
      <w:numPr>
        <w:numId w:val="8"/>
      </w:numPr>
      <w:outlineLvl w:val="3"/>
    </w:pPr>
  </w:style>
  <w:style w:type="paragraph" w:styleId="Heading5">
    <w:name w:val="heading 5"/>
    <w:basedOn w:val="Heading4"/>
    <w:next w:val="Normal"/>
    <w:link w:val="Heading5Char"/>
    <w:uiPriority w:val="9"/>
    <w:unhideWhenUsed/>
    <w:qFormat/>
    <w:rsid w:val="00CA6521"/>
    <w:pPr>
      <w:numPr>
        <w:numId w:val="9"/>
      </w:numPr>
      <w:outlineLvl w:val="4"/>
    </w:pPr>
  </w:style>
  <w:style w:type="paragraph" w:styleId="Heading6">
    <w:name w:val="heading 6"/>
    <w:basedOn w:val="Normal"/>
    <w:next w:val="Normal"/>
    <w:link w:val="Heading6Char"/>
    <w:uiPriority w:val="9"/>
    <w:semiHidden/>
    <w:unhideWhenUsed/>
    <w:qFormat/>
    <w:rsid w:val="00A3004B"/>
    <w:pPr>
      <w:keepNext/>
      <w:keepLines/>
      <w:numPr>
        <w:ilvl w:val="5"/>
        <w:numId w:val="2"/>
      </w:numPr>
      <w:suppressAutoHyphens w:val="0"/>
      <w:spacing w:before="40"/>
      <w:outlineLvl w:val="5"/>
    </w:pPr>
    <w:rPr>
      <w:rFonts w:asciiTheme="majorHAnsi" w:eastAsiaTheme="majorEastAsia" w:hAnsiTheme="majorHAnsi" w:cstheme="majorBidi"/>
      <w:color w:val="243F60" w:themeColor="accent1" w:themeShade="7F"/>
      <w:lang w:eastAsia="en-US"/>
    </w:rPr>
  </w:style>
  <w:style w:type="paragraph" w:styleId="Heading7">
    <w:name w:val="heading 7"/>
    <w:basedOn w:val="Normal"/>
    <w:next w:val="Normal"/>
    <w:link w:val="Heading7Char"/>
    <w:uiPriority w:val="9"/>
    <w:semiHidden/>
    <w:unhideWhenUsed/>
    <w:qFormat/>
    <w:rsid w:val="00A3004B"/>
    <w:pPr>
      <w:keepNext/>
      <w:keepLines/>
      <w:numPr>
        <w:ilvl w:val="6"/>
        <w:numId w:val="2"/>
      </w:numPr>
      <w:suppressAutoHyphens w:val="0"/>
      <w:spacing w:before="40"/>
      <w:outlineLvl w:val="6"/>
    </w:pPr>
    <w:rPr>
      <w:rFonts w:asciiTheme="majorHAnsi" w:eastAsiaTheme="majorEastAsia" w:hAnsiTheme="majorHAnsi" w:cstheme="majorBidi"/>
      <w:i/>
      <w:iCs/>
      <w:color w:val="243F60" w:themeColor="accent1" w:themeShade="7F"/>
      <w:lang w:eastAsia="en-US"/>
    </w:rPr>
  </w:style>
  <w:style w:type="paragraph" w:styleId="Heading8">
    <w:name w:val="heading 8"/>
    <w:basedOn w:val="Normal"/>
    <w:next w:val="Normal"/>
    <w:link w:val="Heading8Char"/>
    <w:uiPriority w:val="9"/>
    <w:semiHidden/>
    <w:unhideWhenUsed/>
    <w:qFormat/>
    <w:rsid w:val="00A3004B"/>
    <w:pPr>
      <w:keepNext/>
      <w:keepLines/>
      <w:numPr>
        <w:ilvl w:val="7"/>
        <w:numId w:val="2"/>
      </w:numPr>
      <w:suppressAutoHyphens w:val="0"/>
      <w:spacing w:before="40"/>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A3004B"/>
    <w:pPr>
      <w:keepNext/>
      <w:keepLines/>
      <w:numPr>
        <w:ilvl w:val="8"/>
        <w:numId w:val="2"/>
      </w:numPr>
      <w:suppressAutoHyphens w:val="0"/>
      <w:spacing w:before="40"/>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1z0">
    <w:name w:val="WW8Num1z0"/>
    <w:rPr>
      <w:b/>
    </w:rPr>
  </w:style>
  <w:style w:type="character" w:styleId="PageNumber">
    <w:name w:val="page number"/>
    <w:basedOn w:val="DefaultParagraphFont"/>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Verdana" w:eastAsia="MS Mincho" w:hAnsi="Verdana" w:cs="Tahoma"/>
      <w:sz w:val="22"/>
      <w:szCs w:val="28"/>
    </w:rPr>
  </w:style>
  <w:style w:type="paragraph" w:styleId="BodyText">
    <w:name w:val="Body Text"/>
    <w:basedOn w:val="Normal"/>
    <w:link w:val="BodyTextChar"/>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ascii="Verdana" w:hAnsi="Verdana" w:cs="Tahoma"/>
      <w:i/>
      <w:iCs/>
      <w:sz w:val="20"/>
    </w:rPr>
  </w:style>
  <w:style w:type="paragraph" w:customStyle="1" w:styleId="Index">
    <w:name w:val="Index"/>
    <w:basedOn w:val="Normal"/>
    <w:pPr>
      <w:suppressLineNumbers/>
    </w:pPr>
    <w:rPr>
      <w:rFonts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styleId="FootnoteText">
    <w:name w:val="footnote text"/>
    <w:basedOn w:val="Normal"/>
    <w:link w:val="FootnoteTextChar"/>
    <w:uiPriority w:val="99"/>
    <w:qFormat/>
    <w:rsid w:val="00677A19"/>
    <w:rPr>
      <w:rFonts w:ascii="Arial" w:hAnsi="Arial"/>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FollowedHyperlink">
    <w:name w:val="FollowedHyperlink"/>
    <w:rsid w:val="00C9137B"/>
    <w:rPr>
      <w:color w:val="800080"/>
      <w:u w:val="single"/>
    </w:rPr>
  </w:style>
  <w:style w:type="character" w:styleId="FootnoteReference">
    <w:name w:val="footnote reference"/>
    <w:uiPriority w:val="99"/>
    <w:unhideWhenUsed/>
    <w:rsid w:val="00CD7443"/>
    <w:rPr>
      <w:vertAlign w:val="superscript"/>
    </w:rPr>
  </w:style>
  <w:style w:type="paragraph" w:styleId="BodyText3">
    <w:name w:val="Body Text 3"/>
    <w:basedOn w:val="Normal"/>
    <w:rsid w:val="00292EAB"/>
    <w:pPr>
      <w:spacing w:after="120"/>
    </w:pPr>
    <w:rPr>
      <w:sz w:val="16"/>
      <w:szCs w:val="16"/>
    </w:rPr>
  </w:style>
  <w:style w:type="table" w:styleId="TableGrid">
    <w:name w:val="Table Grid"/>
    <w:basedOn w:val="TableNormal"/>
    <w:uiPriority w:val="39"/>
    <w:rsid w:val="007F77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link w:val="FootnoteText"/>
    <w:uiPriority w:val="99"/>
    <w:rsid w:val="00677A19"/>
    <w:rPr>
      <w:rFonts w:ascii="Arial" w:hAnsi="Arial"/>
      <w:lang w:eastAsia="ar-SA"/>
    </w:rPr>
  </w:style>
  <w:style w:type="character" w:customStyle="1" w:styleId="BodyTextChar">
    <w:name w:val="Body Text Char"/>
    <w:link w:val="BodyText"/>
    <w:rsid w:val="004C7887"/>
    <w:rPr>
      <w:sz w:val="24"/>
      <w:szCs w:val="24"/>
      <w:lang w:eastAsia="ar-SA"/>
    </w:rPr>
  </w:style>
  <w:style w:type="paragraph" w:styleId="ListParagraph">
    <w:name w:val="List Paragraph"/>
    <w:basedOn w:val="Normal"/>
    <w:uiPriority w:val="34"/>
    <w:qFormat/>
    <w:rsid w:val="00B05C59"/>
    <w:pPr>
      <w:ind w:left="720"/>
      <w:contextualSpacing/>
    </w:pPr>
  </w:style>
  <w:style w:type="character" w:customStyle="1" w:styleId="Heading2Char">
    <w:name w:val="Heading 2 Char"/>
    <w:basedOn w:val="DefaultParagraphFont"/>
    <w:link w:val="Heading2"/>
    <w:uiPriority w:val="9"/>
    <w:rsid w:val="00CA6521"/>
    <w:rPr>
      <w:rFonts w:ascii="Arial" w:eastAsiaTheme="minorHAnsi" w:hAnsi="Arial" w:cs="Arial"/>
      <w:b/>
      <w:sz w:val="24"/>
      <w:szCs w:val="24"/>
    </w:rPr>
  </w:style>
  <w:style w:type="character" w:customStyle="1" w:styleId="Heading4Char">
    <w:name w:val="Heading 4 Char"/>
    <w:basedOn w:val="DefaultParagraphFont"/>
    <w:link w:val="Heading4"/>
    <w:uiPriority w:val="9"/>
    <w:rsid w:val="00CA6521"/>
    <w:rPr>
      <w:rFonts w:ascii="Arial" w:eastAsiaTheme="minorHAnsi" w:hAnsi="Arial" w:cs="Arial"/>
      <w:b/>
      <w:sz w:val="24"/>
      <w:szCs w:val="24"/>
    </w:rPr>
  </w:style>
  <w:style w:type="character" w:customStyle="1" w:styleId="Heading5Char">
    <w:name w:val="Heading 5 Char"/>
    <w:basedOn w:val="DefaultParagraphFont"/>
    <w:link w:val="Heading5"/>
    <w:uiPriority w:val="9"/>
    <w:rsid w:val="00CA6521"/>
    <w:rPr>
      <w:rFonts w:ascii="Arial" w:eastAsiaTheme="minorHAnsi" w:hAnsi="Arial" w:cs="Arial"/>
      <w:b/>
      <w:sz w:val="24"/>
      <w:szCs w:val="24"/>
    </w:rPr>
  </w:style>
  <w:style w:type="character" w:customStyle="1" w:styleId="Heading6Char">
    <w:name w:val="Heading 6 Char"/>
    <w:basedOn w:val="DefaultParagraphFont"/>
    <w:link w:val="Heading6"/>
    <w:uiPriority w:val="9"/>
    <w:semiHidden/>
    <w:rsid w:val="00A3004B"/>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A3004B"/>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A3004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3004B"/>
    <w:rPr>
      <w:rFonts w:asciiTheme="majorHAnsi" w:eastAsiaTheme="majorEastAsia" w:hAnsiTheme="majorHAnsi" w:cstheme="majorBidi"/>
      <w:i/>
      <w:iCs/>
      <w:color w:val="272727" w:themeColor="text1" w:themeTint="D8"/>
      <w:sz w:val="21"/>
      <w:szCs w:val="21"/>
    </w:rPr>
  </w:style>
  <w:style w:type="paragraph" w:customStyle="1" w:styleId="SRBodyText">
    <w:name w:val="SR Body Text"/>
    <w:basedOn w:val="Normal"/>
    <w:link w:val="SRBodyTextChar"/>
    <w:qFormat/>
    <w:rsid w:val="00B94D16"/>
    <w:pPr>
      <w:suppressAutoHyphens w:val="0"/>
      <w:spacing w:before="240" w:after="240"/>
      <w:jc w:val="both"/>
    </w:pPr>
    <w:rPr>
      <w:rFonts w:ascii="Arial" w:eastAsiaTheme="minorHAnsi" w:hAnsi="Arial" w:cstheme="minorBidi"/>
      <w:lang w:eastAsia="en-US"/>
    </w:rPr>
  </w:style>
  <w:style w:type="character" w:customStyle="1" w:styleId="SRBodyTextChar">
    <w:name w:val="SR Body Text Char"/>
    <w:basedOn w:val="DefaultParagraphFont"/>
    <w:link w:val="SRBodyText"/>
    <w:rsid w:val="00B94D16"/>
    <w:rPr>
      <w:rFonts w:ascii="Arial" w:eastAsiaTheme="minorHAnsi" w:hAnsi="Arial" w:cstheme="minorBidi"/>
      <w:sz w:val="24"/>
      <w:szCs w:val="24"/>
    </w:rPr>
  </w:style>
  <w:style w:type="character" w:customStyle="1" w:styleId="Heading1Char">
    <w:name w:val="Heading 1 Char"/>
    <w:basedOn w:val="DefaultParagraphFont"/>
    <w:link w:val="Heading1"/>
    <w:uiPriority w:val="9"/>
    <w:rsid w:val="00CA6521"/>
    <w:rPr>
      <w:rFonts w:ascii="Arial" w:eastAsiaTheme="minorHAnsi" w:hAnsi="Arial" w:cs="Arial"/>
      <w:b/>
      <w:caps/>
      <w:sz w:val="24"/>
      <w:szCs w:val="24"/>
      <w:u w:val="single"/>
    </w:rPr>
  </w:style>
  <w:style w:type="character" w:customStyle="1" w:styleId="Heading3Char">
    <w:name w:val="Heading 3 Char"/>
    <w:basedOn w:val="DefaultParagraphFont"/>
    <w:link w:val="Heading3"/>
    <w:uiPriority w:val="9"/>
    <w:rsid w:val="00B83C9E"/>
    <w:rPr>
      <w:rFonts w:ascii="Arial" w:eastAsiaTheme="minorHAnsi" w:hAnsi="Arial" w:cs="Arial"/>
      <w:b/>
      <w:sz w:val="24"/>
      <w:szCs w:val="24"/>
    </w:rPr>
  </w:style>
  <w:style w:type="paragraph" w:customStyle="1" w:styleId="AnalysisHeading2">
    <w:name w:val="Analysis Heading 2"/>
    <w:basedOn w:val="Heading2"/>
    <w:link w:val="AnalysisHeading2Char"/>
    <w:qFormat/>
    <w:rsid w:val="00412331"/>
    <w:pPr>
      <w:numPr>
        <w:numId w:val="3"/>
      </w:numPr>
      <w:ind w:left="360"/>
    </w:pPr>
  </w:style>
  <w:style w:type="character" w:customStyle="1" w:styleId="AnalysisHeading2Char">
    <w:name w:val="Analysis Heading 2 Char"/>
    <w:basedOn w:val="Heading2Char"/>
    <w:link w:val="AnalysisHeading2"/>
    <w:rsid w:val="00412331"/>
    <w:rPr>
      <w:rFonts w:ascii="Arial" w:eastAsiaTheme="minorHAnsi" w:hAnsi="Arial" w:cs="Arial"/>
      <w:b/>
      <w:sz w:val="24"/>
      <w:szCs w:val="24"/>
    </w:rPr>
  </w:style>
  <w:style w:type="paragraph" w:customStyle="1" w:styleId="AnalysisHeading3">
    <w:name w:val="Analysis Heading 3"/>
    <w:basedOn w:val="Heading3"/>
    <w:next w:val="SRBodyText"/>
    <w:qFormat/>
    <w:rsid w:val="00412331"/>
    <w:pPr>
      <w:numPr>
        <w:numId w:val="4"/>
      </w:numPr>
    </w:pPr>
    <w:rPr>
      <w:b w:val="0"/>
    </w:rPr>
  </w:style>
  <w:style w:type="paragraph" w:customStyle="1" w:styleId="List-NoSpaces">
    <w:name w:val="# List - No Spaces"/>
    <w:basedOn w:val="ListParagraph"/>
    <w:link w:val="List-NoSpacesChar"/>
    <w:qFormat/>
    <w:rsid w:val="00CA6521"/>
    <w:pPr>
      <w:keepNext/>
      <w:numPr>
        <w:numId w:val="1"/>
      </w:numPr>
      <w:snapToGrid w:val="0"/>
      <w:ind w:left="360"/>
    </w:pPr>
    <w:rPr>
      <w:rFonts w:ascii="Arial" w:hAnsi="Arial" w:cs="Arial"/>
    </w:rPr>
  </w:style>
  <w:style w:type="character" w:customStyle="1" w:styleId="List-NoSpacesChar">
    <w:name w:val="# List - No Spaces Char"/>
    <w:basedOn w:val="SRBodyTextChar"/>
    <w:link w:val="List-NoSpaces"/>
    <w:rsid w:val="00CA6521"/>
    <w:rPr>
      <w:rFonts w:ascii="Arial" w:eastAsiaTheme="minorHAnsi" w:hAnsi="Arial" w:cs="Arial"/>
      <w:sz w:val="24"/>
      <w:szCs w:val="24"/>
      <w:lang w:eastAsia="ar-SA"/>
    </w:rPr>
  </w:style>
  <w:style w:type="paragraph" w:customStyle="1" w:styleId="List-WithSpaces">
    <w:name w:val="# List - With Spaces"/>
    <w:basedOn w:val="List-NoSpaces"/>
    <w:link w:val="List-WithSpacesChar"/>
    <w:qFormat/>
    <w:rsid w:val="00857B6B"/>
    <w:pPr>
      <w:contextualSpacing w:val="0"/>
    </w:pPr>
  </w:style>
  <w:style w:type="character" w:customStyle="1" w:styleId="List-WithSpacesChar">
    <w:name w:val="# List - With Spaces Char"/>
    <w:basedOn w:val="List-NoSpacesChar"/>
    <w:link w:val="List-WithSpaces"/>
    <w:rsid w:val="00857B6B"/>
    <w:rPr>
      <w:rFonts w:ascii="Arial" w:eastAsiaTheme="minorHAnsi" w:hAnsi="Arial" w:cs="Arial"/>
      <w:sz w:val="24"/>
      <w:szCs w:val="24"/>
      <w:lang w:eastAsia="ar-SA"/>
    </w:rPr>
  </w:style>
  <w:style w:type="paragraph" w:customStyle="1" w:styleId="BulletedList-NoSpaces">
    <w:name w:val="Bulleted List - No Spaces"/>
    <w:basedOn w:val="List-NoSpaces"/>
    <w:link w:val="BulletedList-NoSpacesChar"/>
    <w:qFormat/>
    <w:rsid w:val="00857B6B"/>
    <w:pPr>
      <w:numPr>
        <w:numId w:val="5"/>
      </w:numPr>
    </w:pPr>
  </w:style>
  <w:style w:type="character" w:customStyle="1" w:styleId="BulletedList-NoSpacesChar">
    <w:name w:val="Bulleted List - No Spaces Char"/>
    <w:basedOn w:val="List-NoSpacesChar"/>
    <w:link w:val="BulletedList-NoSpaces"/>
    <w:rsid w:val="00857B6B"/>
    <w:rPr>
      <w:rFonts w:ascii="Arial" w:eastAsiaTheme="minorHAnsi" w:hAnsi="Arial" w:cs="Arial"/>
      <w:sz w:val="24"/>
      <w:szCs w:val="24"/>
      <w:lang w:eastAsia="ar-SA"/>
    </w:rPr>
  </w:style>
  <w:style w:type="paragraph" w:customStyle="1" w:styleId="BulletedList-WithSpaces">
    <w:name w:val="Bulleted List - With Spaces"/>
    <w:basedOn w:val="BulletedList-NoSpaces"/>
    <w:link w:val="BulletedList-WithSpacesChar"/>
    <w:qFormat/>
    <w:rsid w:val="00857B6B"/>
    <w:pPr>
      <w:contextualSpacing w:val="0"/>
    </w:pPr>
  </w:style>
  <w:style w:type="character" w:customStyle="1" w:styleId="BulletedList-WithSpacesChar">
    <w:name w:val="Bulleted List - With Spaces Char"/>
    <w:basedOn w:val="BulletedList-NoSpacesChar"/>
    <w:link w:val="BulletedList-WithSpaces"/>
    <w:rsid w:val="00857B6B"/>
    <w:rPr>
      <w:rFonts w:ascii="Arial" w:eastAsiaTheme="minorHAnsi" w:hAnsi="Arial" w:cs="Arial"/>
      <w:sz w:val="24"/>
      <w:szCs w:val="24"/>
      <w:lang w:eastAsia="ar-SA"/>
    </w:rPr>
  </w:style>
  <w:style w:type="paragraph" w:customStyle="1" w:styleId="Quotation-Indented">
    <w:name w:val="Quotation - Indented"/>
    <w:basedOn w:val="SRBodyText"/>
    <w:next w:val="SRBodyText"/>
    <w:link w:val="Quotation-IndentedChar"/>
    <w:qFormat/>
    <w:rsid w:val="00857B6B"/>
    <w:pPr>
      <w:spacing w:before="0"/>
      <w:ind w:left="720" w:right="720"/>
    </w:pPr>
  </w:style>
  <w:style w:type="character" w:customStyle="1" w:styleId="Quotation-IndentedChar">
    <w:name w:val="Quotation - Indented Char"/>
    <w:basedOn w:val="SRBodyTextChar"/>
    <w:link w:val="Quotation-Indented"/>
    <w:rsid w:val="00857B6B"/>
    <w:rPr>
      <w:rFonts w:ascii="Arial" w:eastAsiaTheme="minorHAnsi" w:hAnsi="Arial"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8530">
      <w:bodyDiv w:val="1"/>
      <w:marLeft w:val="0"/>
      <w:marRight w:val="0"/>
      <w:marTop w:val="0"/>
      <w:marBottom w:val="0"/>
      <w:divBdr>
        <w:top w:val="none" w:sz="0" w:space="0" w:color="auto"/>
        <w:left w:val="none" w:sz="0" w:space="0" w:color="auto"/>
        <w:bottom w:val="none" w:sz="0" w:space="0" w:color="auto"/>
        <w:right w:val="none" w:sz="0" w:space="0" w:color="auto"/>
      </w:divBdr>
    </w:div>
    <w:div w:id="338460344">
      <w:bodyDiv w:val="1"/>
      <w:marLeft w:val="0"/>
      <w:marRight w:val="0"/>
      <w:marTop w:val="0"/>
      <w:marBottom w:val="0"/>
      <w:divBdr>
        <w:top w:val="none" w:sz="0" w:space="0" w:color="auto"/>
        <w:left w:val="none" w:sz="0" w:space="0" w:color="auto"/>
        <w:bottom w:val="none" w:sz="0" w:space="0" w:color="auto"/>
        <w:right w:val="none" w:sz="0" w:space="0" w:color="auto"/>
      </w:divBdr>
    </w:div>
    <w:div w:id="359748371">
      <w:bodyDiv w:val="1"/>
      <w:marLeft w:val="0"/>
      <w:marRight w:val="0"/>
      <w:marTop w:val="0"/>
      <w:marBottom w:val="0"/>
      <w:divBdr>
        <w:top w:val="none" w:sz="0" w:space="0" w:color="auto"/>
        <w:left w:val="none" w:sz="0" w:space="0" w:color="auto"/>
        <w:bottom w:val="none" w:sz="0" w:space="0" w:color="auto"/>
        <w:right w:val="none" w:sz="0" w:space="0" w:color="auto"/>
      </w:divBdr>
    </w:div>
    <w:div w:id="393478186">
      <w:bodyDiv w:val="1"/>
      <w:marLeft w:val="0"/>
      <w:marRight w:val="0"/>
      <w:marTop w:val="0"/>
      <w:marBottom w:val="0"/>
      <w:divBdr>
        <w:top w:val="none" w:sz="0" w:space="0" w:color="auto"/>
        <w:left w:val="none" w:sz="0" w:space="0" w:color="auto"/>
        <w:bottom w:val="none" w:sz="0" w:space="0" w:color="auto"/>
        <w:right w:val="none" w:sz="0" w:space="0" w:color="auto"/>
      </w:divBdr>
    </w:div>
    <w:div w:id="981345867">
      <w:bodyDiv w:val="1"/>
      <w:marLeft w:val="0"/>
      <w:marRight w:val="0"/>
      <w:marTop w:val="0"/>
      <w:marBottom w:val="0"/>
      <w:divBdr>
        <w:top w:val="none" w:sz="0" w:space="0" w:color="auto"/>
        <w:left w:val="none" w:sz="0" w:space="0" w:color="auto"/>
        <w:bottom w:val="none" w:sz="0" w:space="0" w:color="auto"/>
        <w:right w:val="none" w:sz="0" w:space="0" w:color="auto"/>
      </w:divBdr>
    </w:div>
    <w:div w:id="1052969300">
      <w:bodyDiv w:val="1"/>
      <w:marLeft w:val="0"/>
      <w:marRight w:val="0"/>
      <w:marTop w:val="0"/>
      <w:marBottom w:val="0"/>
      <w:divBdr>
        <w:top w:val="none" w:sz="0" w:space="0" w:color="auto"/>
        <w:left w:val="none" w:sz="0" w:space="0" w:color="auto"/>
        <w:bottom w:val="none" w:sz="0" w:space="0" w:color="auto"/>
        <w:right w:val="none" w:sz="0" w:space="0" w:color="auto"/>
      </w:divBdr>
    </w:div>
    <w:div w:id="1223559628">
      <w:bodyDiv w:val="1"/>
      <w:marLeft w:val="0"/>
      <w:marRight w:val="0"/>
      <w:marTop w:val="0"/>
      <w:marBottom w:val="0"/>
      <w:divBdr>
        <w:top w:val="none" w:sz="0" w:space="0" w:color="auto"/>
        <w:left w:val="none" w:sz="0" w:space="0" w:color="auto"/>
        <w:bottom w:val="none" w:sz="0" w:space="0" w:color="auto"/>
        <w:right w:val="none" w:sz="0" w:space="0" w:color="auto"/>
      </w:divBdr>
    </w:div>
    <w:div w:id="155728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gner\Dropbox\Key%20Docs\Templates\LJEM%20CBA%20staff%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0455E-75DA-4142-B964-DDBAA3C9E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LJEM CBA staff report.dotx</Template>
  <TotalTime>24</TotalTime>
  <Pages>5</Pages>
  <Words>1526</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10210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 Wagner</dc:creator>
  <cp:lastModifiedBy>Daly, Sharon</cp:lastModifiedBy>
  <cp:revision>6</cp:revision>
  <cp:lastPrinted>2016-01-08T18:15:00Z</cp:lastPrinted>
  <dcterms:created xsi:type="dcterms:W3CDTF">2016-01-09T00:12:00Z</dcterms:created>
  <dcterms:modified xsi:type="dcterms:W3CDTF">2016-01-11T23:07:00Z</dcterms:modified>
</cp:coreProperties>
</file>