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F6" w:rsidRPr="00D937CE" w:rsidRDefault="00C77816" w:rsidP="00C60E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7CE">
        <w:rPr>
          <w:rFonts w:ascii="Times New Roman" w:hAnsi="Times New Roman" w:cs="Times New Roman"/>
          <w:b/>
          <w:sz w:val="24"/>
          <w:szCs w:val="24"/>
        </w:rPr>
        <w:t>Road Services Division</w:t>
      </w:r>
    </w:p>
    <w:p w:rsidR="00B411FA" w:rsidRPr="00D937CE" w:rsidRDefault="00B411FA" w:rsidP="00B411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7CE">
        <w:rPr>
          <w:rFonts w:ascii="Times New Roman" w:hAnsi="Times New Roman" w:cs="Times New Roman"/>
          <w:b/>
          <w:sz w:val="24"/>
          <w:szCs w:val="24"/>
        </w:rPr>
        <w:t>Second Quarter 2015 Expenditures for</w:t>
      </w:r>
    </w:p>
    <w:p w:rsidR="00C77816" w:rsidRPr="00D937CE" w:rsidRDefault="00436269" w:rsidP="00B411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7CE">
        <w:rPr>
          <w:rFonts w:ascii="Times New Roman" w:hAnsi="Times New Roman" w:cs="Times New Roman"/>
          <w:b/>
          <w:sz w:val="24"/>
          <w:szCs w:val="24"/>
        </w:rPr>
        <w:t>Emergent Needs and Unanticipated Project Costs</w:t>
      </w:r>
      <w:r w:rsidR="00B411FA" w:rsidRPr="00D93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7CE">
        <w:rPr>
          <w:rFonts w:ascii="Times New Roman" w:hAnsi="Times New Roman" w:cs="Times New Roman"/>
          <w:b/>
          <w:sz w:val="24"/>
          <w:szCs w:val="24"/>
        </w:rPr>
        <w:t>Sum</w:t>
      </w:r>
      <w:bookmarkStart w:id="0" w:name="_GoBack"/>
      <w:bookmarkEnd w:id="0"/>
      <w:r w:rsidR="00D937CE">
        <w:rPr>
          <w:rFonts w:ascii="Times New Roman" w:hAnsi="Times New Roman" w:cs="Times New Roman"/>
          <w:b/>
          <w:sz w:val="24"/>
          <w:szCs w:val="24"/>
        </w:rPr>
        <w:t xml:space="preserve">mary </w:t>
      </w:r>
      <w:r w:rsidR="00C77816" w:rsidRPr="00D937CE">
        <w:rPr>
          <w:rFonts w:ascii="Times New Roman" w:hAnsi="Times New Roman" w:cs="Times New Roman"/>
          <w:b/>
          <w:sz w:val="24"/>
          <w:szCs w:val="24"/>
        </w:rPr>
        <w:t>Report</w:t>
      </w:r>
    </w:p>
    <w:p w:rsidR="00D3226E" w:rsidRDefault="00D3226E" w:rsidP="00174A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226E" w:rsidRDefault="00241346" w:rsidP="00D3226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346">
        <w:rPr>
          <w:rFonts w:ascii="Times New Roman" w:hAnsi="Times New Roman" w:cs="Times New Roman"/>
          <w:b/>
          <w:sz w:val="24"/>
          <w:szCs w:val="24"/>
          <w:u w:val="single"/>
        </w:rPr>
        <w:t>Use of</w:t>
      </w:r>
      <w:r w:rsidRPr="002148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3226E" w:rsidRPr="00D3226E">
        <w:rPr>
          <w:rFonts w:ascii="Times New Roman" w:hAnsi="Times New Roman" w:cs="Times New Roman"/>
          <w:b/>
          <w:sz w:val="24"/>
          <w:szCs w:val="24"/>
          <w:u w:val="single"/>
        </w:rPr>
        <w:t>Quick Response</w:t>
      </w:r>
    </w:p>
    <w:p w:rsidR="008C165B" w:rsidRDefault="008C165B" w:rsidP="00D3226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1623"/>
        <w:gridCol w:w="1841"/>
        <w:gridCol w:w="1297"/>
        <w:gridCol w:w="1682"/>
        <w:gridCol w:w="1841"/>
      </w:tblGrid>
      <w:tr w:rsidR="00912CA9" w:rsidRPr="008C165B" w:rsidTr="00EE4379">
        <w:trPr>
          <w:trHeight w:val="1133"/>
        </w:trPr>
        <w:tc>
          <w:tcPr>
            <w:tcW w:w="1292" w:type="dxa"/>
          </w:tcPr>
          <w:p w:rsidR="00912CA9" w:rsidRPr="008C165B" w:rsidRDefault="00912CA9" w:rsidP="00AD3B0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5B">
              <w:rPr>
                <w:rFonts w:ascii="Times New Roman" w:hAnsi="Times New Roman" w:cs="Times New Roman"/>
                <w:b/>
                <w:sz w:val="24"/>
                <w:szCs w:val="24"/>
              </w:rPr>
              <w:t>Project No.</w:t>
            </w:r>
          </w:p>
        </w:tc>
        <w:tc>
          <w:tcPr>
            <w:tcW w:w="1623" w:type="dxa"/>
          </w:tcPr>
          <w:p w:rsidR="00912CA9" w:rsidRPr="008C165B" w:rsidRDefault="00912CA9" w:rsidP="00AD3B0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5B">
              <w:rPr>
                <w:rFonts w:ascii="Times New Roman" w:hAnsi="Times New Roman" w:cs="Times New Roman"/>
                <w:b/>
                <w:sz w:val="24"/>
                <w:szCs w:val="24"/>
              </w:rPr>
              <w:t>Project Name</w:t>
            </w:r>
          </w:p>
        </w:tc>
        <w:tc>
          <w:tcPr>
            <w:tcW w:w="1841" w:type="dxa"/>
          </w:tcPr>
          <w:p w:rsidR="00912CA9" w:rsidRPr="008C165B" w:rsidRDefault="00912CA9" w:rsidP="00AD3B0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2015/16 Adopted</w:t>
            </w:r>
          </w:p>
        </w:tc>
        <w:tc>
          <w:tcPr>
            <w:tcW w:w="1297" w:type="dxa"/>
          </w:tcPr>
          <w:p w:rsidR="00912CA9" w:rsidRPr="00A42DF6" w:rsidRDefault="00912CA9" w:rsidP="00AD3B0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Second</w:t>
            </w:r>
            <w:r w:rsidRPr="00A42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2DF6">
              <w:rPr>
                <w:rFonts w:ascii="Times New Roman" w:hAnsi="Times New Roman" w:cs="Times New Roman"/>
                <w:b/>
                <w:sz w:val="24"/>
                <w:szCs w:val="24"/>
              </w:rPr>
              <w:t>Qtr</w:t>
            </w:r>
            <w:proofErr w:type="spellEnd"/>
          </w:p>
          <w:p w:rsidR="00912CA9" w:rsidRPr="00A42DF6" w:rsidRDefault="00912CA9" w:rsidP="00AD3B0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</w:rPr>
              <w:t>Transfer Amount</w:t>
            </w:r>
          </w:p>
          <w:p w:rsidR="00912CA9" w:rsidRPr="00E6627E" w:rsidRDefault="00912CA9" w:rsidP="00AD3B0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82" w:type="dxa"/>
          </w:tcPr>
          <w:p w:rsidR="00912CA9" w:rsidRPr="00A42DF6" w:rsidRDefault="00912CA9" w:rsidP="00AD3B0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</w:rPr>
              <w:t>Prior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2DF6">
              <w:rPr>
                <w:rFonts w:ascii="Times New Roman" w:hAnsi="Times New Roman" w:cs="Times New Roman"/>
                <w:b/>
                <w:sz w:val="24"/>
                <w:szCs w:val="24"/>
              </w:rPr>
              <w:t>Qtrs</w:t>
            </w:r>
            <w:proofErr w:type="spellEnd"/>
          </w:p>
          <w:p w:rsidR="00912CA9" w:rsidRPr="00E6627E" w:rsidRDefault="00912CA9" w:rsidP="00AD3B0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</w:rPr>
              <w:t>Transfer Amount</w:t>
            </w:r>
          </w:p>
        </w:tc>
        <w:tc>
          <w:tcPr>
            <w:tcW w:w="1841" w:type="dxa"/>
          </w:tcPr>
          <w:p w:rsidR="00912CA9" w:rsidRDefault="00912CA9" w:rsidP="00AD3B0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Remaining</w:t>
            </w:r>
          </w:p>
          <w:p w:rsidR="00912CA9" w:rsidRPr="008C165B" w:rsidRDefault="00912CA9" w:rsidP="00AD3B0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Appropriation</w:t>
            </w:r>
          </w:p>
        </w:tc>
      </w:tr>
      <w:tr w:rsidR="00912CA9" w:rsidRPr="008C165B" w:rsidTr="00AD3B01">
        <w:tc>
          <w:tcPr>
            <w:tcW w:w="1292" w:type="dxa"/>
          </w:tcPr>
          <w:p w:rsidR="00912CA9" w:rsidRPr="008C165B" w:rsidRDefault="00912CA9" w:rsidP="00AD3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165B">
              <w:rPr>
                <w:rFonts w:ascii="Times New Roman" w:hAnsi="Times New Roman" w:cs="Times New Roman"/>
                <w:sz w:val="24"/>
                <w:szCs w:val="24"/>
              </w:rPr>
              <w:t>1027163</w:t>
            </w:r>
          </w:p>
        </w:tc>
        <w:tc>
          <w:tcPr>
            <w:tcW w:w="1623" w:type="dxa"/>
          </w:tcPr>
          <w:p w:rsidR="00912CA9" w:rsidRPr="008C165B" w:rsidRDefault="00912CA9" w:rsidP="00AD3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165B">
              <w:rPr>
                <w:rFonts w:ascii="Times New Roman" w:hAnsi="Times New Roman" w:cs="Times New Roman"/>
                <w:sz w:val="24"/>
                <w:szCs w:val="24"/>
              </w:rPr>
              <w:t>Quick Response</w:t>
            </w:r>
          </w:p>
        </w:tc>
        <w:tc>
          <w:tcPr>
            <w:tcW w:w="1841" w:type="dxa"/>
          </w:tcPr>
          <w:p w:rsidR="00912CA9" w:rsidRPr="008C165B" w:rsidRDefault="00912CA9" w:rsidP="00AD3B0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165B">
              <w:rPr>
                <w:rFonts w:ascii="Times New Roman" w:hAnsi="Times New Roman" w:cs="Times New Roman"/>
                <w:sz w:val="24"/>
                <w:szCs w:val="24"/>
              </w:rPr>
              <w:t>$7,000,000</w:t>
            </w:r>
          </w:p>
        </w:tc>
        <w:tc>
          <w:tcPr>
            <w:tcW w:w="1297" w:type="dxa"/>
          </w:tcPr>
          <w:p w:rsidR="00912CA9" w:rsidRDefault="00912CA9" w:rsidP="00AD3B0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($275,302)</w:t>
            </w:r>
          </w:p>
        </w:tc>
        <w:tc>
          <w:tcPr>
            <w:tcW w:w="1682" w:type="dxa"/>
          </w:tcPr>
          <w:p w:rsidR="00912CA9" w:rsidRPr="008C165B" w:rsidRDefault="00912CA9" w:rsidP="00AD3B0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</w:t>
            </w:r>
          </w:p>
        </w:tc>
        <w:tc>
          <w:tcPr>
            <w:tcW w:w="1841" w:type="dxa"/>
          </w:tcPr>
          <w:p w:rsidR="00912CA9" w:rsidRPr="008C165B" w:rsidRDefault="00912CA9" w:rsidP="00AD3B0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$6,724</w:t>
            </w:r>
            <w:r w:rsidRPr="0090509A">
              <w:rPr>
                <w:rFonts w:ascii="Times New Roman" w:hAnsi="Times New Roman" w:cs="Times New Roman"/>
                <w:sz w:val="24"/>
                <w:szCs w:val="24"/>
              </w:rPr>
              <w:t>,698</w:t>
            </w:r>
          </w:p>
        </w:tc>
      </w:tr>
    </w:tbl>
    <w:p w:rsidR="00912CA9" w:rsidRDefault="00912CA9" w:rsidP="00D3226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2CA9" w:rsidRDefault="00912CA9" w:rsidP="00912CA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Second Quarter Transfer</w:t>
      </w:r>
      <w:r w:rsidRPr="005B25F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0"/>
        <w:gridCol w:w="1903"/>
        <w:gridCol w:w="1916"/>
        <w:gridCol w:w="1915"/>
        <w:gridCol w:w="2394"/>
      </w:tblGrid>
      <w:tr w:rsidR="00912CA9" w:rsidRPr="008C165B" w:rsidTr="00AD3B01">
        <w:tc>
          <w:tcPr>
            <w:tcW w:w="1430" w:type="dxa"/>
          </w:tcPr>
          <w:p w:rsidR="00912CA9" w:rsidRPr="008C165B" w:rsidRDefault="00912CA9" w:rsidP="00AD3B0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5B">
              <w:rPr>
                <w:rFonts w:ascii="Times New Roman" w:hAnsi="Times New Roman" w:cs="Times New Roman"/>
                <w:b/>
                <w:sz w:val="24"/>
                <w:szCs w:val="24"/>
              </w:rPr>
              <w:t>Project No.</w:t>
            </w:r>
          </w:p>
        </w:tc>
        <w:tc>
          <w:tcPr>
            <w:tcW w:w="1903" w:type="dxa"/>
          </w:tcPr>
          <w:p w:rsidR="00912CA9" w:rsidRPr="008C165B" w:rsidRDefault="00912CA9" w:rsidP="00AD3B0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5B">
              <w:rPr>
                <w:rFonts w:ascii="Times New Roman" w:hAnsi="Times New Roman" w:cs="Times New Roman"/>
                <w:b/>
                <w:sz w:val="24"/>
                <w:szCs w:val="24"/>
              </w:rPr>
              <w:t>Project Name</w:t>
            </w:r>
          </w:p>
        </w:tc>
        <w:tc>
          <w:tcPr>
            <w:tcW w:w="1916" w:type="dxa"/>
          </w:tcPr>
          <w:p w:rsidR="00912CA9" w:rsidRDefault="00912CA9" w:rsidP="00AD3B0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Original</w:t>
            </w:r>
          </w:p>
          <w:p w:rsidR="00912CA9" w:rsidRPr="008C165B" w:rsidRDefault="00912CA9" w:rsidP="00AD3B0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5B">
              <w:rPr>
                <w:rFonts w:ascii="Times New Roman" w:hAnsi="Times New Roman" w:cs="Times New Roman"/>
                <w:b/>
                <w:sz w:val="24"/>
                <w:szCs w:val="24"/>
              </w:rPr>
              <w:t>Budget</w:t>
            </w:r>
          </w:p>
        </w:tc>
        <w:tc>
          <w:tcPr>
            <w:tcW w:w="1915" w:type="dxa"/>
          </w:tcPr>
          <w:p w:rsidR="00912CA9" w:rsidRPr="008C165B" w:rsidRDefault="00912CA9" w:rsidP="00AD3B0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5B">
              <w:rPr>
                <w:rFonts w:ascii="Times New Roman" w:hAnsi="Times New Roman" w:cs="Times New Roman"/>
                <w:b/>
                <w:sz w:val="24"/>
                <w:szCs w:val="24"/>
              </w:rPr>
              <w:t>Transfer Amount</w:t>
            </w:r>
          </w:p>
        </w:tc>
        <w:tc>
          <w:tcPr>
            <w:tcW w:w="2394" w:type="dxa"/>
          </w:tcPr>
          <w:p w:rsidR="00912CA9" w:rsidRPr="008C165B" w:rsidRDefault="00912CA9" w:rsidP="00AD3B0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Final </w:t>
            </w:r>
            <w:r w:rsidRPr="008C165B">
              <w:rPr>
                <w:rFonts w:ascii="Times New Roman" w:hAnsi="Times New Roman" w:cs="Times New Roman"/>
                <w:b/>
                <w:sz w:val="24"/>
                <w:szCs w:val="24"/>
              </w:rPr>
              <w:t>Budget</w:t>
            </w:r>
          </w:p>
        </w:tc>
      </w:tr>
      <w:tr w:rsidR="00912CA9" w:rsidRPr="008C165B" w:rsidTr="00AD3B01">
        <w:tc>
          <w:tcPr>
            <w:tcW w:w="1430" w:type="dxa"/>
          </w:tcPr>
          <w:p w:rsidR="00912CA9" w:rsidRPr="008C165B" w:rsidRDefault="00912CA9" w:rsidP="00AD3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1126430</w:t>
            </w:r>
          </w:p>
        </w:tc>
        <w:tc>
          <w:tcPr>
            <w:tcW w:w="1903" w:type="dxa"/>
          </w:tcPr>
          <w:p w:rsidR="00912CA9" w:rsidRPr="008C165B" w:rsidRDefault="00912CA9" w:rsidP="00912C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RSD Duvall Bridge Approach</w:t>
            </w:r>
          </w:p>
        </w:tc>
        <w:tc>
          <w:tcPr>
            <w:tcW w:w="1916" w:type="dxa"/>
          </w:tcPr>
          <w:p w:rsidR="00912CA9" w:rsidRPr="00A06564" w:rsidRDefault="00912CA9" w:rsidP="00AD3B01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$0</w:t>
            </w:r>
          </w:p>
        </w:tc>
        <w:tc>
          <w:tcPr>
            <w:tcW w:w="1915" w:type="dxa"/>
          </w:tcPr>
          <w:p w:rsidR="00912CA9" w:rsidRDefault="00912CA9" w:rsidP="00AD3B0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$275,302</w:t>
            </w:r>
          </w:p>
        </w:tc>
        <w:tc>
          <w:tcPr>
            <w:tcW w:w="2394" w:type="dxa"/>
          </w:tcPr>
          <w:p w:rsidR="00912CA9" w:rsidRPr="008C165B" w:rsidRDefault="00912CA9" w:rsidP="00AD3B0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$275,302</w:t>
            </w:r>
          </w:p>
        </w:tc>
      </w:tr>
    </w:tbl>
    <w:p w:rsidR="00912CA9" w:rsidRDefault="00912CA9" w:rsidP="00D3226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13F9" w:rsidRDefault="00FE2A7C" w:rsidP="00912CA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941833">
        <w:rPr>
          <w:rFonts w:ascii="Times New Roman" w:eastAsia="Calibri" w:hAnsi="Times New Roman" w:cs="Times New Roman"/>
          <w:sz w:val="24"/>
          <w:szCs w:val="24"/>
        </w:rPr>
        <w:t xml:space="preserve">Following this winter’s flooding event, it was discovered that the approaches to the bridge were undercut by the high </w:t>
      </w:r>
      <w:r w:rsidRPr="00F079D4">
        <w:rPr>
          <w:rFonts w:ascii="Times New Roman" w:eastAsia="Calibri" w:hAnsi="Times New Roman" w:cs="Times New Roman"/>
          <w:sz w:val="24"/>
          <w:szCs w:val="24"/>
        </w:rPr>
        <w:t xml:space="preserve">water levels that occurred during the flood.  The result of the undercutting was that sections of the roadway were unsupported and could potentially drop if left unrepaired. </w:t>
      </w:r>
      <w:r w:rsidR="009313F9" w:rsidRPr="00F079D4">
        <w:rPr>
          <w:rFonts w:ascii="Times New Roman" w:eastAsia="Calibri" w:hAnsi="Times New Roman" w:cs="Times New Roman"/>
          <w:sz w:val="24"/>
          <w:szCs w:val="24"/>
        </w:rPr>
        <w:t xml:space="preserve">The agency prioritized these expenditures over other </w:t>
      </w:r>
      <w:proofErr w:type="spellStart"/>
      <w:r w:rsidR="009313F9" w:rsidRPr="00F079D4">
        <w:rPr>
          <w:rFonts w:ascii="Times New Roman" w:eastAsia="Calibri" w:hAnsi="Times New Roman" w:cs="Times New Roman"/>
          <w:sz w:val="24"/>
          <w:szCs w:val="24"/>
        </w:rPr>
        <w:t>unprogrammed</w:t>
      </w:r>
      <w:proofErr w:type="spellEnd"/>
      <w:r w:rsidR="009313F9" w:rsidRPr="00F07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79D4">
        <w:rPr>
          <w:rFonts w:ascii="Times New Roman" w:eastAsia="Calibri" w:hAnsi="Times New Roman" w:cs="Times New Roman"/>
          <w:sz w:val="24"/>
          <w:szCs w:val="24"/>
        </w:rPr>
        <w:t>needs due the potential that the bridge could fail resulting in potential property and personal losses.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This aging bridge is </w:t>
      </w:r>
      <w:r w:rsidRPr="00941833">
        <w:rPr>
          <w:rFonts w:ascii="Times New Roman" w:eastAsia="Calibri" w:hAnsi="Times New Roman" w:cs="Times New Roman"/>
          <w:sz w:val="24"/>
          <w:szCs w:val="24"/>
        </w:rPr>
        <w:t>on a critical Tier 1 roadway (high volume arterial) that carries approximately 12,000 vehicles per day.</w:t>
      </w:r>
    </w:p>
    <w:p w:rsidR="00941833" w:rsidRDefault="00912CA9" w:rsidP="00912CA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941833">
        <w:rPr>
          <w:rFonts w:ascii="Times New Roman" w:eastAsia="Calibri" w:hAnsi="Times New Roman" w:cs="Times New Roman"/>
          <w:sz w:val="24"/>
          <w:szCs w:val="24"/>
        </w:rPr>
        <w:t>The roadway is one of the key routes across the valley, and one of the last to c</w:t>
      </w:r>
      <w:r w:rsidR="00FE2A7C">
        <w:rPr>
          <w:rFonts w:ascii="Times New Roman" w:eastAsia="Calibri" w:hAnsi="Times New Roman" w:cs="Times New Roman"/>
          <w:sz w:val="24"/>
          <w:szCs w:val="24"/>
        </w:rPr>
        <w:t xml:space="preserve">lose during high water events.  </w:t>
      </w:r>
      <w:r w:rsidR="00941833">
        <w:rPr>
          <w:rFonts w:ascii="Times New Roman" w:eastAsia="Calibri" w:hAnsi="Times New Roman" w:cs="Times New Roman"/>
          <w:sz w:val="24"/>
          <w:szCs w:val="24"/>
        </w:rPr>
        <w:t xml:space="preserve">This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project meets </w:t>
      </w:r>
      <w:r w:rsidR="00941833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 w:rsidR="00941833" w:rsidRPr="00941833">
        <w:rPr>
          <w:rFonts w:ascii="Times New Roman" w:eastAsia="Calibri" w:hAnsi="Times New Roman" w:cs="Times New Roman"/>
          <w:sz w:val="24"/>
          <w:szCs w:val="24"/>
        </w:rPr>
        <w:t>key goals of the Roads strategic plan:</w:t>
      </w:r>
    </w:p>
    <w:p w:rsidR="00912CA9" w:rsidRPr="00912CA9" w:rsidRDefault="00912CA9" w:rsidP="00912CA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1833" w:rsidRPr="00941833" w:rsidRDefault="00941833" w:rsidP="00941833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41833">
        <w:rPr>
          <w:rFonts w:ascii="Times New Roman" w:eastAsia="Calibri" w:hAnsi="Times New Roman" w:cs="Times New Roman"/>
          <w:sz w:val="24"/>
          <w:szCs w:val="24"/>
        </w:rPr>
        <w:t>Goal 1:  Prevent and respond to immediate operational life safety and property</w:t>
      </w:r>
    </w:p>
    <w:p w:rsidR="00941833" w:rsidRPr="00941833" w:rsidRDefault="00941833" w:rsidP="00941833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94183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941833">
        <w:rPr>
          <w:rFonts w:ascii="Times New Roman" w:eastAsia="Calibri" w:hAnsi="Times New Roman" w:cs="Times New Roman"/>
          <w:sz w:val="24"/>
          <w:szCs w:val="24"/>
        </w:rPr>
        <w:t>damage</w:t>
      </w:r>
      <w:proofErr w:type="gramEnd"/>
      <w:r w:rsidRPr="00941833">
        <w:rPr>
          <w:rFonts w:ascii="Times New Roman" w:eastAsia="Calibri" w:hAnsi="Times New Roman" w:cs="Times New Roman"/>
          <w:sz w:val="24"/>
          <w:szCs w:val="24"/>
        </w:rPr>
        <w:t xml:space="preserve"> hazards.</w:t>
      </w:r>
    </w:p>
    <w:p w:rsidR="00941833" w:rsidRPr="00941833" w:rsidRDefault="00941833" w:rsidP="00912CA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41833">
        <w:rPr>
          <w:rFonts w:ascii="Times New Roman" w:eastAsia="Calibri" w:hAnsi="Times New Roman" w:cs="Times New Roman"/>
          <w:sz w:val="24"/>
          <w:szCs w:val="24"/>
        </w:rPr>
        <w:t>Goal 3:  Maintain and preserve the existing roadway facilities network.</w:t>
      </w:r>
    </w:p>
    <w:p w:rsidR="00D3226E" w:rsidRDefault="00D3226E" w:rsidP="002413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226E" w:rsidRDefault="00D322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26E">
        <w:rPr>
          <w:rFonts w:ascii="Times New Roman" w:hAnsi="Times New Roman" w:cs="Times New Roman"/>
          <w:b/>
          <w:sz w:val="24"/>
          <w:szCs w:val="24"/>
          <w:u w:val="single"/>
        </w:rPr>
        <w:t>Use of Emergent Need Funds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40"/>
        <w:gridCol w:w="1519"/>
        <w:gridCol w:w="1811"/>
        <w:gridCol w:w="1512"/>
        <w:gridCol w:w="1512"/>
        <w:gridCol w:w="1811"/>
      </w:tblGrid>
      <w:tr w:rsidR="00EE4379" w:rsidRPr="00EE4379" w:rsidTr="00AD3B01">
        <w:tc>
          <w:tcPr>
            <w:tcW w:w="1240" w:type="dxa"/>
          </w:tcPr>
          <w:p w:rsidR="00EE4379" w:rsidRPr="00EE4379" w:rsidRDefault="00EE4379" w:rsidP="00EE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79">
              <w:rPr>
                <w:rFonts w:ascii="Times New Roman" w:hAnsi="Times New Roman" w:cs="Times New Roman"/>
                <w:b/>
                <w:sz w:val="24"/>
                <w:szCs w:val="24"/>
              </w:rPr>
              <w:t>Project No.</w:t>
            </w:r>
          </w:p>
        </w:tc>
        <w:tc>
          <w:tcPr>
            <w:tcW w:w="1519" w:type="dxa"/>
          </w:tcPr>
          <w:p w:rsidR="00EE4379" w:rsidRPr="00EE4379" w:rsidRDefault="00EE4379" w:rsidP="00EE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79">
              <w:rPr>
                <w:rFonts w:ascii="Times New Roman" w:hAnsi="Times New Roman" w:cs="Times New Roman"/>
                <w:b/>
                <w:sz w:val="24"/>
                <w:szCs w:val="24"/>
              </w:rPr>
              <w:t>Project Name</w:t>
            </w:r>
          </w:p>
        </w:tc>
        <w:tc>
          <w:tcPr>
            <w:tcW w:w="1811" w:type="dxa"/>
          </w:tcPr>
          <w:p w:rsidR="00EE4379" w:rsidRPr="00EE4379" w:rsidRDefault="00EE4379" w:rsidP="00EE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E4379">
              <w:rPr>
                <w:rFonts w:ascii="Times New Roman" w:hAnsi="Times New Roman" w:cs="Times New Roman"/>
                <w:b/>
                <w:sz w:val="24"/>
                <w:szCs w:val="24"/>
              </w:rPr>
              <w:t>2015/16 Adopted Plus Carry Forward</w:t>
            </w:r>
          </w:p>
        </w:tc>
        <w:tc>
          <w:tcPr>
            <w:tcW w:w="1512" w:type="dxa"/>
          </w:tcPr>
          <w:p w:rsidR="00EE4379" w:rsidRPr="00EE4379" w:rsidRDefault="00EE4379" w:rsidP="00EE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Second</w:t>
            </w:r>
            <w:r w:rsidRPr="00EE4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4379">
              <w:rPr>
                <w:rFonts w:ascii="Times New Roman" w:hAnsi="Times New Roman" w:cs="Times New Roman"/>
                <w:b/>
                <w:sz w:val="24"/>
                <w:szCs w:val="24"/>
              </w:rPr>
              <w:t>Qtr</w:t>
            </w:r>
            <w:proofErr w:type="spellEnd"/>
          </w:p>
          <w:p w:rsidR="00EE4379" w:rsidRPr="00EE4379" w:rsidRDefault="00EE4379" w:rsidP="00EE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E4379">
              <w:rPr>
                <w:rFonts w:ascii="Times New Roman" w:hAnsi="Times New Roman" w:cs="Times New Roman"/>
                <w:b/>
                <w:sz w:val="24"/>
                <w:szCs w:val="24"/>
              </w:rPr>
              <w:t>Transfer Amount</w:t>
            </w:r>
          </w:p>
        </w:tc>
        <w:tc>
          <w:tcPr>
            <w:tcW w:w="1512" w:type="dxa"/>
          </w:tcPr>
          <w:p w:rsidR="00EE4379" w:rsidRPr="00EE4379" w:rsidRDefault="00EE4379" w:rsidP="00EE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Prior </w:t>
            </w:r>
            <w:proofErr w:type="spellStart"/>
            <w:r w:rsidRPr="00EE4379">
              <w:rPr>
                <w:rFonts w:ascii="Times New Roman" w:hAnsi="Times New Roman" w:cs="Times New Roman"/>
                <w:b/>
                <w:sz w:val="24"/>
                <w:szCs w:val="24"/>
              </w:rPr>
              <w:t>Qtrs</w:t>
            </w:r>
            <w:proofErr w:type="spellEnd"/>
          </w:p>
          <w:p w:rsidR="00EE4379" w:rsidRPr="00EE4379" w:rsidRDefault="00EE4379" w:rsidP="00EE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E4379">
              <w:rPr>
                <w:rFonts w:ascii="Times New Roman" w:hAnsi="Times New Roman" w:cs="Times New Roman"/>
                <w:b/>
                <w:sz w:val="24"/>
                <w:szCs w:val="24"/>
              </w:rPr>
              <w:t>Transfer Amount</w:t>
            </w:r>
          </w:p>
        </w:tc>
        <w:tc>
          <w:tcPr>
            <w:tcW w:w="1811" w:type="dxa"/>
          </w:tcPr>
          <w:p w:rsidR="00EE4379" w:rsidRPr="00EE4379" w:rsidRDefault="00EE4379" w:rsidP="00EE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79">
              <w:rPr>
                <w:rFonts w:ascii="Times New Roman" w:hAnsi="Times New Roman" w:cs="Times New Roman"/>
                <w:b/>
                <w:sz w:val="24"/>
                <w:szCs w:val="24"/>
              </w:rPr>
              <w:t>Remaining</w:t>
            </w:r>
          </w:p>
          <w:p w:rsidR="00EE4379" w:rsidRPr="00EE4379" w:rsidRDefault="00EE4379" w:rsidP="00EE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79">
              <w:rPr>
                <w:rFonts w:ascii="Times New Roman" w:hAnsi="Times New Roman" w:cs="Times New Roman"/>
                <w:b/>
                <w:sz w:val="24"/>
                <w:szCs w:val="24"/>
              </w:rPr>
              <w:t>Appropriation</w:t>
            </w:r>
          </w:p>
        </w:tc>
      </w:tr>
      <w:tr w:rsidR="00EE4379" w:rsidRPr="00EE4379" w:rsidTr="00AD3B01">
        <w:tc>
          <w:tcPr>
            <w:tcW w:w="1240" w:type="dxa"/>
          </w:tcPr>
          <w:p w:rsidR="00EE4379" w:rsidRPr="00EE4379" w:rsidRDefault="00EE4379" w:rsidP="00EE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79">
              <w:rPr>
                <w:rFonts w:ascii="Times New Roman" w:hAnsi="Times New Roman" w:cs="Times New Roman"/>
                <w:sz w:val="24"/>
                <w:szCs w:val="24"/>
              </w:rPr>
              <w:t>1026798</w:t>
            </w:r>
          </w:p>
        </w:tc>
        <w:tc>
          <w:tcPr>
            <w:tcW w:w="1519" w:type="dxa"/>
          </w:tcPr>
          <w:p w:rsidR="00EE4379" w:rsidRPr="00EE4379" w:rsidRDefault="00EE4379" w:rsidP="00EE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79">
              <w:rPr>
                <w:rFonts w:ascii="Times New Roman" w:hAnsi="Times New Roman" w:cs="Times New Roman"/>
                <w:sz w:val="24"/>
                <w:szCs w:val="24"/>
              </w:rPr>
              <w:t>Emergent Need</w:t>
            </w:r>
          </w:p>
        </w:tc>
        <w:tc>
          <w:tcPr>
            <w:tcW w:w="1811" w:type="dxa"/>
          </w:tcPr>
          <w:p w:rsidR="00EE4379" w:rsidRPr="00EE4379" w:rsidRDefault="00EE4379" w:rsidP="00EE4379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4379">
              <w:rPr>
                <w:rFonts w:ascii="Times New Roman" w:hAnsi="Times New Roman" w:cs="Times New Roman"/>
                <w:sz w:val="24"/>
                <w:szCs w:val="24"/>
              </w:rPr>
              <w:t>$14,505,689</w:t>
            </w:r>
          </w:p>
        </w:tc>
        <w:tc>
          <w:tcPr>
            <w:tcW w:w="1512" w:type="dxa"/>
          </w:tcPr>
          <w:p w:rsidR="00EE4379" w:rsidRPr="00EE4379" w:rsidRDefault="00EE4379" w:rsidP="00EE4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3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$7,539</w:t>
            </w:r>
            <w:r w:rsidRPr="00EE43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2" w:type="dxa"/>
          </w:tcPr>
          <w:p w:rsidR="00EE4379" w:rsidRPr="00EE4379" w:rsidRDefault="00EE4379" w:rsidP="00EE4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</w:t>
            </w:r>
          </w:p>
        </w:tc>
        <w:tc>
          <w:tcPr>
            <w:tcW w:w="1811" w:type="dxa"/>
          </w:tcPr>
          <w:p w:rsidR="00EE4379" w:rsidRPr="00EE4379" w:rsidRDefault="00EE4379" w:rsidP="00EE4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$14,498,150</w:t>
            </w:r>
          </w:p>
        </w:tc>
      </w:tr>
    </w:tbl>
    <w:p w:rsidR="00FE2A7C" w:rsidRDefault="00FE2A7C" w:rsidP="00EE437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4379" w:rsidRPr="00EE4379" w:rsidRDefault="00EE4379" w:rsidP="00EE437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Second</w:t>
      </w:r>
      <w:r w:rsidRPr="00EE4379">
        <w:rPr>
          <w:rFonts w:ascii="Times New Roman" w:eastAsia="Calibri" w:hAnsi="Times New Roman" w:cs="Times New Roman"/>
          <w:b/>
          <w:sz w:val="24"/>
          <w:szCs w:val="24"/>
        </w:rPr>
        <w:t xml:space="preserve"> Quarter Transfers: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430"/>
        <w:gridCol w:w="1903"/>
        <w:gridCol w:w="1916"/>
        <w:gridCol w:w="1915"/>
        <w:gridCol w:w="2214"/>
      </w:tblGrid>
      <w:tr w:rsidR="00EE4379" w:rsidRPr="00EE4379" w:rsidTr="00AD3B01">
        <w:tc>
          <w:tcPr>
            <w:tcW w:w="1430" w:type="dxa"/>
          </w:tcPr>
          <w:p w:rsidR="00EE4379" w:rsidRPr="00EE4379" w:rsidRDefault="00EE4379" w:rsidP="00EE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79">
              <w:rPr>
                <w:rFonts w:ascii="Times New Roman" w:hAnsi="Times New Roman" w:cs="Times New Roman"/>
                <w:b/>
                <w:sz w:val="24"/>
                <w:szCs w:val="24"/>
              </w:rPr>
              <w:t>Project No.</w:t>
            </w:r>
          </w:p>
        </w:tc>
        <w:tc>
          <w:tcPr>
            <w:tcW w:w="1903" w:type="dxa"/>
          </w:tcPr>
          <w:p w:rsidR="00EE4379" w:rsidRPr="00EE4379" w:rsidRDefault="00EE4379" w:rsidP="00EE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79">
              <w:rPr>
                <w:rFonts w:ascii="Times New Roman" w:hAnsi="Times New Roman" w:cs="Times New Roman"/>
                <w:b/>
                <w:sz w:val="24"/>
                <w:szCs w:val="24"/>
              </w:rPr>
              <w:t>Project Name</w:t>
            </w:r>
          </w:p>
        </w:tc>
        <w:tc>
          <w:tcPr>
            <w:tcW w:w="1916" w:type="dxa"/>
          </w:tcPr>
          <w:p w:rsidR="00EE4379" w:rsidRPr="00EE4379" w:rsidRDefault="00EE4379" w:rsidP="00EE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79">
              <w:rPr>
                <w:rFonts w:ascii="Times New Roman" w:hAnsi="Times New Roman" w:cs="Times New Roman"/>
                <w:b/>
                <w:sz w:val="24"/>
                <w:szCs w:val="24"/>
              </w:rPr>
              <w:t>Original</w:t>
            </w:r>
          </w:p>
          <w:p w:rsidR="00EE4379" w:rsidRPr="00EE4379" w:rsidRDefault="00EE4379" w:rsidP="00EE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79">
              <w:rPr>
                <w:rFonts w:ascii="Times New Roman" w:hAnsi="Times New Roman" w:cs="Times New Roman"/>
                <w:b/>
                <w:sz w:val="24"/>
                <w:szCs w:val="24"/>
              </w:rPr>
              <w:t>Budget</w:t>
            </w:r>
          </w:p>
        </w:tc>
        <w:tc>
          <w:tcPr>
            <w:tcW w:w="1915" w:type="dxa"/>
          </w:tcPr>
          <w:p w:rsidR="00EE4379" w:rsidRPr="00EE4379" w:rsidRDefault="00EE4379" w:rsidP="00EE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79">
              <w:rPr>
                <w:rFonts w:ascii="Times New Roman" w:hAnsi="Times New Roman" w:cs="Times New Roman"/>
                <w:b/>
                <w:sz w:val="24"/>
                <w:szCs w:val="24"/>
              </w:rPr>
              <w:t>Transfer Amount</w:t>
            </w:r>
          </w:p>
        </w:tc>
        <w:tc>
          <w:tcPr>
            <w:tcW w:w="2214" w:type="dxa"/>
          </w:tcPr>
          <w:p w:rsidR="00EE4379" w:rsidRPr="00EE4379" w:rsidRDefault="00EE4379" w:rsidP="00EE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79">
              <w:rPr>
                <w:rFonts w:ascii="Times New Roman" w:hAnsi="Times New Roman" w:cs="Times New Roman"/>
                <w:b/>
                <w:sz w:val="24"/>
                <w:szCs w:val="24"/>
              </w:rPr>
              <w:t>Final Budget</w:t>
            </w:r>
          </w:p>
        </w:tc>
      </w:tr>
      <w:tr w:rsidR="009313F9" w:rsidRPr="00EE4379" w:rsidTr="00AD3B01">
        <w:tc>
          <w:tcPr>
            <w:tcW w:w="1430" w:type="dxa"/>
          </w:tcPr>
          <w:p w:rsidR="009313F9" w:rsidRPr="008C165B" w:rsidRDefault="009313F9" w:rsidP="00AD3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1">
              <w:rPr>
                <w:rFonts w:ascii="Times New Roman" w:hAnsi="Times New Roman" w:cs="Times New Roman"/>
                <w:sz w:val="24"/>
                <w:szCs w:val="24"/>
              </w:rPr>
              <w:t>1114792</w:t>
            </w:r>
          </w:p>
        </w:tc>
        <w:tc>
          <w:tcPr>
            <w:tcW w:w="1903" w:type="dxa"/>
          </w:tcPr>
          <w:p w:rsidR="009313F9" w:rsidRPr="008C165B" w:rsidRDefault="009313F9" w:rsidP="00AD3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1">
              <w:rPr>
                <w:rFonts w:ascii="Times New Roman" w:hAnsi="Times New Roman" w:cs="Times New Roman"/>
                <w:sz w:val="24"/>
                <w:szCs w:val="24"/>
              </w:rPr>
              <w:t xml:space="preserve">RSD Roads County Road </w:t>
            </w:r>
            <w:proofErr w:type="spellStart"/>
            <w:r w:rsidRPr="003C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Const</w:t>
            </w:r>
            <w:proofErr w:type="spellEnd"/>
          </w:p>
        </w:tc>
        <w:tc>
          <w:tcPr>
            <w:tcW w:w="1916" w:type="dxa"/>
          </w:tcPr>
          <w:p w:rsidR="009313F9" w:rsidRPr="008C165B" w:rsidRDefault="009313F9" w:rsidP="00AD3B0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$249,045</w:t>
            </w:r>
          </w:p>
        </w:tc>
        <w:tc>
          <w:tcPr>
            <w:tcW w:w="1915" w:type="dxa"/>
          </w:tcPr>
          <w:p w:rsidR="009313F9" w:rsidRDefault="009313F9" w:rsidP="00AD3B0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1">
              <w:rPr>
                <w:rFonts w:ascii="Times New Roman" w:hAnsi="Times New Roman" w:cs="Times New Roman"/>
                <w:sz w:val="24"/>
                <w:szCs w:val="24"/>
              </w:rPr>
              <w:t>$7,108</w:t>
            </w:r>
          </w:p>
        </w:tc>
        <w:tc>
          <w:tcPr>
            <w:tcW w:w="2214" w:type="dxa"/>
          </w:tcPr>
          <w:p w:rsidR="009313F9" w:rsidRPr="008C165B" w:rsidRDefault="009313F9" w:rsidP="00AD3B0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$256,153</w:t>
            </w:r>
          </w:p>
        </w:tc>
      </w:tr>
      <w:tr w:rsidR="009313F9" w:rsidRPr="00EE4379" w:rsidTr="00AD3B01">
        <w:tc>
          <w:tcPr>
            <w:tcW w:w="1430" w:type="dxa"/>
          </w:tcPr>
          <w:p w:rsidR="009313F9" w:rsidRPr="009313F9" w:rsidRDefault="009313F9" w:rsidP="00AD3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1026796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03" w:type="dxa"/>
          </w:tcPr>
          <w:p w:rsidR="009313F9" w:rsidRPr="009313F9" w:rsidRDefault="009313F9" w:rsidP="00AD3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9">
              <w:rPr>
                <w:rFonts w:ascii="Times New Roman" w:hAnsi="Times New Roman" w:cs="Times New Roman"/>
                <w:sz w:val="24"/>
                <w:szCs w:val="24"/>
              </w:rPr>
              <w:t>RSD CIP Bond Debt</w:t>
            </w:r>
          </w:p>
        </w:tc>
        <w:tc>
          <w:tcPr>
            <w:tcW w:w="1916" w:type="dxa"/>
          </w:tcPr>
          <w:p w:rsidR="009313F9" w:rsidRDefault="009313F9" w:rsidP="00AD3B0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$7,089,787</w:t>
            </w:r>
          </w:p>
        </w:tc>
        <w:tc>
          <w:tcPr>
            <w:tcW w:w="1915" w:type="dxa"/>
          </w:tcPr>
          <w:p w:rsidR="009313F9" w:rsidRPr="003C48E1" w:rsidRDefault="009313F9" w:rsidP="00AD3B0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1">
              <w:rPr>
                <w:rFonts w:ascii="Times New Roman" w:hAnsi="Times New Roman" w:cs="Times New Roman"/>
                <w:sz w:val="24"/>
                <w:szCs w:val="24"/>
              </w:rPr>
              <w:t>$300</w:t>
            </w:r>
          </w:p>
        </w:tc>
        <w:tc>
          <w:tcPr>
            <w:tcW w:w="2214" w:type="dxa"/>
          </w:tcPr>
          <w:p w:rsidR="009313F9" w:rsidRDefault="009313F9" w:rsidP="00AD3B0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$7,090,087</w:t>
            </w:r>
          </w:p>
        </w:tc>
      </w:tr>
      <w:tr w:rsidR="009313F9" w:rsidRPr="00EE4379" w:rsidTr="00AD3B01">
        <w:tc>
          <w:tcPr>
            <w:tcW w:w="1430" w:type="dxa"/>
          </w:tcPr>
          <w:p w:rsidR="009313F9" w:rsidRPr="009313F9" w:rsidRDefault="009313F9" w:rsidP="00AD3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9">
              <w:rPr>
                <w:rFonts w:ascii="Times New Roman" w:hAnsi="Times New Roman" w:cs="Times New Roman"/>
                <w:sz w:val="24"/>
                <w:szCs w:val="24"/>
              </w:rPr>
              <w:t>1111173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03" w:type="dxa"/>
          </w:tcPr>
          <w:p w:rsidR="009313F9" w:rsidRPr="009313F9" w:rsidRDefault="009313F9" w:rsidP="00AD3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9">
              <w:rPr>
                <w:rFonts w:ascii="Times New Roman" w:hAnsi="Times New Roman" w:cs="Times New Roman"/>
                <w:sz w:val="24"/>
                <w:szCs w:val="24"/>
              </w:rPr>
              <w:t xml:space="preserve">RSD W </w:t>
            </w:r>
            <w:proofErr w:type="spellStart"/>
            <w:r w:rsidRPr="009313F9">
              <w:rPr>
                <w:rFonts w:ascii="Times New Roman" w:hAnsi="Times New Roman" w:cs="Times New Roman"/>
                <w:sz w:val="24"/>
                <w:szCs w:val="24"/>
              </w:rPr>
              <w:t>Snoq</w:t>
            </w:r>
            <w:proofErr w:type="spellEnd"/>
            <w:r w:rsidRPr="009313F9">
              <w:rPr>
                <w:rFonts w:ascii="Times New Roman" w:hAnsi="Times New Roman" w:cs="Times New Roman"/>
                <w:sz w:val="24"/>
                <w:szCs w:val="24"/>
              </w:rPr>
              <w:t xml:space="preserve"> Val Roadway Repair</w:t>
            </w:r>
          </w:p>
        </w:tc>
        <w:tc>
          <w:tcPr>
            <w:tcW w:w="1916" w:type="dxa"/>
          </w:tcPr>
          <w:p w:rsidR="009313F9" w:rsidRDefault="009313F9" w:rsidP="00AD3B0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$654,684</w:t>
            </w:r>
          </w:p>
        </w:tc>
        <w:tc>
          <w:tcPr>
            <w:tcW w:w="1915" w:type="dxa"/>
          </w:tcPr>
          <w:p w:rsidR="009313F9" w:rsidRPr="003C48E1" w:rsidRDefault="009313F9" w:rsidP="00AD3B0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$110</w:t>
            </w:r>
          </w:p>
        </w:tc>
        <w:tc>
          <w:tcPr>
            <w:tcW w:w="2214" w:type="dxa"/>
          </w:tcPr>
          <w:p w:rsidR="009313F9" w:rsidRDefault="009313F9" w:rsidP="00AD3B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$654,794</w:t>
            </w:r>
          </w:p>
          <w:p w:rsidR="009313F9" w:rsidRDefault="009313F9" w:rsidP="00AD3B0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3F9" w:rsidRPr="00EE4379" w:rsidTr="00AD3B01">
        <w:tc>
          <w:tcPr>
            <w:tcW w:w="1430" w:type="dxa"/>
          </w:tcPr>
          <w:p w:rsidR="009313F9" w:rsidRPr="009313F9" w:rsidRDefault="009313F9" w:rsidP="00AD3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9">
              <w:rPr>
                <w:rFonts w:ascii="Times New Roman" w:hAnsi="Times New Roman" w:cs="Times New Roman"/>
                <w:sz w:val="24"/>
                <w:szCs w:val="24"/>
              </w:rPr>
              <w:t>1115455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03" w:type="dxa"/>
          </w:tcPr>
          <w:p w:rsidR="009313F9" w:rsidRPr="009313F9" w:rsidRDefault="009313F9" w:rsidP="00AD3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9">
              <w:rPr>
                <w:rFonts w:ascii="Times New Roman" w:hAnsi="Times New Roman" w:cs="Times New Roman"/>
                <w:sz w:val="24"/>
                <w:szCs w:val="24"/>
              </w:rPr>
              <w:t>RSD South Park Bridge Demolition</w:t>
            </w:r>
          </w:p>
        </w:tc>
        <w:tc>
          <w:tcPr>
            <w:tcW w:w="1916" w:type="dxa"/>
          </w:tcPr>
          <w:p w:rsidR="009313F9" w:rsidRDefault="009313F9" w:rsidP="00AD3B0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$5,164,542</w:t>
            </w:r>
          </w:p>
        </w:tc>
        <w:tc>
          <w:tcPr>
            <w:tcW w:w="1915" w:type="dxa"/>
          </w:tcPr>
          <w:p w:rsidR="009313F9" w:rsidRDefault="009313F9" w:rsidP="00AD3B0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1">
              <w:rPr>
                <w:rFonts w:ascii="Times New Roman" w:hAnsi="Times New Roman" w:cs="Times New Roman"/>
                <w:sz w:val="24"/>
                <w:szCs w:val="24"/>
              </w:rPr>
              <w:t>$21</w:t>
            </w:r>
          </w:p>
        </w:tc>
        <w:tc>
          <w:tcPr>
            <w:tcW w:w="2214" w:type="dxa"/>
          </w:tcPr>
          <w:p w:rsidR="009313F9" w:rsidRDefault="009313F9" w:rsidP="00AD3B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$5,164,553</w:t>
            </w:r>
          </w:p>
        </w:tc>
      </w:tr>
    </w:tbl>
    <w:p w:rsidR="009313F9" w:rsidRDefault="009313F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4379" w:rsidRDefault="00F079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EE4379">
        <w:rPr>
          <w:rFonts w:ascii="Times New Roman" w:eastAsia="Calibri" w:hAnsi="Times New Roman" w:cs="Times New Roman"/>
          <w:sz w:val="24"/>
          <w:szCs w:val="24"/>
        </w:rPr>
        <w:t xml:space="preserve">hese transfers </w:t>
      </w:r>
      <w:r w:rsidR="00EE4379" w:rsidRPr="00174A76">
        <w:rPr>
          <w:rFonts w:ascii="Times New Roman" w:eastAsia="Calibri" w:hAnsi="Times New Roman" w:cs="Times New Roman"/>
          <w:sz w:val="24"/>
          <w:szCs w:val="24"/>
        </w:rPr>
        <w:t xml:space="preserve">address administrative </w:t>
      </w:r>
      <w:r w:rsidR="00EE4379" w:rsidRPr="00F079D4">
        <w:rPr>
          <w:rFonts w:ascii="Times New Roman" w:eastAsia="Calibri" w:hAnsi="Times New Roman" w:cs="Times New Roman"/>
          <w:sz w:val="24"/>
          <w:szCs w:val="24"/>
        </w:rPr>
        <w:t>technical adjustments necessary to finalize the reconciliation of the fund during year-end acc</w:t>
      </w:r>
      <w:r w:rsidR="00254541" w:rsidRPr="00F079D4">
        <w:rPr>
          <w:rFonts w:ascii="Times New Roman" w:eastAsia="Calibri" w:hAnsi="Times New Roman" w:cs="Times New Roman"/>
          <w:sz w:val="24"/>
          <w:szCs w:val="24"/>
        </w:rPr>
        <w:t xml:space="preserve">ounting.  All projects have received prior approval from the Council.  </w:t>
      </w:r>
      <w:r w:rsidR="00EE4379" w:rsidRPr="00F079D4">
        <w:rPr>
          <w:rFonts w:ascii="Times New Roman" w:eastAsia="Calibri" w:hAnsi="Times New Roman" w:cs="Times New Roman"/>
          <w:sz w:val="24"/>
          <w:szCs w:val="24"/>
        </w:rPr>
        <w:t xml:space="preserve">Project </w:t>
      </w:r>
      <w:r w:rsidR="009313F9" w:rsidRPr="00F079D4">
        <w:rPr>
          <w:rFonts w:ascii="Times New Roman" w:eastAsia="Calibri" w:hAnsi="Times New Roman" w:cs="Times New Roman"/>
          <w:sz w:val="24"/>
          <w:szCs w:val="24"/>
        </w:rPr>
        <w:t xml:space="preserve">No. </w:t>
      </w:r>
      <w:r w:rsidR="00EE4379" w:rsidRPr="00F079D4">
        <w:rPr>
          <w:rFonts w:ascii="Times New Roman" w:eastAsia="Calibri" w:hAnsi="Times New Roman" w:cs="Times New Roman"/>
          <w:sz w:val="24"/>
          <w:szCs w:val="24"/>
        </w:rPr>
        <w:t>1114792 is the default</w:t>
      </w:r>
      <w:r w:rsidR="00EE4379">
        <w:rPr>
          <w:rFonts w:ascii="Times New Roman" w:eastAsia="Calibri" w:hAnsi="Times New Roman" w:cs="Times New Roman"/>
          <w:sz w:val="24"/>
          <w:szCs w:val="24"/>
        </w:rPr>
        <w:t xml:space="preserve"> project for the fund and is a technical budgetary project.</w:t>
      </w:r>
    </w:p>
    <w:p w:rsidR="00EE4379" w:rsidRPr="00EE4379" w:rsidRDefault="00EE4379" w:rsidP="00EE437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Pr="00EE4379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 xml:space="preserve">he projects </w:t>
      </w:r>
      <w:r w:rsidRPr="00EE4379">
        <w:rPr>
          <w:rFonts w:ascii="Times New Roman" w:eastAsia="Calibri" w:hAnsi="Times New Roman" w:cs="Times New Roman"/>
          <w:sz w:val="24"/>
          <w:szCs w:val="24"/>
        </w:rPr>
        <w:t xml:space="preserve">are now closed.  </w:t>
      </w:r>
    </w:p>
    <w:p w:rsidR="00EE4379" w:rsidRDefault="00EE4379">
      <w:pPr>
        <w:rPr>
          <w:rFonts w:ascii="Times New Roman" w:eastAsia="Calibri" w:hAnsi="Times New Roman" w:cs="Times New Roman"/>
          <w:sz w:val="24"/>
          <w:szCs w:val="24"/>
        </w:rPr>
      </w:pPr>
    </w:p>
    <w:p w:rsidR="00174A76" w:rsidRPr="00D3226E" w:rsidRDefault="00174A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74A76" w:rsidRPr="00D3226E" w:rsidSect="00A71C56">
      <w:headerReference w:type="default" r:id="rId8"/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7A" w:rsidRDefault="00F65B7A" w:rsidP="003F2591">
      <w:pPr>
        <w:spacing w:after="0" w:line="240" w:lineRule="auto"/>
      </w:pPr>
      <w:r>
        <w:separator/>
      </w:r>
    </w:p>
  </w:endnote>
  <w:endnote w:type="continuationSeparator" w:id="0">
    <w:p w:rsidR="00F65B7A" w:rsidRDefault="00F65B7A" w:rsidP="003F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7A" w:rsidRDefault="00F65B7A" w:rsidP="003F2591">
      <w:pPr>
        <w:spacing w:after="0" w:line="240" w:lineRule="auto"/>
      </w:pPr>
      <w:r>
        <w:separator/>
      </w:r>
    </w:p>
  </w:footnote>
  <w:footnote w:type="continuationSeparator" w:id="0">
    <w:p w:rsidR="00F65B7A" w:rsidRDefault="00F65B7A" w:rsidP="003F2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91" w:rsidRDefault="003F2591">
    <w:pPr>
      <w:pStyle w:val="Header"/>
      <w:rPr>
        <w:rFonts w:ascii="Times New Roman" w:hAnsi="Times New Roman" w:cs="Times New Roman"/>
        <w:sz w:val="28"/>
        <w:szCs w:val="28"/>
      </w:rPr>
    </w:pPr>
    <w:r>
      <w:tab/>
    </w:r>
    <w:r>
      <w:tab/>
    </w:r>
    <w:r w:rsidRPr="003C48E1">
      <w:rPr>
        <w:rFonts w:ascii="Times New Roman" w:hAnsi="Times New Roman" w:cs="Times New Roman"/>
        <w:sz w:val="28"/>
        <w:szCs w:val="28"/>
      </w:rPr>
      <w:t>Attachment A</w:t>
    </w:r>
  </w:p>
  <w:p w:rsidR="00E55AA5" w:rsidRDefault="00E55AA5" w:rsidP="00E55AA5">
    <w:pPr>
      <w:pStyle w:val="Header"/>
      <w:jc w:val="right"/>
      <w:rPr>
        <w:rFonts w:ascii="Times New Roman" w:hAnsi="Times New Roman" w:cs="Times New Roman"/>
      </w:rPr>
    </w:pPr>
    <w:r w:rsidRPr="00E55AA5">
      <w:rPr>
        <w:rFonts w:ascii="Times New Roman" w:hAnsi="Times New Roman" w:cs="Times New Roman"/>
      </w:rPr>
      <w:t>November 12, 2015</w:t>
    </w:r>
  </w:p>
  <w:p w:rsidR="00E55AA5" w:rsidRPr="00E55AA5" w:rsidRDefault="00E55AA5" w:rsidP="00E55AA5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003A"/>
    <w:multiLevelType w:val="hybridMultilevel"/>
    <w:tmpl w:val="485C6EAA"/>
    <w:lvl w:ilvl="0" w:tplc="21B8E4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17755"/>
    <w:multiLevelType w:val="hybridMultilevel"/>
    <w:tmpl w:val="966882AC"/>
    <w:lvl w:ilvl="0" w:tplc="528066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928DF"/>
    <w:multiLevelType w:val="hybridMultilevel"/>
    <w:tmpl w:val="329609BC"/>
    <w:lvl w:ilvl="0" w:tplc="0EA8A0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048DA"/>
    <w:multiLevelType w:val="hybridMultilevel"/>
    <w:tmpl w:val="64DA89E0"/>
    <w:lvl w:ilvl="0" w:tplc="1EB8FB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16"/>
    <w:rsid w:val="000E43B9"/>
    <w:rsid w:val="0011443C"/>
    <w:rsid w:val="00165945"/>
    <w:rsid w:val="00174A76"/>
    <w:rsid w:val="001824CF"/>
    <w:rsid w:val="001D5C30"/>
    <w:rsid w:val="0021482B"/>
    <w:rsid w:val="002168D7"/>
    <w:rsid w:val="00241346"/>
    <w:rsid w:val="00254541"/>
    <w:rsid w:val="00277E51"/>
    <w:rsid w:val="003B4897"/>
    <w:rsid w:val="003C48E1"/>
    <w:rsid w:val="003E37A2"/>
    <w:rsid w:val="003F2591"/>
    <w:rsid w:val="00412E72"/>
    <w:rsid w:val="00436269"/>
    <w:rsid w:val="004477FE"/>
    <w:rsid w:val="00531831"/>
    <w:rsid w:val="005D2B7E"/>
    <w:rsid w:val="00654DB7"/>
    <w:rsid w:val="006979B2"/>
    <w:rsid w:val="006A250C"/>
    <w:rsid w:val="006F6214"/>
    <w:rsid w:val="0072285F"/>
    <w:rsid w:val="0073015F"/>
    <w:rsid w:val="008453E8"/>
    <w:rsid w:val="0087380F"/>
    <w:rsid w:val="00892D20"/>
    <w:rsid w:val="008C165B"/>
    <w:rsid w:val="008C547B"/>
    <w:rsid w:val="00912CA9"/>
    <w:rsid w:val="009313F9"/>
    <w:rsid w:val="00941833"/>
    <w:rsid w:val="00956B2C"/>
    <w:rsid w:val="00977F66"/>
    <w:rsid w:val="00A1458F"/>
    <w:rsid w:val="00A27DA1"/>
    <w:rsid w:val="00A513C6"/>
    <w:rsid w:val="00A71C56"/>
    <w:rsid w:val="00AA5C78"/>
    <w:rsid w:val="00B254E8"/>
    <w:rsid w:val="00B411FA"/>
    <w:rsid w:val="00B557D6"/>
    <w:rsid w:val="00B85C57"/>
    <w:rsid w:val="00BA2B8C"/>
    <w:rsid w:val="00BB3472"/>
    <w:rsid w:val="00BE10B4"/>
    <w:rsid w:val="00BE389F"/>
    <w:rsid w:val="00BF4528"/>
    <w:rsid w:val="00C07A88"/>
    <w:rsid w:val="00C60E23"/>
    <w:rsid w:val="00C77816"/>
    <w:rsid w:val="00CE432F"/>
    <w:rsid w:val="00D3226E"/>
    <w:rsid w:val="00D937CE"/>
    <w:rsid w:val="00E55AA5"/>
    <w:rsid w:val="00E80EEC"/>
    <w:rsid w:val="00EE4379"/>
    <w:rsid w:val="00F079D4"/>
    <w:rsid w:val="00F20453"/>
    <w:rsid w:val="00F65B7A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8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0E23"/>
    <w:pPr>
      <w:spacing w:after="0" w:line="240" w:lineRule="auto"/>
    </w:pPr>
  </w:style>
  <w:style w:type="table" w:styleId="TableGrid">
    <w:name w:val="Table Grid"/>
    <w:basedOn w:val="TableNormal"/>
    <w:uiPriority w:val="59"/>
    <w:rsid w:val="00A7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2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591"/>
  </w:style>
  <w:style w:type="paragraph" w:styleId="Footer">
    <w:name w:val="footer"/>
    <w:basedOn w:val="Normal"/>
    <w:link w:val="FooterChar"/>
    <w:uiPriority w:val="99"/>
    <w:unhideWhenUsed/>
    <w:rsid w:val="003F2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591"/>
  </w:style>
  <w:style w:type="table" w:customStyle="1" w:styleId="TableGrid1">
    <w:name w:val="Table Grid1"/>
    <w:basedOn w:val="TableNormal"/>
    <w:next w:val="TableGrid"/>
    <w:uiPriority w:val="59"/>
    <w:rsid w:val="00EE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379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EE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8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0E23"/>
    <w:pPr>
      <w:spacing w:after="0" w:line="240" w:lineRule="auto"/>
    </w:pPr>
  </w:style>
  <w:style w:type="table" w:styleId="TableGrid">
    <w:name w:val="Table Grid"/>
    <w:basedOn w:val="TableNormal"/>
    <w:uiPriority w:val="59"/>
    <w:rsid w:val="00A7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2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591"/>
  </w:style>
  <w:style w:type="paragraph" w:styleId="Footer">
    <w:name w:val="footer"/>
    <w:basedOn w:val="Normal"/>
    <w:link w:val="FooterChar"/>
    <w:uiPriority w:val="99"/>
    <w:unhideWhenUsed/>
    <w:rsid w:val="003F2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591"/>
  </w:style>
  <w:style w:type="table" w:customStyle="1" w:styleId="TableGrid1">
    <w:name w:val="Table Grid1"/>
    <w:basedOn w:val="TableNormal"/>
    <w:next w:val="TableGrid"/>
    <w:uiPriority w:val="59"/>
    <w:rsid w:val="00EE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379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EE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Christensen</dc:creator>
  <cp:lastModifiedBy>De Wys, Shelley</cp:lastModifiedBy>
  <cp:revision>3</cp:revision>
  <cp:lastPrinted>2015-07-14T20:16:00Z</cp:lastPrinted>
  <dcterms:created xsi:type="dcterms:W3CDTF">2015-11-03T17:20:00Z</dcterms:created>
  <dcterms:modified xsi:type="dcterms:W3CDTF">2015-11-12T21:12:00Z</dcterms:modified>
</cp:coreProperties>
</file>