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27" w:rsidRDefault="001F5721">
      <w:pPr>
        <w:jc w:val="center"/>
        <w:rPr>
          <w:rFonts w:ascii="Univers (W1)" w:hAnsi="Univers (W1)"/>
          <w:b/>
          <w:sz w:val="24"/>
        </w:rPr>
      </w:pPr>
      <w:r w:rsidRPr="001F5721">
        <w:rPr>
          <w:rFonts w:ascii="Univers (W1)" w:hAnsi="Univers (W1)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-7620</wp:posOffset>
                </wp:positionV>
                <wp:extent cx="15144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721" w:rsidRPr="001F5721" w:rsidRDefault="001F57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5721">
                              <w:rPr>
                                <w:sz w:val="24"/>
                                <w:szCs w:val="24"/>
                              </w:rPr>
                              <w:t>ATTACHMENT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7pt;margin-top:-.6pt;width:119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D+IA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" stroked="f">
                <v:textbox style="mso-fit-shape-to-text:t">
                  <w:txbxContent>
                    <w:p w:rsidR="001F5721" w:rsidRPr="001F5721" w:rsidRDefault="001F5721">
                      <w:pPr>
                        <w:rPr>
                          <w:sz w:val="24"/>
                          <w:szCs w:val="24"/>
                        </w:rPr>
                      </w:pPr>
                      <w:r w:rsidRPr="001F5721">
                        <w:rPr>
                          <w:sz w:val="24"/>
                          <w:szCs w:val="24"/>
                        </w:rPr>
                        <w:t>ATTACHMENT 2</w:t>
                      </w:r>
                    </w:p>
                  </w:txbxContent>
                </v:textbox>
              </v:shape>
            </w:pict>
          </mc:Fallback>
        </mc:AlternateContent>
      </w:r>
      <w:r w:rsidR="00AF6163">
        <w:rPr>
          <w:noProof/>
        </w:rPr>
        <w:drawing>
          <wp:inline distT="0" distB="0" distL="0" distR="0">
            <wp:extent cx="742950" cy="514350"/>
            <wp:effectExtent l="0" t="0" r="0" b="0"/>
            <wp:docPr id="1" name="Picture 1" descr="KClogo_v_b_m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27" w:rsidRDefault="00853927">
      <w:pPr>
        <w:jc w:val="center"/>
        <w:rPr>
          <w:rFonts w:ascii="Univers (W1)" w:hAnsi="Univers (W1)"/>
          <w:sz w:val="16"/>
        </w:rPr>
      </w:pPr>
    </w:p>
    <w:p w:rsidR="00853927" w:rsidRDefault="00853927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>Checklist and Summary of Changes for the attached</w:t>
      </w:r>
    </w:p>
    <w:p w:rsidR="00853927" w:rsidRDefault="00853927">
      <w:pPr>
        <w:jc w:val="center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8"/>
        </w:rPr>
        <w:t>Collective Bargaining Agreement</w:t>
      </w:r>
    </w:p>
    <w:p w:rsidR="00853927" w:rsidRDefault="00853927">
      <w:pPr>
        <w:jc w:val="center"/>
        <w:rPr>
          <w:rFonts w:ascii="Univers (W1)" w:hAnsi="Univers (W1)"/>
          <w:sz w:val="24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30"/>
      </w:tblGrid>
      <w:tr w:rsidR="00853927">
        <w:trPr>
          <w:jc w:val="center"/>
        </w:trPr>
        <w:tc>
          <w:tcPr>
            <w:tcW w:w="873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Name of Agreement</w:t>
            </w:r>
          </w:p>
        </w:tc>
      </w:tr>
      <w:tr w:rsidR="00853927"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853927" w:rsidRDefault="00052FC8">
            <w:pPr>
              <w:rPr>
                <w:rFonts w:ascii="Univers (W1)" w:hAnsi="Univers (W1)"/>
                <w:b/>
                <w:sz w:val="24"/>
              </w:rPr>
            </w:pPr>
            <w:r w:rsidRPr="00052FC8">
              <w:rPr>
                <w:rFonts w:ascii="Univers (W1)" w:hAnsi="Univers (W1)"/>
                <w:b/>
                <w:sz w:val="24"/>
              </w:rPr>
              <w:t>Joint Crafts Council (Construction Crafts)</w:t>
            </w:r>
          </w:p>
          <w:p w:rsidR="00853927" w:rsidRDefault="00853927">
            <w:pPr>
              <w:rPr>
                <w:rFonts w:ascii="Univers (W1)" w:hAnsi="Univers (W1)"/>
                <w:b/>
                <w:sz w:val="24"/>
              </w:rPr>
            </w:pPr>
          </w:p>
        </w:tc>
      </w:tr>
      <w:tr w:rsidR="00853927">
        <w:trPr>
          <w:jc w:val="center"/>
        </w:trPr>
        <w:tc>
          <w:tcPr>
            <w:tcW w:w="873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Labor Negotiator</w:t>
            </w:r>
          </w:p>
        </w:tc>
      </w:tr>
      <w:tr w:rsidR="00853927"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927" w:rsidRDefault="00052FC8">
            <w:pPr>
              <w:rPr>
                <w:rFonts w:ascii="Univers (W1)" w:hAnsi="Univers (W1)"/>
                <w:b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James J. Johnson</w:t>
            </w:r>
          </w:p>
          <w:p w:rsidR="00853927" w:rsidRDefault="00853927">
            <w:pPr>
              <w:rPr>
                <w:rFonts w:ascii="Univers (W1)" w:hAnsi="Univers (W1)"/>
                <w:b/>
                <w:sz w:val="24"/>
              </w:rPr>
            </w:pPr>
          </w:p>
        </w:tc>
      </w:tr>
    </w:tbl>
    <w:p w:rsidR="00853927" w:rsidRDefault="00853927">
      <w:pPr>
        <w:ind w:left="270"/>
        <w:jc w:val="center"/>
        <w:rPr>
          <w:rFonts w:ascii="Univers (W1)" w:hAnsi="Univers (W1)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990"/>
      </w:tblGrid>
      <w:tr w:rsidR="00853927">
        <w:trPr>
          <w:jc w:val="center"/>
        </w:trPr>
        <w:tc>
          <w:tcPr>
            <w:tcW w:w="77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Prosecuting Attorney’s Review</w:t>
            </w:r>
          </w:p>
        </w:tc>
        <w:tc>
          <w:tcPr>
            <w:tcW w:w="990" w:type="dxa"/>
          </w:tcPr>
          <w:p w:rsidR="00853927" w:rsidRDefault="00760630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760630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760630" w:rsidRDefault="00760630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Legislative Review Form; Motion or Ordinance</w:t>
            </w:r>
          </w:p>
        </w:tc>
        <w:tc>
          <w:tcPr>
            <w:tcW w:w="990" w:type="dxa"/>
          </w:tcPr>
          <w:p w:rsidR="00760630" w:rsidRDefault="00760630">
            <w:r w:rsidRPr="00F01D5F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760630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760630" w:rsidRDefault="00760630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Executive Letter</w:t>
            </w:r>
          </w:p>
        </w:tc>
        <w:tc>
          <w:tcPr>
            <w:tcW w:w="990" w:type="dxa"/>
          </w:tcPr>
          <w:p w:rsidR="00760630" w:rsidRDefault="00760630">
            <w:r w:rsidRPr="00F01D5F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760630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760630" w:rsidRDefault="00760630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Fiscal Note</w:t>
            </w:r>
          </w:p>
        </w:tc>
        <w:tc>
          <w:tcPr>
            <w:tcW w:w="990" w:type="dxa"/>
          </w:tcPr>
          <w:p w:rsidR="00760630" w:rsidRDefault="00760630">
            <w:r w:rsidRPr="00F01D5F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760630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760630" w:rsidRDefault="00760630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Six Point Summary</w:t>
            </w:r>
          </w:p>
        </w:tc>
        <w:tc>
          <w:tcPr>
            <w:tcW w:w="990" w:type="dxa"/>
          </w:tcPr>
          <w:p w:rsidR="00760630" w:rsidRDefault="00760630">
            <w:r w:rsidRPr="00F01D5F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760630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760630" w:rsidRDefault="00760630" w:rsidP="00D80373">
            <w:pPr>
              <w:rPr>
                <w:rFonts w:ascii="Univers (W1)" w:hAnsi="Univers (W1)"/>
                <w:b/>
                <w:i/>
                <w:sz w:val="24"/>
              </w:rPr>
            </w:pPr>
            <w:smartTag w:uri="urn:schemas-microsoft-com:office:smarttags" w:element="State">
              <w:smartTag w:uri="urn:schemas-microsoft-com:office:smarttags" w:element="City">
                <w:r>
                  <w:rPr>
                    <w:rFonts w:ascii="Univers (W1)" w:hAnsi="Univers (W1)"/>
                    <w:b/>
                    <w:i/>
                    <w:sz w:val="24"/>
                  </w:rPr>
                  <w:t>King</w:t>
                </w:r>
              </w:smartTag>
              <w:r>
                <w:rPr>
                  <w:rFonts w:ascii="Univers (W1)" w:hAnsi="Univers (W1)"/>
                  <w:b/>
                  <w:i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Univers (W1)" w:hAnsi="Univers (W1)"/>
                    <w:b/>
                    <w:i/>
                    <w:sz w:val="24"/>
                  </w:rPr>
                  <w:t>County</w:t>
                </w:r>
              </w:smartTag>
            </w:smartTag>
            <w:r>
              <w:rPr>
                <w:rFonts w:ascii="Univers (W1)" w:hAnsi="Univers (W1)"/>
                <w:b/>
                <w:i/>
                <w:sz w:val="24"/>
              </w:rPr>
              <w:t xml:space="preserve"> Council Adopted Labor Policies Consistency</w:t>
            </w:r>
          </w:p>
        </w:tc>
        <w:tc>
          <w:tcPr>
            <w:tcW w:w="990" w:type="dxa"/>
          </w:tcPr>
          <w:p w:rsidR="00760630" w:rsidRDefault="00760630">
            <w:r w:rsidRPr="00F01D5F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760630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760630" w:rsidRDefault="00760630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Ordinance</w:t>
            </w:r>
          </w:p>
        </w:tc>
        <w:tc>
          <w:tcPr>
            <w:tcW w:w="990" w:type="dxa"/>
          </w:tcPr>
          <w:p w:rsidR="00760630" w:rsidRDefault="00760630">
            <w:r w:rsidRPr="00F01D5F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760630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760630" w:rsidRDefault="00760630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 xml:space="preserve">Original Signed Agreement(s) </w:t>
            </w:r>
          </w:p>
        </w:tc>
        <w:tc>
          <w:tcPr>
            <w:tcW w:w="990" w:type="dxa"/>
          </w:tcPr>
          <w:p w:rsidR="00760630" w:rsidRDefault="00760630">
            <w:r w:rsidRPr="00F01D5F"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 xml:space="preserve">Does transmittal include MOU/MOA? </w:t>
            </w:r>
          </w:p>
        </w:tc>
        <w:tc>
          <w:tcPr>
            <w:tcW w:w="990" w:type="dxa"/>
          </w:tcPr>
          <w:p w:rsidR="00853927" w:rsidRDefault="00472B53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N/A</w:t>
            </w:r>
          </w:p>
        </w:tc>
      </w:tr>
    </w:tbl>
    <w:p w:rsidR="00853927" w:rsidRDefault="0085392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</w:tblGrid>
      <w:tr w:rsidR="00853927">
        <w:trPr>
          <w:jc w:val="center"/>
        </w:trPr>
        <w:tc>
          <w:tcPr>
            <w:tcW w:w="8741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Six Point Summary of changes to the attached agreement:</w:t>
            </w:r>
          </w:p>
        </w:tc>
      </w:tr>
      <w:tr w:rsidR="00853927" w:rsidRPr="00472B53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472B53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1.  </w:t>
            </w:r>
            <w:r w:rsidR="00B73CF8" w:rsidRPr="00472B53">
              <w:rPr>
                <w:rFonts w:ascii="Univers (W1)" w:hAnsi="Univers (W1)"/>
                <w:sz w:val="22"/>
              </w:rPr>
              <w:t>Housekeeping and contract standards changes to per</w:t>
            </w:r>
            <w:r w:rsidR="00472B53" w:rsidRPr="00472B53">
              <w:rPr>
                <w:rFonts w:ascii="Univers (W1)" w:hAnsi="Univers (W1)"/>
                <w:sz w:val="22"/>
              </w:rPr>
              <w:t xml:space="preserve">sonnel holiday administration, </w:t>
            </w:r>
            <w:r w:rsidR="00B73CF8" w:rsidRPr="00472B53">
              <w:rPr>
                <w:rFonts w:ascii="Univers (W1)" w:hAnsi="Univers (W1)"/>
                <w:sz w:val="22"/>
              </w:rPr>
              <w:t>bereavement leave and step progression for term-limited temporary employees</w:t>
            </w:r>
            <w:r w:rsidR="004655AB" w:rsidRPr="00472B53">
              <w:rPr>
                <w:rFonts w:ascii="Univers (W1)" w:hAnsi="Univers (W1)"/>
                <w:sz w:val="22"/>
              </w:rPr>
              <w:t>.</w:t>
            </w:r>
          </w:p>
          <w:p w:rsidR="00472B53" w:rsidRDefault="00472B53" w:rsidP="00472B53">
            <w:pPr>
              <w:ind w:left="317" w:hanging="317"/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472B53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2.  </w:t>
            </w:r>
            <w:r w:rsidR="004655AB" w:rsidRPr="00472B53">
              <w:rPr>
                <w:rFonts w:ascii="Univers (W1)" w:hAnsi="Univers (W1)"/>
                <w:sz w:val="22"/>
              </w:rPr>
              <w:t>Greater public accountability through the use of cameras for real time viewing for operational reasons.</w:t>
            </w:r>
          </w:p>
          <w:p w:rsidR="00472B53" w:rsidRDefault="00472B53" w:rsidP="00472B53">
            <w:pPr>
              <w:ind w:left="317" w:hanging="317"/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472B53" w:rsidP="00472B53">
            <w:pPr>
              <w:ind w:left="317" w:hanging="317"/>
              <w:rPr>
                <w:rFonts w:ascii="Univers (W1)" w:hAnsi="Univers (W1)"/>
                <w:sz w:val="22"/>
              </w:rPr>
            </w:pPr>
            <w:r w:rsidRPr="00472B53">
              <w:rPr>
                <w:rFonts w:ascii="Univers (W1)" w:hAnsi="Univers (W1)"/>
                <w:sz w:val="22"/>
              </w:rPr>
              <w:t xml:space="preserve">3.  </w:t>
            </w:r>
            <w:r w:rsidR="004655AB" w:rsidRPr="00472B53">
              <w:rPr>
                <w:rFonts w:ascii="Univers (W1)" w:hAnsi="Univers (W1)"/>
                <w:sz w:val="22"/>
              </w:rPr>
              <w:t xml:space="preserve">Created greater payroll system administrative ease by converting the percentage-based pay premium for </w:t>
            </w:r>
            <w:r w:rsidR="00E42EE3" w:rsidRPr="00E42EE3">
              <w:rPr>
                <w:rFonts w:ascii="Univers (W1)" w:hAnsi="Univers (W1)"/>
                <w:sz w:val="22"/>
              </w:rPr>
              <w:t>Automotive Service Excellence</w:t>
            </w:r>
            <w:r w:rsidR="004655AB" w:rsidRPr="00472B53">
              <w:rPr>
                <w:rFonts w:ascii="Univers (W1)" w:hAnsi="Univers (W1)"/>
                <w:sz w:val="22"/>
              </w:rPr>
              <w:t xml:space="preserve"> certified mechanics to hourly amounts and streamlining their tool allowance to reflect only tools purchased </w:t>
            </w:r>
            <w:r w:rsidR="00760630">
              <w:rPr>
                <w:rFonts w:ascii="Univers (W1)" w:hAnsi="Univers (W1)"/>
                <w:sz w:val="22"/>
              </w:rPr>
              <w:t xml:space="preserve">that are </w:t>
            </w:r>
            <w:r w:rsidR="004655AB" w:rsidRPr="00472B53">
              <w:rPr>
                <w:rFonts w:ascii="Univers (W1)" w:hAnsi="Univers (W1)"/>
                <w:sz w:val="22"/>
              </w:rPr>
              <w:t>required by the County but not otherwise provided.</w:t>
            </w:r>
          </w:p>
          <w:p w:rsidR="00472B53" w:rsidRDefault="00472B53" w:rsidP="00472B53">
            <w:pPr>
              <w:ind w:left="317" w:hanging="317"/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4655AB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4.  </w:t>
            </w:r>
            <w:r w:rsidR="004655AB" w:rsidRPr="00472B53">
              <w:rPr>
                <w:rFonts w:ascii="Univers (W1)" w:hAnsi="Univers (W1)"/>
                <w:sz w:val="22"/>
              </w:rPr>
              <w:t>Provides incentive for Metal Fabricators, Painters and Plumbers to attain certifications to ensure higher quality work products.</w:t>
            </w:r>
          </w:p>
          <w:p w:rsidR="00472B53" w:rsidRDefault="00472B53" w:rsidP="004655AB">
            <w:pPr>
              <w:ind w:left="317" w:hanging="317"/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double" w:sz="6" w:space="0" w:color="auto"/>
            </w:tcBorders>
          </w:tcPr>
          <w:p w:rsidR="00853927" w:rsidRDefault="00472B53" w:rsidP="00472B53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5.  </w:t>
            </w:r>
            <w:r w:rsidR="004655AB" w:rsidRPr="00472B53">
              <w:rPr>
                <w:rFonts w:ascii="Univers (W1)" w:hAnsi="Univers (W1)"/>
                <w:sz w:val="22"/>
              </w:rPr>
              <w:t xml:space="preserve">Creating efficiencies in the collective bargaining process by extending the term of non-economic provisions to coincide with the term of economic provisions as agreed to in the “Total Compensation” coalition </w:t>
            </w:r>
            <w:r w:rsidR="00E42EE3">
              <w:rPr>
                <w:rFonts w:ascii="Univers (W1)" w:hAnsi="Univers (W1)"/>
                <w:sz w:val="22"/>
              </w:rPr>
              <w:t>memorandum of agreement</w:t>
            </w:r>
            <w:r w:rsidR="004655AB" w:rsidRPr="00472B53">
              <w:rPr>
                <w:rFonts w:ascii="Univers (W1)" w:hAnsi="Univers (W1)"/>
                <w:sz w:val="22"/>
              </w:rPr>
              <w:t>.</w:t>
            </w:r>
          </w:p>
          <w:p w:rsidR="00472B53" w:rsidRDefault="00472B53" w:rsidP="00472B53">
            <w:pPr>
              <w:ind w:left="317" w:hanging="317"/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nil"/>
            </w:tcBorders>
          </w:tcPr>
          <w:p w:rsidR="00853927" w:rsidRDefault="00853927" w:rsidP="004655AB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6.  </w:t>
            </w:r>
            <w:r w:rsidR="004655AB" w:rsidRPr="00472B53">
              <w:rPr>
                <w:rFonts w:ascii="Univers (W1)" w:hAnsi="Univers (W1)"/>
                <w:sz w:val="22"/>
              </w:rPr>
              <w:t>Allowing opportunity, through aligned expiration dates, for coalition bargaining relating to King County initiatives that include but are not limited to “Employer of</w:t>
            </w:r>
            <w:r w:rsidR="00472B53">
              <w:rPr>
                <w:rFonts w:ascii="Univers (W1)" w:hAnsi="Univers (W1)"/>
                <w:sz w:val="22"/>
              </w:rPr>
              <w:t xml:space="preserve"> the Future” and “Standards</w:t>
            </w:r>
            <w:r w:rsidR="00E42EE3">
              <w:rPr>
                <w:rFonts w:ascii="Univers (W1)" w:hAnsi="Univers (W1)"/>
                <w:sz w:val="22"/>
              </w:rPr>
              <w:t>.”</w:t>
            </w:r>
          </w:p>
          <w:p w:rsidR="00472B53" w:rsidRDefault="00472B53" w:rsidP="004655AB">
            <w:pPr>
              <w:ind w:left="317" w:hanging="317"/>
              <w:rPr>
                <w:rFonts w:ascii="Univers (W1)" w:hAnsi="Univers (W1)"/>
                <w:sz w:val="22"/>
              </w:rPr>
            </w:pPr>
          </w:p>
        </w:tc>
      </w:tr>
    </w:tbl>
    <w:p w:rsidR="00853927" w:rsidRDefault="00853927">
      <w:pPr>
        <w:jc w:val="right"/>
        <w:rPr>
          <w:sz w:val="16"/>
        </w:rPr>
      </w:pPr>
    </w:p>
    <w:sectPr w:rsidR="00853927">
      <w:footerReference w:type="default" r:id="rId8"/>
      <w:pgSz w:w="12240" w:h="15840" w:code="1"/>
      <w:pgMar w:top="432" w:right="1440" w:bottom="432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6B" w:rsidRDefault="0075486B">
      <w:r>
        <w:separator/>
      </w:r>
    </w:p>
  </w:endnote>
  <w:endnote w:type="continuationSeparator" w:id="0">
    <w:p w:rsidR="0075486B" w:rsidRDefault="0075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53" w:rsidRDefault="00472B53">
    <w:pPr>
      <w:pStyle w:val="Footer"/>
    </w:pPr>
    <w:r>
      <w:t>350S0115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6B" w:rsidRDefault="0075486B">
      <w:r>
        <w:separator/>
      </w:r>
    </w:p>
  </w:footnote>
  <w:footnote w:type="continuationSeparator" w:id="0">
    <w:p w:rsidR="0075486B" w:rsidRDefault="0075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6F20"/>
    <w:multiLevelType w:val="hybridMultilevel"/>
    <w:tmpl w:val="AD0E83E2"/>
    <w:lvl w:ilvl="0" w:tplc="42C4B3F8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3DA"/>
    <w:multiLevelType w:val="hybridMultilevel"/>
    <w:tmpl w:val="2F486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558F7"/>
    <w:multiLevelType w:val="hybridMultilevel"/>
    <w:tmpl w:val="98BC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71407"/>
    <w:multiLevelType w:val="hybridMultilevel"/>
    <w:tmpl w:val="2D8A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A5A2D"/>
    <w:multiLevelType w:val="hybridMultilevel"/>
    <w:tmpl w:val="91D66D2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2A"/>
    <w:rsid w:val="00016E78"/>
    <w:rsid w:val="00052FC8"/>
    <w:rsid w:val="000E0B78"/>
    <w:rsid w:val="000F3124"/>
    <w:rsid w:val="001F24A7"/>
    <w:rsid w:val="001F5721"/>
    <w:rsid w:val="00267809"/>
    <w:rsid w:val="003444D9"/>
    <w:rsid w:val="004655AB"/>
    <w:rsid w:val="00472B53"/>
    <w:rsid w:val="00482DDA"/>
    <w:rsid w:val="004A07C6"/>
    <w:rsid w:val="00516A3A"/>
    <w:rsid w:val="0075486B"/>
    <w:rsid w:val="00760630"/>
    <w:rsid w:val="00784A64"/>
    <w:rsid w:val="00853927"/>
    <w:rsid w:val="00AF6163"/>
    <w:rsid w:val="00B67E8E"/>
    <w:rsid w:val="00B71015"/>
    <w:rsid w:val="00B73CF8"/>
    <w:rsid w:val="00B8112A"/>
    <w:rsid w:val="00C344BC"/>
    <w:rsid w:val="00D80373"/>
    <w:rsid w:val="00DD1F14"/>
    <w:rsid w:val="00E42EE3"/>
    <w:rsid w:val="00F15CFB"/>
    <w:rsid w:val="00F8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367FA5F-E0CA-4CAC-9234-5B415563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IXPO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SIXPOINT.DOT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King County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Burgert</dc:creator>
  <cp:lastModifiedBy>Steadman, Marka</cp:lastModifiedBy>
  <cp:revision>3</cp:revision>
  <cp:lastPrinted>2015-10-19T14:41:00Z</cp:lastPrinted>
  <dcterms:created xsi:type="dcterms:W3CDTF">2015-10-19T14:41:00Z</dcterms:created>
  <dcterms:modified xsi:type="dcterms:W3CDTF">2015-11-09T19:41:00Z</dcterms:modified>
</cp:coreProperties>
</file>