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6317BC" w:rsidP="00074A56">
            <w:pPr>
              <w:spacing w:before="40" w:after="40"/>
              <w:rPr>
                <w:rFonts w:ascii="Arial" w:hAnsi="Arial" w:cs="Arial"/>
              </w:rPr>
            </w:pPr>
            <w:r>
              <w:rPr>
                <w:rFonts w:ascii="Arial" w:hAnsi="Arial" w:cs="Arial"/>
              </w:rPr>
              <w:t>15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157D3" w:rsidP="00074A56">
            <w:pPr>
              <w:spacing w:before="40" w:after="40"/>
              <w:rPr>
                <w:rFonts w:ascii="Arial" w:hAnsi="Arial" w:cs="Arial"/>
              </w:rPr>
            </w:pPr>
            <w:r>
              <w:rPr>
                <w:rFonts w:ascii="Arial" w:hAnsi="Arial" w:cs="Arial"/>
              </w:rPr>
              <w:t>Mary Bourguignon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157D3" w:rsidP="00074A56">
            <w:pPr>
              <w:spacing w:before="40" w:after="40"/>
              <w:rPr>
                <w:rFonts w:ascii="Arial" w:hAnsi="Arial" w:cs="Arial"/>
              </w:rPr>
            </w:pPr>
            <w:r>
              <w:rPr>
                <w:rFonts w:ascii="Arial" w:hAnsi="Arial" w:cs="Arial"/>
              </w:rPr>
              <w:t>2015-</w:t>
            </w:r>
            <w:r w:rsidR="00903874">
              <w:rPr>
                <w:rFonts w:ascii="Arial" w:hAnsi="Arial" w:cs="Arial"/>
              </w:rPr>
              <w:t>0438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A190D" w:rsidP="00074A56">
            <w:pPr>
              <w:spacing w:before="40" w:after="40"/>
              <w:rPr>
                <w:rFonts w:ascii="Arial" w:hAnsi="Arial" w:cs="Arial"/>
              </w:rPr>
            </w:pPr>
            <w:r>
              <w:rPr>
                <w:rFonts w:ascii="Arial" w:hAnsi="Arial" w:cs="Arial"/>
              </w:rPr>
              <w:t>November 12</w:t>
            </w:r>
            <w:r w:rsidR="008157D3">
              <w:rPr>
                <w:rFonts w:ascii="Arial" w:hAnsi="Arial" w:cs="Arial"/>
              </w:rPr>
              <w:t>, 2015</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8157D3" w:rsidRDefault="008157D3" w:rsidP="005B478C">
      <w:pPr>
        <w:jc w:val="both"/>
        <w:rPr>
          <w:rFonts w:ascii="Arial" w:hAnsi="Arial" w:cs="Arial"/>
        </w:rPr>
      </w:pPr>
      <w:r>
        <w:rPr>
          <w:rFonts w:ascii="Arial" w:hAnsi="Arial" w:cs="Arial"/>
        </w:rPr>
        <w:t>Proposed Ordinance 2015-</w:t>
      </w:r>
      <w:r w:rsidR="00903874">
        <w:rPr>
          <w:rFonts w:ascii="Arial" w:hAnsi="Arial" w:cs="Arial"/>
        </w:rPr>
        <w:t>0438</w:t>
      </w:r>
      <w:r>
        <w:rPr>
          <w:rFonts w:ascii="Arial" w:hAnsi="Arial" w:cs="Arial"/>
        </w:rPr>
        <w:t xml:space="preserve"> would appropriate </w:t>
      </w:r>
      <w:r w:rsidRPr="00A20AD0">
        <w:rPr>
          <w:rFonts w:ascii="Arial" w:hAnsi="Arial" w:cs="Arial"/>
        </w:rPr>
        <w:t>$</w:t>
      </w:r>
      <w:r w:rsidR="00903874" w:rsidRPr="00A20AD0">
        <w:rPr>
          <w:rFonts w:ascii="Arial" w:hAnsi="Arial" w:cs="Arial"/>
        </w:rPr>
        <w:t>3,390,609</w:t>
      </w:r>
      <w:r w:rsidRPr="00A20AD0">
        <w:rPr>
          <w:rFonts w:ascii="Arial" w:hAnsi="Arial" w:cs="Arial"/>
        </w:rPr>
        <w:t xml:space="preserve"> </w:t>
      </w:r>
      <w:r>
        <w:rPr>
          <w:rFonts w:ascii="Arial" w:hAnsi="Arial" w:cs="Arial"/>
        </w:rPr>
        <w:t xml:space="preserve">from </w:t>
      </w:r>
      <w:r w:rsidR="00903874">
        <w:rPr>
          <w:rFonts w:ascii="Arial" w:hAnsi="Arial" w:cs="Arial"/>
        </w:rPr>
        <w:t>the Regional Trail Reserve, a fund backed by the Parks, Trails and Open Space Levy, to remove rails, rep</w:t>
      </w:r>
      <w:r w:rsidR="00E420CA">
        <w:rPr>
          <w:rFonts w:ascii="Arial" w:hAnsi="Arial" w:cs="Arial"/>
        </w:rPr>
        <w:t>lace</w:t>
      </w:r>
      <w:r w:rsidR="00903874">
        <w:rPr>
          <w:rFonts w:ascii="Arial" w:hAnsi="Arial" w:cs="Arial"/>
        </w:rPr>
        <w:t xml:space="preserve"> culverts, and conduct other activities on the County-owned portions of the Eastside Rail Corridor.</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A4030C" w:rsidRDefault="00A4030C" w:rsidP="00A4030C">
      <w:pPr>
        <w:jc w:val="both"/>
        <w:rPr>
          <w:rFonts w:ascii="Arial" w:hAnsi="Arial" w:cs="Arial"/>
        </w:rPr>
      </w:pPr>
      <w:r>
        <w:rPr>
          <w:rFonts w:ascii="Arial" w:hAnsi="Arial" w:cs="Arial"/>
        </w:rPr>
        <w:t xml:space="preserve">In </w:t>
      </w:r>
      <w:r w:rsidR="005A226A">
        <w:rPr>
          <w:rFonts w:ascii="Arial" w:hAnsi="Arial" w:cs="Arial"/>
        </w:rPr>
        <w:t>February 2013</w:t>
      </w:r>
      <w:r>
        <w:rPr>
          <w:rFonts w:ascii="Arial" w:hAnsi="Arial" w:cs="Arial"/>
        </w:rPr>
        <w:t xml:space="preserve">, the </w:t>
      </w:r>
      <w:r w:rsidR="005A226A">
        <w:rPr>
          <w:rFonts w:ascii="Arial" w:hAnsi="Arial" w:cs="Arial"/>
        </w:rPr>
        <w:t xml:space="preserve">County purchased ownership interests in </w:t>
      </w:r>
      <w:r>
        <w:rPr>
          <w:rFonts w:ascii="Arial" w:hAnsi="Arial" w:cs="Arial"/>
        </w:rPr>
        <w:t xml:space="preserve">15.6 miles of the Eastside Rail Corridor (ERC) within a </w:t>
      </w:r>
      <w:r w:rsidR="008F770C">
        <w:rPr>
          <w:rFonts w:ascii="Arial" w:hAnsi="Arial" w:cs="Arial"/>
        </w:rPr>
        <w:t>railb</w:t>
      </w:r>
      <w:r>
        <w:rPr>
          <w:rFonts w:ascii="Arial" w:hAnsi="Arial" w:cs="Arial"/>
        </w:rPr>
        <w:t xml:space="preserve">anked area between Renton and Woodinville and along a portion of a rail spur north of Redmond. The transaction also included related agreements with </w:t>
      </w:r>
      <w:r w:rsidR="00EB35D0">
        <w:rPr>
          <w:rFonts w:ascii="Arial" w:hAnsi="Arial" w:cs="Arial"/>
        </w:rPr>
        <w:t xml:space="preserve">Sound Transit, </w:t>
      </w:r>
      <w:r>
        <w:rPr>
          <w:rFonts w:ascii="Arial" w:hAnsi="Arial" w:cs="Arial"/>
        </w:rPr>
        <w:t xml:space="preserve">Puget Sound Energy and the City of Redmond. As part of the transaction, the Council </w:t>
      </w:r>
      <w:r w:rsidR="00EB35D0">
        <w:rPr>
          <w:rFonts w:ascii="Arial" w:hAnsi="Arial" w:cs="Arial"/>
        </w:rPr>
        <w:t xml:space="preserve">required the Executive to develop a rail removal plan, </w:t>
      </w:r>
      <w:r w:rsidR="005A226A">
        <w:rPr>
          <w:rFonts w:ascii="Arial" w:hAnsi="Arial" w:cs="Arial"/>
        </w:rPr>
        <w:t xml:space="preserve">to be approved by </w:t>
      </w:r>
      <w:r w:rsidR="00EB35D0">
        <w:rPr>
          <w:rFonts w:ascii="Arial" w:hAnsi="Arial" w:cs="Arial"/>
        </w:rPr>
        <w:t>the Council by motion, prior to the removal of any of the rail track</w:t>
      </w:r>
      <w:r w:rsidR="005A226A">
        <w:rPr>
          <w:rFonts w:ascii="Arial" w:hAnsi="Arial" w:cs="Arial"/>
        </w:rPr>
        <w:t xml:space="preserve"> on the County’s portions of the ERC</w:t>
      </w:r>
      <w:r>
        <w:rPr>
          <w:rFonts w:ascii="Arial" w:hAnsi="Arial" w:cs="Arial"/>
        </w:rPr>
        <w:t>.</w:t>
      </w:r>
      <w:r w:rsidR="00EB35D0">
        <w:rPr>
          <w:rStyle w:val="FootnoteReference"/>
          <w:rFonts w:ascii="Arial" w:hAnsi="Arial" w:cs="Arial"/>
        </w:rPr>
        <w:footnoteReference w:id="1"/>
      </w:r>
      <w:r>
        <w:rPr>
          <w:rFonts w:ascii="Arial" w:hAnsi="Arial" w:cs="Arial"/>
        </w:rPr>
        <w:t xml:space="preserve"> </w:t>
      </w:r>
    </w:p>
    <w:p w:rsidR="00BB4E8F" w:rsidRDefault="00BB4E8F" w:rsidP="005B478C">
      <w:pPr>
        <w:jc w:val="both"/>
        <w:rPr>
          <w:rFonts w:ascii="Arial" w:hAnsi="Arial" w:cs="Arial"/>
        </w:rPr>
      </w:pPr>
    </w:p>
    <w:p w:rsidR="009A190D" w:rsidRDefault="005F3E28" w:rsidP="007F20EF">
      <w:pPr>
        <w:jc w:val="both"/>
        <w:rPr>
          <w:rFonts w:ascii="Arial" w:hAnsi="Arial" w:cs="Arial"/>
        </w:rPr>
      </w:pPr>
      <w:r>
        <w:rPr>
          <w:rFonts w:ascii="Arial" w:hAnsi="Arial" w:cs="Arial"/>
        </w:rPr>
        <w:t>The Executive transmitted th</w:t>
      </w:r>
      <w:r w:rsidR="009B597F">
        <w:rPr>
          <w:rFonts w:ascii="Arial" w:hAnsi="Arial" w:cs="Arial"/>
        </w:rPr>
        <w:t>e</w:t>
      </w:r>
      <w:r>
        <w:rPr>
          <w:rFonts w:ascii="Arial" w:hAnsi="Arial" w:cs="Arial"/>
        </w:rPr>
        <w:t xml:space="preserve"> required rail removal plan as an attachment to Proposed Motion 2015-0439. This rail removal plan </w:t>
      </w:r>
      <w:r w:rsidR="009A190D">
        <w:rPr>
          <w:rFonts w:ascii="Arial" w:hAnsi="Arial" w:cs="Arial"/>
        </w:rPr>
        <w:t xml:space="preserve">was passed out of </w:t>
      </w:r>
      <w:r>
        <w:rPr>
          <w:rFonts w:ascii="Arial" w:hAnsi="Arial" w:cs="Arial"/>
        </w:rPr>
        <w:t xml:space="preserve">the Council’s Committee of the Whole </w:t>
      </w:r>
      <w:r w:rsidR="009A190D">
        <w:rPr>
          <w:rFonts w:ascii="Arial" w:hAnsi="Arial" w:cs="Arial"/>
        </w:rPr>
        <w:t>o</w:t>
      </w:r>
      <w:r>
        <w:rPr>
          <w:rFonts w:ascii="Arial" w:hAnsi="Arial" w:cs="Arial"/>
        </w:rPr>
        <w:t>n November</w:t>
      </w:r>
      <w:r w:rsidR="009A190D">
        <w:rPr>
          <w:rFonts w:ascii="Arial" w:hAnsi="Arial" w:cs="Arial"/>
        </w:rPr>
        <w:t xml:space="preserve"> 4, 2015, as amended, with a “do pass” recommendation. At the time of this writing, Proposed Motion 2015-0439, as amended, was scheduled to be considered at Council on November 9, 2015</w:t>
      </w:r>
      <w:r>
        <w:rPr>
          <w:rFonts w:ascii="Arial" w:hAnsi="Arial" w:cs="Arial"/>
        </w:rPr>
        <w:t xml:space="preserve">. </w:t>
      </w:r>
    </w:p>
    <w:p w:rsidR="009A190D" w:rsidRDefault="009A190D" w:rsidP="007F20EF">
      <w:pPr>
        <w:jc w:val="both"/>
        <w:rPr>
          <w:rFonts w:ascii="Arial" w:hAnsi="Arial" w:cs="Arial"/>
        </w:rPr>
      </w:pPr>
    </w:p>
    <w:p w:rsidR="007F20EF" w:rsidRDefault="005F3E28" w:rsidP="007F20EF">
      <w:pPr>
        <w:jc w:val="both"/>
        <w:rPr>
          <w:rFonts w:ascii="Arial" w:hAnsi="Arial" w:cs="Arial"/>
        </w:rPr>
      </w:pPr>
      <w:r>
        <w:rPr>
          <w:rFonts w:ascii="Arial" w:hAnsi="Arial" w:cs="Arial"/>
        </w:rPr>
        <w:t>Simultaneously with transmittal of the</w:t>
      </w:r>
      <w:r w:rsidR="007F20EF">
        <w:rPr>
          <w:rFonts w:ascii="Arial" w:hAnsi="Arial" w:cs="Arial"/>
        </w:rPr>
        <w:t xml:space="preserve"> rail removal plan, the Executive transmitted Proposed Ordinance 2015-0438, which would appropriate </w:t>
      </w:r>
      <w:r w:rsidR="007F20EF" w:rsidRPr="00A20AD0">
        <w:rPr>
          <w:rFonts w:ascii="Arial" w:hAnsi="Arial" w:cs="Arial"/>
        </w:rPr>
        <w:t>$3,390,609 from</w:t>
      </w:r>
      <w:r w:rsidR="007F20EF">
        <w:rPr>
          <w:rFonts w:ascii="Arial" w:hAnsi="Arial" w:cs="Arial"/>
        </w:rPr>
        <w:t xml:space="preserve"> the Regional Trail Reserve </w:t>
      </w:r>
      <w:r w:rsidR="00755480">
        <w:rPr>
          <w:rFonts w:ascii="Arial" w:hAnsi="Arial" w:cs="Arial"/>
        </w:rPr>
        <w:t xml:space="preserve">to cover the costs of rail removal design, a rail removal contract, </w:t>
      </w:r>
      <w:r w:rsidR="00E931C3">
        <w:rPr>
          <w:rFonts w:ascii="Arial" w:hAnsi="Arial" w:cs="Arial"/>
        </w:rPr>
        <w:t xml:space="preserve">replacement of failing culverts underneath the rail bed, </w:t>
      </w:r>
      <w:r w:rsidR="00A20AD0">
        <w:rPr>
          <w:rFonts w:ascii="Arial" w:hAnsi="Arial" w:cs="Arial"/>
        </w:rPr>
        <w:t xml:space="preserve">hazardous tree removal, interim trail design and construction along a portion of the ERC, </w:t>
      </w:r>
      <w:r w:rsidR="00E931C3">
        <w:rPr>
          <w:rFonts w:ascii="Arial" w:hAnsi="Arial" w:cs="Arial"/>
        </w:rPr>
        <w:t>and outside legal counsel.</w:t>
      </w:r>
    </w:p>
    <w:p w:rsidR="007F20EF" w:rsidRDefault="007F20EF" w:rsidP="007F20EF">
      <w:pPr>
        <w:jc w:val="both"/>
        <w:rPr>
          <w:rFonts w:ascii="Arial" w:hAnsi="Arial" w:cs="Arial"/>
        </w:rPr>
      </w:pPr>
    </w:p>
    <w:p w:rsidR="007F20EF" w:rsidRDefault="009A190D" w:rsidP="007F20EF">
      <w:pPr>
        <w:jc w:val="both"/>
        <w:rPr>
          <w:rFonts w:ascii="Arial" w:hAnsi="Arial" w:cs="Arial"/>
        </w:rPr>
      </w:pPr>
      <w:r>
        <w:rPr>
          <w:rFonts w:ascii="Arial" w:hAnsi="Arial" w:cs="Arial"/>
        </w:rPr>
        <w:t>The committee was briefed on the proposed appropriation on October 28, 2015</w:t>
      </w:r>
      <w:r w:rsidR="00304569">
        <w:rPr>
          <w:rFonts w:ascii="Arial" w:hAnsi="Arial" w:cs="Arial"/>
        </w:rPr>
        <w:t>.</w:t>
      </w:r>
      <w:r>
        <w:rPr>
          <w:rFonts w:ascii="Arial" w:hAnsi="Arial" w:cs="Arial"/>
        </w:rPr>
        <w:t xml:space="preserve"> </w:t>
      </w:r>
    </w:p>
    <w:p w:rsidR="00074A56" w:rsidRDefault="00074A56" w:rsidP="007F20EF">
      <w:pPr>
        <w:jc w:val="both"/>
        <w:rPr>
          <w:rFonts w:ascii="Arial" w:hAnsi="Arial" w:cs="Arial"/>
          <w:szCs w:val="24"/>
        </w:rPr>
      </w:pPr>
      <w:r>
        <w:rPr>
          <w:rFonts w:ascii="Arial" w:hAnsi="Arial" w:cs="Arial"/>
          <w:szCs w:val="24"/>
        </w:rPr>
        <w:br w:type="page"/>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304569" w:rsidRPr="00136AD5" w:rsidRDefault="00304569" w:rsidP="00304569">
      <w:pPr>
        <w:jc w:val="both"/>
        <w:rPr>
          <w:rFonts w:ascii="Arial" w:hAnsi="Arial" w:cs="Arial"/>
          <w:bCs/>
        </w:rPr>
      </w:pPr>
      <w:proofErr w:type="gramStart"/>
      <w:r w:rsidRPr="00F83ECA">
        <w:rPr>
          <w:rFonts w:ascii="Arial" w:hAnsi="Arial" w:cs="Arial"/>
          <w:b/>
        </w:rPr>
        <w:t>Eastside Rail Corridor</w:t>
      </w:r>
      <w:r w:rsidR="00F83ECA" w:rsidRPr="00F83ECA">
        <w:rPr>
          <w:rFonts w:ascii="Arial" w:hAnsi="Arial" w:cs="Arial"/>
          <w:b/>
        </w:rPr>
        <w:t>.</w:t>
      </w:r>
      <w:proofErr w:type="gramEnd"/>
      <w:r w:rsidR="00F83ECA">
        <w:rPr>
          <w:rFonts w:ascii="Arial" w:hAnsi="Arial" w:cs="Arial"/>
          <w:b/>
          <w:i/>
        </w:rPr>
        <w:t xml:space="preserve"> </w:t>
      </w:r>
      <w:r w:rsidRPr="00136AD5">
        <w:rPr>
          <w:rFonts w:ascii="Arial" w:hAnsi="Arial" w:cs="Arial"/>
        </w:rPr>
        <w:t>The Eastside Rail Corridor (ER</w:t>
      </w:r>
      <w:r>
        <w:rPr>
          <w:rFonts w:ascii="Arial" w:hAnsi="Arial" w:cs="Arial"/>
        </w:rPr>
        <w:t xml:space="preserve">C) is </w:t>
      </w:r>
      <w:r w:rsidRPr="00136AD5">
        <w:rPr>
          <w:rFonts w:ascii="Arial" w:hAnsi="Arial" w:cs="Arial"/>
        </w:rPr>
        <w:t>a 42-mile former rail</w:t>
      </w:r>
      <w:r>
        <w:rPr>
          <w:rFonts w:ascii="Arial" w:hAnsi="Arial" w:cs="Arial"/>
        </w:rPr>
        <w:t xml:space="preserve"> line running from Renton to Snohomish, through Woodinville, Kirkland, Redmond and Bellevue, and parts of unincorporated Snohomish and King Counties. </w:t>
      </w:r>
      <w:r w:rsidRPr="00136AD5">
        <w:rPr>
          <w:rFonts w:ascii="Arial" w:hAnsi="Arial" w:cs="Arial"/>
        </w:rPr>
        <w:t xml:space="preserve">In 2003, the BNSF Railway Company announced its intention to divest itself of this rail corridor. In response, in 2009, a group of regional partners, including King County and the Port of Seattle, signed a Memorandum of Understanding </w:t>
      </w:r>
      <w:r>
        <w:rPr>
          <w:rFonts w:ascii="Arial" w:hAnsi="Arial" w:cs="Arial"/>
        </w:rPr>
        <w:t xml:space="preserve">envisioning a </w:t>
      </w:r>
      <w:r w:rsidRPr="00136AD5">
        <w:rPr>
          <w:rFonts w:ascii="Arial" w:hAnsi="Arial" w:cs="Arial"/>
        </w:rPr>
        <w:t xml:space="preserve">regional </w:t>
      </w:r>
      <w:r>
        <w:rPr>
          <w:rFonts w:ascii="Arial" w:hAnsi="Arial" w:cs="Arial"/>
        </w:rPr>
        <w:t>effort</w:t>
      </w:r>
      <w:r w:rsidRPr="00136AD5">
        <w:rPr>
          <w:rFonts w:ascii="Arial" w:hAnsi="Arial" w:cs="Arial"/>
        </w:rPr>
        <w:t xml:space="preserve"> to preserve the corridor for multiple uses.</w:t>
      </w:r>
      <w:r w:rsidR="007E58C2">
        <w:rPr>
          <w:rStyle w:val="FootnoteReference"/>
          <w:rFonts w:ascii="Arial" w:hAnsi="Arial" w:cs="Arial"/>
        </w:rPr>
        <w:footnoteReference w:id="2"/>
      </w:r>
      <w:r>
        <w:rPr>
          <w:rFonts w:ascii="Arial" w:hAnsi="Arial" w:cs="Arial"/>
        </w:rPr>
        <w:t xml:space="preserve"> Subsequently, t</w:t>
      </w:r>
      <w:r w:rsidRPr="00136AD5">
        <w:rPr>
          <w:rFonts w:ascii="Arial" w:hAnsi="Arial" w:cs="Arial"/>
        </w:rPr>
        <w:t>he Port of Seattle acquired BNSF’s interests in the corridor</w:t>
      </w:r>
      <w:r>
        <w:rPr>
          <w:rFonts w:ascii="Arial" w:hAnsi="Arial" w:cs="Arial"/>
        </w:rPr>
        <w:t xml:space="preserve">. </w:t>
      </w:r>
      <w:r w:rsidRPr="00136AD5">
        <w:rPr>
          <w:rFonts w:ascii="Arial" w:hAnsi="Arial" w:cs="Arial"/>
        </w:rPr>
        <w:t xml:space="preserve">The southern portions of the corridor (between Woodinville and Renton, and from Woodinville to Redmond) were </w:t>
      </w:r>
      <w:r w:rsidRPr="00136AD5">
        <w:rPr>
          <w:rFonts w:ascii="Arial" w:hAnsi="Arial" w:cs="Arial"/>
          <w:bCs/>
        </w:rPr>
        <w:t>railbanked.</w:t>
      </w:r>
      <w:r w:rsidRPr="00136AD5">
        <w:rPr>
          <w:rFonts w:ascii="Arial" w:hAnsi="Arial" w:cs="Arial"/>
          <w:bCs/>
          <w:vertAlign w:val="superscript"/>
        </w:rPr>
        <w:footnoteReference w:id="3"/>
      </w:r>
      <w:r w:rsidRPr="00136AD5">
        <w:rPr>
          <w:rFonts w:ascii="Arial" w:hAnsi="Arial" w:cs="Arial"/>
          <w:bCs/>
        </w:rPr>
        <w:t xml:space="preserve"> King County became the Interim Trail Sponsor</w:t>
      </w:r>
      <w:r w:rsidRPr="00136AD5">
        <w:rPr>
          <w:rFonts w:ascii="Arial" w:hAnsi="Arial" w:cs="Arial"/>
          <w:bCs/>
          <w:vertAlign w:val="superscript"/>
        </w:rPr>
        <w:footnoteReference w:id="4"/>
      </w:r>
      <w:r w:rsidRPr="00136AD5">
        <w:rPr>
          <w:rFonts w:ascii="Arial" w:hAnsi="Arial" w:cs="Arial"/>
          <w:bCs/>
        </w:rPr>
        <w:t xml:space="preserve"> of the </w:t>
      </w:r>
      <w:r>
        <w:rPr>
          <w:rFonts w:ascii="Arial" w:hAnsi="Arial" w:cs="Arial"/>
          <w:bCs/>
        </w:rPr>
        <w:t>rail</w:t>
      </w:r>
      <w:r w:rsidRPr="00136AD5">
        <w:rPr>
          <w:rFonts w:ascii="Arial" w:hAnsi="Arial" w:cs="Arial"/>
          <w:bCs/>
        </w:rPr>
        <w:t>banked portion</w:t>
      </w:r>
      <w:r>
        <w:rPr>
          <w:rFonts w:ascii="Arial" w:hAnsi="Arial" w:cs="Arial"/>
          <w:bCs/>
        </w:rPr>
        <w:t xml:space="preserve"> and </w:t>
      </w:r>
      <w:r w:rsidRPr="00136AD5">
        <w:rPr>
          <w:rFonts w:ascii="Arial" w:hAnsi="Arial" w:cs="Arial"/>
          <w:bCs/>
        </w:rPr>
        <w:t xml:space="preserve">purchased a multipurpose easement from the Port in the </w:t>
      </w:r>
      <w:r>
        <w:rPr>
          <w:rFonts w:ascii="Arial" w:hAnsi="Arial" w:cs="Arial"/>
          <w:bCs/>
        </w:rPr>
        <w:t>rail</w:t>
      </w:r>
      <w:r w:rsidRPr="00136AD5">
        <w:rPr>
          <w:rFonts w:ascii="Arial" w:hAnsi="Arial" w:cs="Arial"/>
          <w:bCs/>
        </w:rPr>
        <w:t>banked area</w:t>
      </w:r>
      <w:r>
        <w:rPr>
          <w:rFonts w:ascii="Arial" w:hAnsi="Arial" w:cs="Arial"/>
        </w:rPr>
        <w:t>.</w:t>
      </w:r>
      <w:r w:rsidR="007E58C2">
        <w:rPr>
          <w:rStyle w:val="FootnoteReference"/>
          <w:rFonts w:ascii="Arial" w:hAnsi="Arial" w:cs="Arial"/>
        </w:rPr>
        <w:footnoteReference w:id="5"/>
      </w:r>
    </w:p>
    <w:p w:rsidR="00304569" w:rsidRPr="00136AD5" w:rsidRDefault="00304569" w:rsidP="00304569">
      <w:pPr>
        <w:jc w:val="both"/>
        <w:rPr>
          <w:rFonts w:ascii="Arial" w:hAnsi="Arial" w:cs="Arial"/>
          <w:bCs/>
        </w:rPr>
      </w:pPr>
    </w:p>
    <w:p w:rsidR="00304569" w:rsidRDefault="00304569" w:rsidP="00304569">
      <w:pPr>
        <w:jc w:val="both"/>
        <w:rPr>
          <w:rFonts w:ascii="Arial" w:hAnsi="Arial" w:cs="Arial"/>
          <w:bCs/>
        </w:rPr>
      </w:pPr>
      <w:r w:rsidRPr="005C5396">
        <w:rPr>
          <w:rFonts w:ascii="Arial" w:hAnsi="Arial" w:cs="Arial"/>
          <w:bCs/>
        </w:rPr>
        <w:t xml:space="preserve">The Port </w:t>
      </w:r>
      <w:r w:rsidR="00E22C68">
        <w:rPr>
          <w:rFonts w:ascii="Arial" w:hAnsi="Arial" w:cs="Arial"/>
          <w:bCs/>
        </w:rPr>
        <w:t xml:space="preserve">subsequently </w:t>
      </w:r>
      <w:r w:rsidRPr="005C5396">
        <w:rPr>
          <w:rFonts w:ascii="Arial" w:hAnsi="Arial" w:cs="Arial"/>
          <w:bCs/>
        </w:rPr>
        <w:t>sold other property interests in the railbanked portion of the corridor</w:t>
      </w:r>
      <w:r w:rsidR="00E22C68">
        <w:rPr>
          <w:rFonts w:ascii="Arial" w:hAnsi="Arial" w:cs="Arial"/>
          <w:bCs/>
        </w:rPr>
        <w:t xml:space="preserve"> to Redmond, Kirkland, Sound Transit, and Puget Sound Energy</w:t>
      </w:r>
      <w:r w:rsidRPr="005C5396">
        <w:rPr>
          <w:rFonts w:ascii="Arial" w:hAnsi="Arial" w:cs="Arial"/>
          <w:bCs/>
        </w:rPr>
        <w:t xml:space="preserve">. On February 8, 2013, King County acquired the Port’s residual interest in the remaining 15.6 miles of the railbanked area, as well as a 3.6-mile trail easement north of the railbanked area to </w:t>
      </w:r>
      <w:r w:rsidR="00A47386">
        <w:rPr>
          <w:rFonts w:ascii="Arial" w:hAnsi="Arial" w:cs="Arial"/>
          <w:bCs/>
        </w:rPr>
        <w:t xml:space="preserve">the </w:t>
      </w:r>
      <w:r w:rsidRPr="005C5396">
        <w:rPr>
          <w:rFonts w:ascii="Arial" w:hAnsi="Arial" w:cs="Arial"/>
          <w:bCs/>
        </w:rPr>
        <w:t>Brightwater</w:t>
      </w:r>
      <w:r w:rsidR="00A47386">
        <w:rPr>
          <w:rFonts w:ascii="Arial" w:hAnsi="Arial" w:cs="Arial"/>
          <w:bCs/>
        </w:rPr>
        <w:t xml:space="preserve"> treatment plant</w:t>
      </w:r>
      <w:r w:rsidRPr="005C5396">
        <w:rPr>
          <w:rFonts w:ascii="Arial" w:hAnsi="Arial" w:cs="Arial"/>
          <w:bCs/>
        </w:rPr>
        <w:t>.</w:t>
      </w:r>
      <w:r w:rsidR="00B363DA">
        <w:rPr>
          <w:rStyle w:val="FootnoteReference"/>
          <w:rFonts w:ascii="Arial" w:hAnsi="Arial" w:cs="Arial"/>
          <w:bCs/>
        </w:rPr>
        <w:footnoteReference w:id="6"/>
      </w:r>
      <w:r w:rsidRPr="005C5396">
        <w:rPr>
          <w:rFonts w:ascii="Arial" w:hAnsi="Arial" w:cs="Arial"/>
          <w:bCs/>
        </w:rPr>
        <w:t xml:space="preserve"> The County’s multipurpose easement remains in effect in segments acquired by Kirkland and Sound Transit, comprising approximately 6.6 miles. In total King County owns property interests in approximately 25.8 miles of the ERC.</w:t>
      </w:r>
    </w:p>
    <w:p w:rsidR="00304569" w:rsidRDefault="00304569" w:rsidP="00304569">
      <w:pPr>
        <w:jc w:val="both"/>
        <w:rPr>
          <w:rFonts w:ascii="Arial" w:hAnsi="Arial" w:cs="Arial"/>
          <w:bCs/>
        </w:rPr>
      </w:pPr>
    </w:p>
    <w:p w:rsidR="00304569" w:rsidRDefault="00304569" w:rsidP="00304569">
      <w:pPr>
        <w:jc w:val="both"/>
        <w:rPr>
          <w:rFonts w:ascii="Arial" w:hAnsi="Arial" w:cs="Arial"/>
          <w:bCs/>
        </w:rPr>
      </w:pPr>
      <w:r>
        <w:rPr>
          <w:rFonts w:ascii="Arial" w:hAnsi="Arial" w:cs="Arial"/>
          <w:bCs/>
        </w:rPr>
        <w:t>The five entities that acquired the Port’s interests in the railbanked portion of the ERC (King County, Sound Transit, Redmond, Kirkland, and Puget Sound Energy) have been planning collaboratively around a shared, multi-use vision for the corridor through a Regional Advisory Council (RAC).</w:t>
      </w:r>
      <w:r w:rsidR="00A47386">
        <w:rPr>
          <w:rStyle w:val="FootnoteReference"/>
          <w:rFonts w:ascii="Arial" w:hAnsi="Arial" w:cs="Arial"/>
          <w:bCs/>
        </w:rPr>
        <w:footnoteReference w:id="7"/>
      </w:r>
      <w:r>
        <w:rPr>
          <w:rFonts w:ascii="Arial" w:hAnsi="Arial" w:cs="Arial"/>
          <w:bCs/>
        </w:rPr>
        <w:t xml:space="preserve"> In </w:t>
      </w:r>
      <w:r w:rsidR="00E156A8">
        <w:rPr>
          <w:rFonts w:ascii="Arial" w:hAnsi="Arial" w:cs="Arial"/>
          <w:bCs/>
        </w:rPr>
        <w:t>October 2013</w:t>
      </w:r>
      <w:r>
        <w:rPr>
          <w:rFonts w:ascii="Arial" w:hAnsi="Arial" w:cs="Arial"/>
          <w:bCs/>
        </w:rPr>
        <w:t xml:space="preserve">, the </w:t>
      </w:r>
      <w:r w:rsidR="00E156A8">
        <w:rPr>
          <w:rFonts w:ascii="Arial" w:hAnsi="Arial" w:cs="Arial"/>
          <w:bCs/>
        </w:rPr>
        <w:t xml:space="preserve">RAC approved </w:t>
      </w:r>
      <w:r w:rsidR="008F6099">
        <w:rPr>
          <w:rFonts w:ascii="Arial" w:hAnsi="Arial" w:cs="Arial"/>
          <w:bCs/>
        </w:rPr>
        <w:t xml:space="preserve">a </w:t>
      </w:r>
      <w:r w:rsidR="00E156A8">
        <w:rPr>
          <w:rFonts w:ascii="Arial" w:hAnsi="Arial" w:cs="Arial"/>
          <w:bCs/>
        </w:rPr>
        <w:t>report</w:t>
      </w:r>
      <w:r w:rsidR="008F6099">
        <w:rPr>
          <w:rFonts w:ascii="Arial" w:hAnsi="Arial" w:cs="Arial"/>
          <w:bCs/>
        </w:rPr>
        <w:t>,</w:t>
      </w:r>
      <w:r w:rsidR="00E156A8">
        <w:rPr>
          <w:rFonts w:ascii="Arial" w:hAnsi="Arial" w:cs="Arial"/>
          <w:bCs/>
        </w:rPr>
        <w:t xml:space="preserve"> </w:t>
      </w:r>
      <w:r w:rsidR="00E156A8" w:rsidRPr="00D83323">
        <w:rPr>
          <w:rFonts w:ascii="Arial" w:hAnsi="Arial" w:cs="Arial"/>
          <w:bCs/>
          <w:i/>
        </w:rPr>
        <w:t xml:space="preserve">Creating </w:t>
      </w:r>
      <w:proofErr w:type="gramStart"/>
      <w:r w:rsidR="00E156A8" w:rsidRPr="00D83323">
        <w:rPr>
          <w:rFonts w:ascii="Arial" w:hAnsi="Arial" w:cs="Arial"/>
          <w:bCs/>
          <w:i/>
        </w:rPr>
        <w:t>Connections</w:t>
      </w:r>
      <w:r w:rsidR="008F6099">
        <w:rPr>
          <w:rFonts w:ascii="Arial" w:hAnsi="Arial" w:cs="Arial"/>
          <w:bCs/>
          <w:i/>
        </w:rPr>
        <w:t xml:space="preserve">, </w:t>
      </w:r>
      <w:r w:rsidR="008F6099">
        <w:rPr>
          <w:rFonts w:ascii="Arial" w:hAnsi="Arial" w:cs="Arial"/>
          <w:bCs/>
        </w:rPr>
        <w:t>that</w:t>
      </w:r>
      <w:proofErr w:type="gramEnd"/>
      <w:r w:rsidR="008F6099">
        <w:rPr>
          <w:rFonts w:ascii="Arial" w:hAnsi="Arial" w:cs="Arial"/>
          <w:bCs/>
        </w:rPr>
        <w:t xml:space="preserve"> summarized the joint planning effort to date and articulated progress in achieving the multi-use vision</w:t>
      </w:r>
      <w:r w:rsidR="00E156A8">
        <w:rPr>
          <w:rFonts w:ascii="Arial" w:hAnsi="Arial" w:cs="Arial"/>
          <w:bCs/>
        </w:rPr>
        <w:t>.</w:t>
      </w:r>
      <w:r w:rsidR="00E156A8">
        <w:rPr>
          <w:rStyle w:val="FootnoteReference"/>
          <w:rFonts w:ascii="Arial" w:hAnsi="Arial" w:cs="Arial"/>
          <w:bCs/>
        </w:rPr>
        <w:footnoteReference w:id="8"/>
      </w:r>
      <w:r w:rsidR="00E156A8">
        <w:rPr>
          <w:rFonts w:ascii="Arial" w:hAnsi="Arial" w:cs="Arial"/>
          <w:bCs/>
        </w:rPr>
        <w:t xml:space="preserve"> </w:t>
      </w:r>
      <w:r w:rsidR="008F6099">
        <w:rPr>
          <w:rFonts w:ascii="Arial" w:hAnsi="Arial" w:cs="Arial"/>
          <w:bCs/>
        </w:rPr>
        <w:t xml:space="preserve">In early 2014, King County commenced a master trail planning process for its ownership areas of the ERC. </w:t>
      </w:r>
      <w:r w:rsidR="00577162">
        <w:rPr>
          <w:rFonts w:ascii="Arial" w:hAnsi="Arial" w:cs="Arial"/>
          <w:bCs/>
        </w:rPr>
        <w:t>This process is anticipated to result in Council consideration of a trail master plan in the fourth quarter of 2016.</w:t>
      </w:r>
    </w:p>
    <w:p w:rsidR="00304569" w:rsidRDefault="00304569" w:rsidP="00304569">
      <w:pPr>
        <w:jc w:val="both"/>
        <w:rPr>
          <w:rFonts w:ascii="Arial" w:hAnsi="Arial" w:cs="Arial"/>
          <w:bCs/>
        </w:rPr>
      </w:pPr>
    </w:p>
    <w:p w:rsidR="00577162" w:rsidRDefault="00EF115C" w:rsidP="00304569">
      <w:pPr>
        <w:jc w:val="both"/>
        <w:rPr>
          <w:rFonts w:ascii="Arial" w:hAnsi="Arial" w:cs="Arial"/>
          <w:bCs/>
        </w:rPr>
      </w:pPr>
      <w:proofErr w:type="gramStart"/>
      <w:r w:rsidRPr="00450E1D">
        <w:rPr>
          <w:rFonts w:ascii="Arial" w:hAnsi="Arial" w:cs="Arial"/>
          <w:b/>
          <w:bCs/>
        </w:rPr>
        <w:t>Rail removal</w:t>
      </w:r>
      <w:r w:rsidR="00C5038A">
        <w:rPr>
          <w:rFonts w:ascii="Arial" w:hAnsi="Arial" w:cs="Arial"/>
          <w:b/>
          <w:bCs/>
        </w:rPr>
        <w:t xml:space="preserve"> proposal</w:t>
      </w:r>
      <w:r w:rsidRPr="00450E1D">
        <w:rPr>
          <w:rFonts w:ascii="Arial" w:hAnsi="Arial" w:cs="Arial"/>
          <w:b/>
          <w:bCs/>
        </w:rPr>
        <w:t>.</w:t>
      </w:r>
      <w:proofErr w:type="gramEnd"/>
      <w:r>
        <w:rPr>
          <w:rFonts w:ascii="Arial" w:hAnsi="Arial" w:cs="Arial"/>
          <w:bCs/>
        </w:rPr>
        <w:t xml:space="preserve"> </w:t>
      </w:r>
      <w:r w:rsidR="00483D3A">
        <w:rPr>
          <w:rFonts w:ascii="Arial" w:hAnsi="Arial" w:cs="Arial"/>
          <w:bCs/>
        </w:rPr>
        <w:t xml:space="preserve">When the Port sold its ownership interests in the </w:t>
      </w:r>
      <w:r w:rsidR="008F770C">
        <w:rPr>
          <w:rFonts w:ascii="Arial" w:hAnsi="Arial" w:cs="Arial"/>
          <w:bCs/>
        </w:rPr>
        <w:t>railb</w:t>
      </w:r>
      <w:r w:rsidR="00483D3A">
        <w:rPr>
          <w:rFonts w:ascii="Arial" w:hAnsi="Arial" w:cs="Arial"/>
          <w:bCs/>
        </w:rPr>
        <w:t xml:space="preserve">anked portion of the ERC, the corridor </w:t>
      </w:r>
      <w:r w:rsidR="00C5038A">
        <w:rPr>
          <w:rFonts w:ascii="Arial" w:hAnsi="Arial" w:cs="Arial"/>
          <w:bCs/>
        </w:rPr>
        <w:t xml:space="preserve">included all of the rail infrastructure located there, including rails, ties, ballast, drainage structures, and other structures and equipment that had supported BNSF rail use of the corridor prior to the termination of BNSF active </w:t>
      </w:r>
      <w:r w:rsidR="00C5038A">
        <w:rPr>
          <w:rFonts w:ascii="Arial" w:hAnsi="Arial" w:cs="Arial"/>
          <w:bCs/>
        </w:rPr>
        <w:lastRenderedPageBreak/>
        <w:t xml:space="preserve">rail use in 2008. The cities of Redmond and Kirkland </w:t>
      </w:r>
      <w:r w:rsidR="0059228C">
        <w:rPr>
          <w:rFonts w:ascii="Arial" w:hAnsi="Arial" w:cs="Arial"/>
          <w:bCs/>
        </w:rPr>
        <w:t xml:space="preserve">have </w:t>
      </w:r>
      <w:r w:rsidR="00C5038A">
        <w:rPr>
          <w:rFonts w:ascii="Arial" w:hAnsi="Arial" w:cs="Arial"/>
          <w:bCs/>
        </w:rPr>
        <w:t xml:space="preserve">removed and salvaged the rail tracks </w:t>
      </w:r>
      <w:r w:rsidR="0059228C">
        <w:rPr>
          <w:rFonts w:ascii="Arial" w:hAnsi="Arial" w:cs="Arial"/>
          <w:bCs/>
        </w:rPr>
        <w:t>in</w:t>
      </w:r>
      <w:r w:rsidR="00C5038A">
        <w:rPr>
          <w:rFonts w:ascii="Arial" w:hAnsi="Arial" w:cs="Arial"/>
          <w:bCs/>
        </w:rPr>
        <w:t xml:space="preserve"> their portions of the corridor; and Sound Transit has indicated that it will remove the rails on its portion in preparation for the construction of the East Link Wilburton Station and the </w:t>
      </w:r>
      <w:r w:rsidR="00B22676">
        <w:rPr>
          <w:rFonts w:ascii="Arial" w:hAnsi="Arial" w:cs="Arial"/>
          <w:bCs/>
        </w:rPr>
        <w:t>Link Operations and Maintenance Satellite Facility.</w:t>
      </w:r>
    </w:p>
    <w:p w:rsidR="00B22676" w:rsidRDefault="00B22676" w:rsidP="00304569">
      <w:pPr>
        <w:jc w:val="both"/>
        <w:rPr>
          <w:rFonts w:ascii="Arial" w:hAnsi="Arial" w:cs="Arial"/>
          <w:bCs/>
        </w:rPr>
      </w:pPr>
    </w:p>
    <w:p w:rsidR="009A190D" w:rsidRDefault="00B22676" w:rsidP="00304569">
      <w:pPr>
        <w:jc w:val="both"/>
        <w:rPr>
          <w:rFonts w:ascii="Arial" w:hAnsi="Arial" w:cs="Arial"/>
          <w:bCs/>
        </w:rPr>
      </w:pPr>
      <w:r>
        <w:rPr>
          <w:rFonts w:ascii="Arial" w:hAnsi="Arial" w:cs="Arial"/>
          <w:bCs/>
        </w:rPr>
        <w:t>For the County’s portion of the ERC, the Council required that prior to any rail removal, the Executive must prepare a rail removal plan, which must be transmitted to the Council and approved by motion.</w:t>
      </w:r>
      <w:r>
        <w:rPr>
          <w:rStyle w:val="FootnoteReference"/>
          <w:rFonts w:ascii="Arial" w:hAnsi="Arial" w:cs="Arial"/>
          <w:bCs/>
        </w:rPr>
        <w:footnoteReference w:id="9"/>
      </w:r>
      <w:r>
        <w:rPr>
          <w:rFonts w:ascii="Arial" w:hAnsi="Arial" w:cs="Arial"/>
          <w:bCs/>
        </w:rPr>
        <w:t xml:space="preserve"> </w:t>
      </w:r>
      <w:r w:rsidR="00766689">
        <w:rPr>
          <w:rFonts w:ascii="Arial" w:hAnsi="Arial" w:cs="Arial"/>
          <w:bCs/>
        </w:rPr>
        <w:t>As noted above, the Executive transmitted this required rail removal plan as part of Proposed Motion 2015-0439</w:t>
      </w:r>
      <w:r w:rsidR="009A190D">
        <w:rPr>
          <w:rFonts w:ascii="Arial" w:hAnsi="Arial" w:cs="Arial"/>
          <w:bCs/>
        </w:rPr>
        <w:t>, which was passed out of the Committee of the Whole on November 4, 2015, and is scheduled to be considered at Council on November 9, 2015</w:t>
      </w:r>
      <w:r w:rsidR="00766689">
        <w:rPr>
          <w:rFonts w:ascii="Arial" w:hAnsi="Arial" w:cs="Arial"/>
          <w:bCs/>
        </w:rPr>
        <w:t xml:space="preserve">. </w:t>
      </w:r>
    </w:p>
    <w:p w:rsidR="00766689" w:rsidRDefault="00766689" w:rsidP="00304569">
      <w:pPr>
        <w:jc w:val="both"/>
        <w:rPr>
          <w:rFonts w:ascii="Arial" w:hAnsi="Arial" w:cs="Arial"/>
          <w:bCs/>
        </w:rPr>
      </w:pPr>
    </w:p>
    <w:p w:rsidR="00766689" w:rsidRDefault="00E21357" w:rsidP="00304569">
      <w:pPr>
        <w:jc w:val="both"/>
        <w:rPr>
          <w:rFonts w:ascii="Arial" w:hAnsi="Arial" w:cs="Arial"/>
        </w:rPr>
      </w:pPr>
      <w:proofErr w:type="gramStart"/>
      <w:r w:rsidRPr="00E21357">
        <w:rPr>
          <w:rFonts w:ascii="Arial" w:hAnsi="Arial" w:cs="Arial"/>
          <w:b/>
          <w:bCs/>
        </w:rPr>
        <w:t>Proposed appropriation.</w:t>
      </w:r>
      <w:proofErr w:type="gramEnd"/>
      <w:r>
        <w:rPr>
          <w:rFonts w:ascii="Arial" w:hAnsi="Arial" w:cs="Arial"/>
          <w:bCs/>
        </w:rPr>
        <w:t xml:space="preserve"> </w:t>
      </w:r>
      <w:r w:rsidR="009A190D">
        <w:rPr>
          <w:rFonts w:ascii="Arial" w:hAnsi="Arial" w:cs="Arial"/>
          <w:bCs/>
        </w:rPr>
        <w:t xml:space="preserve">Proposed Ordinance 2015-0438would appropriate funding to remove the rails and cover other tasks on the ERC. </w:t>
      </w:r>
      <w:r w:rsidR="00766689">
        <w:rPr>
          <w:rFonts w:ascii="Arial" w:hAnsi="Arial" w:cs="Arial"/>
          <w:bCs/>
        </w:rPr>
        <w:t xml:space="preserve">The appropriation would be funded from the </w:t>
      </w:r>
      <w:r w:rsidR="00766689">
        <w:rPr>
          <w:rFonts w:ascii="Arial" w:hAnsi="Arial" w:cs="Arial"/>
        </w:rPr>
        <w:t>Regional Trail Reserve, a fund backed by the Parks, Trails and Open Space Levy. It would fund:</w:t>
      </w:r>
    </w:p>
    <w:p w:rsidR="00766689" w:rsidRDefault="00766689" w:rsidP="00304569">
      <w:pPr>
        <w:jc w:val="both"/>
        <w:rPr>
          <w:rFonts w:ascii="Arial" w:hAnsi="Arial" w:cs="Arial"/>
        </w:rPr>
      </w:pPr>
    </w:p>
    <w:tbl>
      <w:tblPr>
        <w:tblStyle w:val="TableGrid"/>
        <w:tblW w:w="0" w:type="auto"/>
        <w:tblInd w:w="1278" w:type="dxa"/>
        <w:tblLook w:val="04A0" w:firstRow="1" w:lastRow="0" w:firstColumn="1" w:lastColumn="0" w:noHBand="0" w:noVBand="1"/>
      </w:tblPr>
      <w:tblGrid>
        <w:gridCol w:w="4770"/>
        <w:gridCol w:w="2430"/>
      </w:tblGrid>
      <w:tr w:rsidR="00F35EE0" w:rsidTr="00F35EE0">
        <w:tc>
          <w:tcPr>
            <w:tcW w:w="4770" w:type="dxa"/>
            <w:shd w:val="clear" w:color="auto" w:fill="000000" w:themeFill="text1"/>
            <w:vAlign w:val="center"/>
          </w:tcPr>
          <w:p w:rsidR="00F35EE0" w:rsidRPr="00F35EE0" w:rsidRDefault="00F35EE0" w:rsidP="00F35EE0">
            <w:pPr>
              <w:spacing w:before="40" w:after="40"/>
              <w:rPr>
                <w:rFonts w:ascii="Arial" w:hAnsi="Arial" w:cs="Arial"/>
                <w:b/>
                <w:bCs/>
                <w:color w:val="FFFFFF" w:themeColor="background1"/>
              </w:rPr>
            </w:pPr>
            <w:r w:rsidRPr="00F35EE0">
              <w:rPr>
                <w:rFonts w:ascii="Arial" w:hAnsi="Arial" w:cs="Arial"/>
                <w:b/>
                <w:bCs/>
                <w:color w:val="FFFFFF" w:themeColor="background1"/>
              </w:rPr>
              <w:t>Item</w:t>
            </w:r>
          </w:p>
        </w:tc>
        <w:tc>
          <w:tcPr>
            <w:tcW w:w="2430" w:type="dxa"/>
            <w:shd w:val="clear" w:color="auto" w:fill="000000" w:themeFill="text1"/>
            <w:vAlign w:val="center"/>
          </w:tcPr>
          <w:p w:rsidR="00F35EE0" w:rsidRPr="00F35EE0" w:rsidRDefault="00F35EE0" w:rsidP="00F35EE0">
            <w:pPr>
              <w:spacing w:before="40" w:after="40"/>
              <w:jc w:val="center"/>
              <w:rPr>
                <w:rFonts w:ascii="Arial" w:hAnsi="Arial" w:cs="Arial"/>
                <w:b/>
                <w:bCs/>
                <w:color w:val="FFFFFF" w:themeColor="background1"/>
              </w:rPr>
            </w:pPr>
            <w:r w:rsidRPr="00F35EE0">
              <w:rPr>
                <w:rFonts w:ascii="Arial" w:hAnsi="Arial" w:cs="Arial"/>
                <w:b/>
                <w:bCs/>
                <w:color w:val="FFFFFF" w:themeColor="background1"/>
              </w:rPr>
              <w:t>Proposed Amount</w:t>
            </w:r>
          </w:p>
        </w:tc>
      </w:tr>
      <w:tr w:rsidR="00F35EE0" w:rsidTr="00F35EE0">
        <w:tc>
          <w:tcPr>
            <w:tcW w:w="4770" w:type="dxa"/>
            <w:vAlign w:val="center"/>
          </w:tcPr>
          <w:p w:rsidR="00F35EE0" w:rsidRDefault="00F35EE0" w:rsidP="00F35EE0">
            <w:pPr>
              <w:spacing w:before="40" w:after="40"/>
              <w:rPr>
                <w:rFonts w:ascii="Arial" w:hAnsi="Arial" w:cs="Arial"/>
                <w:bCs/>
              </w:rPr>
            </w:pPr>
            <w:r>
              <w:rPr>
                <w:rFonts w:ascii="Arial" w:hAnsi="Arial" w:cs="Arial"/>
                <w:bCs/>
              </w:rPr>
              <w:t>Outside legal counsel</w:t>
            </w:r>
          </w:p>
        </w:tc>
        <w:tc>
          <w:tcPr>
            <w:tcW w:w="2430" w:type="dxa"/>
            <w:vAlign w:val="center"/>
          </w:tcPr>
          <w:p w:rsidR="00F35EE0" w:rsidRDefault="00F35EE0" w:rsidP="00F35EE0">
            <w:pPr>
              <w:spacing w:before="40" w:after="40"/>
              <w:jc w:val="center"/>
              <w:rPr>
                <w:rFonts w:ascii="Arial" w:hAnsi="Arial" w:cs="Arial"/>
                <w:bCs/>
              </w:rPr>
            </w:pPr>
            <w:r>
              <w:rPr>
                <w:rFonts w:ascii="Arial" w:hAnsi="Arial" w:cs="Arial"/>
                <w:bCs/>
              </w:rPr>
              <w:t>$700,000</w:t>
            </w:r>
          </w:p>
        </w:tc>
      </w:tr>
      <w:tr w:rsidR="00F35EE0" w:rsidTr="00F35EE0">
        <w:tc>
          <w:tcPr>
            <w:tcW w:w="4770" w:type="dxa"/>
            <w:vAlign w:val="center"/>
          </w:tcPr>
          <w:p w:rsidR="00F35EE0" w:rsidRDefault="00F35EE0" w:rsidP="00F35EE0">
            <w:pPr>
              <w:spacing w:before="40" w:after="40"/>
              <w:rPr>
                <w:rFonts w:ascii="Arial" w:hAnsi="Arial" w:cs="Arial"/>
                <w:bCs/>
              </w:rPr>
            </w:pPr>
            <w:r>
              <w:rPr>
                <w:rFonts w:ascii="Arial" w:hAnsi="Arial" w:cs="Arial"/>
                <w:bCs/>
              </w:rPr>
              <w:t>Rail removal design</w:t>
            </w:r>
          </w:p>
        </w:tc>
        <w:tc>
          <w:tcPr>
            <w:tcW w:w="2430" w:type="dxa"/>
            <w:vAlign w:val="center"/>
          </w:tcPr>
          <w:p w:rsidR="00F35EE0" w:rsidRDefault="00F35EE0" w:rsidP="00F35EE0">
            <w:pPr>
              <w:spacing w:before="40" w:after="40"/>
              <w:jc w:val="center"/>
              <w:rPr>
                <w:rFonts w:ascii="Arial" w:hAnsi="Arial" w:cs="Arial"/>
                <w:bCs/>
              </w:rPr>
            </w:pPr>
            <w:r>
              <w:rPr>
                <w:rFonts w:ascii="Arial" w:hAnsi="Arial" w:cs="Arial"/>
                <w:bCs/>
              </w:rPr>
              <w:t>$250,000</w:t>
            </w:r>
          </w:p>
        </w:tc>
      </w:tr>
      <w:tr w:rsidR="00F35EE0" w:rsidTr="00F35EE0">
        <w:tc>
          <w:tcPr>
            <w:tcW w:w="4770" w:type="dxa"/>
            <w:vAlign w:val="center"/>
          </w:tcPr>
          <w:p w:rsidR="00F35EE0" w:rsidRDefault="00F35EE0" w:rsidP="00F35EE0">
            <w:pPr>
              <w:spacing w:before="40" w:after="40"/>
              <w:rPr>
                <w:rFonts w:ascii="Arial" w:hAnsi="Arial" w:cs="Arial"/>
                <w:bCs/>
              </w:rPr>
            </w:pPr>
            <w:r>
              <w:rPr>
                <w:rFonts w:ascii="Arial" w:hAnsi="Arial" w:cs="Arial"/>
                <w:bCs/>
              </w:rPr>
              <w:t>Rail removal contract</w:t>
            </w:r>
          </w:p>
        </w:tc>
        <w:tc>
          <w:tcPr>
            <w:tcW w:w="2430" w:type="dxa"/>
            <w:vAlign w:val="center"/>
          </w:tcPr>
          <w:p w:rsidR="00F35EE0" w:rsidRDefault="00F35EE0" w:rsidP="00F35EE0">
            <w:pPr>
              <w:spacing w:before="40" w:after="40"/>
              <w:jc w:val="center"/>
              <w:rPr>
                <w:rFonts w:ascii="Arial" w:hAnsi="Arial" w:cs="Arial"/>
                <w:bCs/>
              </w:rPr>
            </w:pPr>
            <w:r>
              <w:rPr>
                <w:rFonts w:ascii="Arial" w:hAnsi="Arial" w:cs="Arial"/>
                <w:bCs/>
              </w:rPr>
              <w:t>$1,300,000</w:t>
            </w:r>
          </w:p>
        </w:tc>
      </w:tr>
      <w:tr w:rsidR="00F35EE0" w:rsidTr="00F35EE0">
        <w:tc>
          <w:tcPr>
            <w:tcW w:w="4770" w:type="dxa"/>
            <w:vAlign w:val="center"/>
          </w:tcPr>
          <w:p w:rsidR="00F35EE0" w:rsidRDefault="00F35EE0" w:rsidP="00E21357">
            <w:pPr>
              <w:spacing w:before="40" w:after="40"/>
              <w:rPr>
                <w:rFonts w:ascii="Arial" w:hAnsi="Arial" w:cs="Arial"/>
                <w:bCs/>
              </w:rPr>
            </w:pPr>
            <w:r>
              <w:rPr>
                <w:rFonts w:ascii="Arial" w:hAnsi="Arial" w:cs="Arial"/>
                <w:bCs/>
              </w:rPr>
              <w:t xml:space="preserve">Additional </w:t>
            </w:r>
            <w:r w:rsidR="00E21357">
              <w:rPr>
                <w:rFonts w:ascii="Arial" w:hAnsi="Arial" w:cs="Arial"/>
                <w:bCs/>
              </w:rPr>
              <w:t xml:space="preserve">funds for failing </w:t>
            </w:r>
            <w:r>
              <w:rPr>
                <w:rFonts w:ascii="Arial" w:hAnsi="Arial" w:cs="Arial"/>
                <w:bCs/>
              </w:rPr>
              <w:t>culvert</w:t>
            </w:r>
            <w:r w:rsidR="00E21357">
              <w:rPr>
                <w:rFonts w:ascii="Arial" w:hAnsi="Arial" w:cs="Arial"/>
                <w:bCs/>
              </w:rPr>
              <w:t>s</w:t>
            </w:r>
          </w:p>
        </w:tc>
        <w:tc>
          <w:tcPr>
            <w:tcW w:w="2430" w:type="dxa"/>
            <w:vAlign w:val="center"/>
          </w:tcPr>
          <w:p w:rsidR="00F35EE0" w:rsidRDefault="00F35EE0" w:rsidP="00F35EE0">
            <w:pPr>
              <w:spacing w:before="40" w:after="40"/>
              <w:jc w:val="center"/>
              <w:rPr>
                <w:rFonts w:ascii="Arial" w:hAnsi="Arial" w:cs="Arial"/>
                <w:bCs/>
              </w:rPr>
            </w:pPr>
            <w:r>
              <w:rPr>
                <w:rFonts w:ascii="Arial" w:hAnsi="Arial" w:cs="Arial"/>
                <w:bCs/>
              </w:rPr>
              <w:t>$107,039</w:t>
            </w:r>
          </w:p>
        </w:tc>
      </w:tr>
      <w:tr w:rsidR="00654E53" w:rsidTr="00F35EE0">
        <w:tc>
          <w:tcPr>
            <w:tcW w:w="4770" w:type="dxa"/>
            <w:vAlign w:val="center"/>
          </w:tcPr>
          <w:p w:rsidR="00654E53" w:rsidRDefault="00654E53" w:rsidP="00F35EE0">
            <w:pPr>
              <w:spacing w:before="40" w:after="40"/>
              <w:rPr>
                <w:rFonts w:ascii="Arial" w:hAnsi="Arial" w:cs="Arial"/>
                <w:bCs/>
              </w:rPr>
            </w:pPr>
            <w:r>
              <w:rPr>
                <w:rFonts w:ascii="Arial" w:hAnsi="Arial" w:cs="Arial"/>
                <w:bCs/>
              </w:rPr>
              <w:t>Interim trail design/construction</w:t>
            </w:r>
          </w:p>
        </w:tc>
        <w:tc>
          <w:tcPr>
            <w:tcW w:w="2430" w:type="dxa"/>
            <w:vAlign w:val="center"/>
          </w:tcPr>
          <w:p w:rsidR="00654E53" w:rsidRDefault="00654E53" w:rsidP="00F35EE0">
            <w:pPr>
              <w:spacing w:before="40" w:after="40"/>
              <w:jc w:val="center"/>
              <w:rPr>
                <w:rFonts w:ascii="Arial" w:hAnsi="Arial" w:cs="Arial"/>
                <w:bCs/>
              </w:rPr>
            </w:pPr>
            <w:r>
              <w:rPr>
                <w:rFonts w:ascii="Arial" w:hAnsi="Arial" w:cs="Arial"/>
                <w:bCs/>
              </w:rPr>
              <w:t>$800,000</w:t>
            </w:r>
          </w:p>
        </w:tc>
      </w:tr>
      <w:tr w:rsidR="00654E53" w:rsidTr="00F35EE0">
        <w:tc>
          <w:tcPr>
            <w:tcW w:w="4770" w:type="dxa"/>
            <w:vAlign w:val="center"/>
          </w:tcPr>
          <w:p w:rsidR="00654E53" w:rsidRDefault="00654E53" w:rsidP="00F35EE0">
            <w:pPr>
              <w:spacing w:before="40" w:after="40"/>
              <w:rPr>
                <w:rFonts w:ascii="Arial" w:hAnsi="Arial" w:cs="Arial"/>
                <w:bCs/>
              </w:rPr>
            </w:pPr>
            <w:r>
              <w:rPr>
                <w:rFonts w:ascii="Arial" w:hAnsi="Arial" w:cs="Arial"/>
                <w:bCs/>
              </w:rPr>
              <w:t>Hazardous tree removal</w:t>
            </w:r>
          </w:p>
        </w:tc>
        <w:tc>
          <w:tcPr>
            <w:tcW w:w="2430" w:type="dxa"/>
            <w:vAlign w:val="center"/>
          </w:tcPr>
          <w:p w:rsidR="00654E53" w:rsidRDefault="00654E53" w:rsidP="00F35EE0">
            <w:pPr>
              <w:spacing w:before="40" w:after="40"/>
              <w:jc w:val="center"/>
              <w:rPr>
                <w:rFonts w:ascii="Arial" w:hAnsi="Arial" w:cs="Arial"/>
                <w:bCs/>
              </w:rPr>
            </w:pPr>
            <w:r>
              <w:rPr>
                <w:rFonts w:ascii="Arial" w:hAnsi="Arial" w:cs="Arial"/>
                <w:bCs/>
              </w:rPr>
              <w:t>$200,000</w:t>
            </w:r>
          </w:p>
        </w:tc>
      </w:tr>
      <w:tr w:rsidR="00F35EE0" w:rsidTr="00F35EE0">
        <w:tc>
          <w:tcPr>
            <w:tcW w:w="4770" w:type="dxa"/>
            <w:vAlign w:val="center"/>
          </w:tcPr>
          <w:p w:rsidR="00F35EE0" w:rsidRDefault="00F35EE0" w:rsidP="00F35EE0">
            <w:pPr>
              <w:spacing w:before="40" w:after="40"/>
              <w:rPr>
                <w:rFonts w:ascii="Arial" w:hAnsi="Arial" w:cs="Arial"/>
                <w:bCs/>
              </w:rPr>
            </w:pPr>
            <w:r>
              <w:rPr>
                <w:rFonts w:ascii="Arial" w:hAnsi="Arial" w:cs="Arial"/>
                <w:bCs/>
              </w:rPr>
              <w:t>One percent for Art</w:t>
            </w:r>
          </w:p>
        </w:tc>
        <w:tc>
          <w:tcPr>
            <w:tcW w:w="2430" w:type="dxa"/>
            <w:vAlign w:val="center"/>
          </w:tcPr>
          <w:p w:rsidR="00F35EE0" w:rsidRDefault="00F35EE0" w:rsidP="00654E53">
            <w:pPr>
              <w:spacing w:before="40" w:after="40"/>
              <w:jc w:val="center"/>
              <w:rPr>
                <w:rFonts w:ascii="Arial" w:hAnsi="Arial" w:cs="Arial"/>
                <w:bCs/>
              </w:rPr>
            </w:pPr>
            <w:r>
              <w:rPr>
                <w:rFonts w:ascii="Arial" w:hAnsi="Arial" w:cs="Arial"/>
                <w:bCs/>
              </w:rPr>
              <w:t>$</w:t>
            </w:r>
            <w:r w:rsidR="00654E53">
              <w:rPr>
                <w:rFonts w:ascii="Arial" w:hAnsi="Arial" w:cs="Arial"/>
                <w:bCs/>
              </w:rPr>
              <w:t>3</w:t>
            </w:r>
            <w:r>
              <w:rPr>
                <w:rFonts w:ascii="Arial" w:hAnsi="Arial" w:cs="Arial"/>
                <w:bCs/>
              </w:rPr>
              <w:t>3,570</w:t>
            </w:r>
          </w:p>
        </w:tc>
      </w:tr>
      <w:tr w:rsidR="00F35EE0" w:rsidTr="00F35EE0">
        <w:tc>
          <w:tcPr>
            <w:tcW w:w="4770" w:type="dxa"/>
            <w:shd w:val="clear" w:color="auto" w:fill="000000" w:themeFill="text1"/>
            <w:vAlign w:val="center"/>
          </w:tcPr>
          <w:p w:rsidR="00F35EE0" w:rsidRPr="00654E53" w:rsidRDefault="00F35EE0" w:rsidP="00F35EE0">
            <w:pPr>
              <w:spacing w:before="40" w:after="40"/>
              <w:rPr>
                <w:rFonts w:ascii="Arial" w:hAnsi="Arial" w:cs="Arial"/>
                <w:b/>
                <w:bCs/>
                <w:color w:val="FFFFFF" w:themeColor="background1"/>
              </w:rPr>
            </w:pPr>
            <w:r w:rsidRPr="00654E53">
              <w:rPr>
                <w:rFonts w:ascii="Arial" w:hAnsi="Arial" w:cs="Arial"/>
                <w:b/>
                <w:bCs/>
                <w:color w:val="FFFFFF" w:themeColor="background1"/>
              </w:rPr>
              <w:t>TOTAL</w:t>
            </w:r>
          </w:p>
        </w:tc>
        <w:tc>
          <w:tcPr>
            <w:tcW w:w="2430" w:type="dxa"/>
            <w:shd w:val="clear" w:color="auto" w:fill="000000" w:themeFill="text1"/>
            <w:vAlign w:val="center"/>
          </w:tcPr>
          <w:p w:rsidR="00F35EE0" w:rsidRPr="00654E53" w:rsidRDefault="00F35EE0" w:rsidP="00654E53">
            <w:pPr>
              <w:spacing w:before="40" w:after="40"/>
              <w:jc w:val="center"/>
              <w:rPr>
                <w:rFonts w:ascii="Arial" w:hAnsi="Arial" w:cs="Arial"/>
                <w:b/>
                <w:bCs/>
                <w:color w:val="FFFFFF" w:themeColor="background1"/>
              </w:rPr>
            </w:pPr>
            <w:r w:rsidRPr="00654E53">
              <w:rPr>
                <w:rFonts w:ascii="Arial" w:hAnsi="Arial" w:cs="Arial"/>
                <w:b/>
                <w:bCs/>
                <w:color w:val="FFFFFF" w:themeColor="background1"/>
              </w:rPr>
              <w:t>$</w:t>
            </w:r>
            <w:r w:rsidR="00654E53">
              <w:rPr>
                <w:rFonts w:ascii="Arial" w:hAnsi="Arial" w:cs="Arial"/>
                <w:b/>
                <w:bCs/>
                <w:color w:val="FFFFFF" w:themeColor="background1"/>
              </w:rPr>
              <w:t>3</w:t>
            </w:r>
            <w:r w:rsidRPr="00654E53">
              <w:rPr>
                <w:rFonts w:ascii="Arial" w:hAnsi="Arial" w:cs="Arial"/>
                <w:b/>
                <w:bCs/>
                <w:color w:val="FFFFFF" w:themeColor="background1"/>
              </w:rPr>
              <w:t>,3</w:t>
            </w:r>
            <w:r w:rsidR="00654E53">
              <w:rPr>
                <w:rFonts w:ascii="Arial" w:hAnsi="Arial" w:cs="Arial"/>
                <w:b/>
                <w:bCs/>
                <w:color w:val="FFFFFF" w:themeColor="background1"/>
              </w:rPr>
              <w:t>9</w:t>
            </w:r>
            <w:r w:rsidRPr="00654E53">
              <w:rPr>
                <w:rFonts w:ascii="Arial" w:hAnsi="Arial" w:cs="Arial"/>
                <w:b/>
                <w:bCs/>
                <w:color w:val="FFFFFF" w:themeColor="background1"/>
              </w:rPr>
              <w:t>0,609</w:t>
            </w:r>
          </w:p>
        </w:tc>
      </w:tr>
    </w:tbl>
    <w:p w:rsidR="00766689" w:rsidRDefault="00766689" w:rsidP="00304569">
      <w:pPr>
        <w:jc w:val="both"/>
        <w:rPr>
          <w:rFonts w:ascii="Arial" w:hAnsi="Arial" w:cs="Arial"/>
          <w:bCs/>
        </w:rPr>
      </w:pPr>
    </w:p>
    <w:p w:rsidR="00577162" w:rsidRDefault="008F770C" w:rsidP="00304569">
      <w:pPr>
        <w:jc w:val="both"/>
        <w:rPr>
          <w:rFonts w:ascii="Arial" w:hAnsi="Arial" w:cs="Arial"/>
          <w:bCs/>
        </w:rPr>
      </w:pPr>
      <w:r w:rsidRPr="008F770C">
        <w:rPr>
          <w:rFonts w:ascii="Arial" w:hAnsi="Arial" w:cs="Arial"/>
          <w:b/>
          <w:bCs/>
        </w:rPr>
        <w:t xml:space="preserve">Outside legal counsel. </w:t>
      </w:r>
      <w:r>
        <w:rPr>
          <w:rFonts w:ascii="Arial" w:hAnsi="Arial" w:cs="Arial"/>
          <w:bCs/>
        </w:rPr>
        <w:t>The ERC has been the subject of a number of legal challenges. The proposed appropriation would fund outside legal counsel to protect the County’s interests.</w:t>
      </w:r>
    </w:p>
    <w:p w:rsidR="008F770C" w:rsidRDefault="008F770C" w:rsidP="00304569">
      <w:pPr>
        <w:jc w:val="both"/>
        <w:rPr>
          <w:rFonts w:ascii="Arial" w:hAnsi="Arial" w:cs="Arial"/>
          <w:bCs/>
        </w:rPr>
      </w:pPr>
    </w:p>
    <w:p w:rsidR="008F770C" w:rsidRDefault="008F770C" w:rsidP="00304569">
      <w:pPr>
        <w:jc w:val="both"/>
        <w:rPr>
          <w:rFonts w:ascii="Arial" w:hAnsi="Arial" w:cs="Arial"/>
          <w:bCs/>
        </w:rPr>
      </w:pPr>
      <w:proofErr w:type="gramStart"/>
      <w:r w:rsidRPr="008F770C">
        <w:rPr>
          <w:rFonts w:ascii="Arial" w:hAnsi="Arial" w:cs="Arial"/>
          <w:b/>
          <w:bCs/>
        </w:rPr>
        <w:t>Rail removal design and contract.</w:t>
      </w:r>
      <w:proofErr w:type="gramEnd"/>
      <w:r>
        <w:rPr>
          <w:rFonts w:ascii="Arial" w:hAnsi="Arial" w:cs="Arial"/>
          <w:bCs/>
        </w:rPr>
        <w:t xml:space="preserve"> A total of $1.55 million would be used to develop a plan to remove the rails and to hire a contractor to remove them. According to the rail removal plan transmitted with Proposed Motion 2015-0439, the rails would be removed in phases</w:t>
      </w:r>
      <w:r w:rsidR="006D3482">
        <w:rPr>
          <w:rFonts w:ascii="Arial" w:hAnsi="Arial" w:cs="Arial"/>
          <w:bCs/>
        </w:rPr>
        <w:t>, with rails south of the Kirkland/King County ERC property boundary to be removed in Phase 1, and rails north of the ownership areas of Kirkland and Redmond and south of the license area for head and tail freight operations would be removed as part of Phase 2</w:t>
      </w:r>
      <w:r>
        <w:rPr>
          <w:rFonts w:ascii="Arial" w:hAnsi="Arial" w:cs="Arial"/>
          <w:bCs/>
        </w:rPr>
        <w:t xml:space="preserve">. </w:t>
      </w:r>
    </w:p>
    <w:p w:rsidR="008F770C" w:rsidRDefault="008F770C" w:rsidP="00304569">
      <w:pPr>
        <w:jc w:val="both"/>
        <w:rPr>
          <w:rFonts w:ascii="Arial" w:hAnsi="Arial" w:cs="Arial"/>
          <w:bCs/>
        </w:rPr>
      </w:pPr>
    </w:p>
    <w:p w:rsidR="00304569" w:rsidRDefault="00AC5189" w:rsidP="00304569">
      <w:pPr>
        <w:jc w:val="both"/>
        <w:rPr>
          <w:rFonts w:ascii="Arial" w:hAnsi="Arial" w:cs="Arial"/>
        </w:rPr>
      </w:pPr>
      <w:proofErr w:type="gramStart"/>
      <w:r w:rsidRPr="00AC5189">
        <w:rPr>
          <w:rFonts w:ascii="Arial" w:hAnsi="Arial" w:cs="Arial"/>
          <w:b/>
        </w:rPr>
        <w:t>Culvert replacement.</w:t>
      </w:r>
      <w:proofErr w:type="gramEnd"/>
      <w:r>
        <w:rPr>
          <w:rFonts w:ascii="Arial" w:hAnsi="Arial" w:cs="Arial"/>
        </w:rPr>
        <w:t xml:space="preserve"> Parks </w:t>
      </w:r>
      <w:proofErr w:type="gramStart"/>
      <w:r>
        <w:rPr>
          <w:rFonts w:ascii="Arial" w:hAnsi="Arial" w:cs="Arial"/>
        </w:rPr>
        <w:t>staff have</w:t>
      </w:r>
      <w:proofErr w:type="gramEnd"/>
      <w:r>
        <w:rPr>
          <w:rFonts w:ascii="Arial" w:hAnsi="Arial" w:cs="Arial"/>
        </w:rPr>
        <w:t xml:space="preserve"> noted that existing culverts underneath the ERC in a number of areas are failing due to lack of maintenance prior to the County’s ownership. These failing culverts are located up-slope from adjacent properties and require replacement to avoid failure.</w:t>
      </w:r>
    </w:p>
    <w:p w:rsidR="00304569" w:rsidRDefault="00304569" w:rsidP="005B478C">
      <w:pPr>
        <w:jc w:val="both"/>
        <w:rPr>
          <w:rFonts w:ascii="Arial" w:hAnsi="Arial" w:cs="Arial"/>
          <w:b/>
          <w:smallCaps/>
          <w:szCs w:val="24"/>
          <w:u w:val="single"/>
        </w:rPr>
      </w:pPr>
    </w:p>
    <w:p w:rsidR="00313799" w:rsidRDefault="00313799" w:rsidP="00313799">
      <w:pPr>
        <w:jc w:val="both"/>
        <w:rPr>
          <w:rFonts w:ascii="Arial" w:hAnsi="Arial" w:cs="Arial"/>
        </w:rPr>
      </w:pPr>
      <w:proofErr w:type="gramStart"/>
      <w:r>
        <w:rPr>
          <w:rFonts w:ascii="Arial" w:hAnsi="Arial" w:cs="Arial"/>
          <w:b/>
        </w:rPr>
        <w:lastRenderedPageBreak/>
        <w:t>Interim trail design and construction</w:t>
      </w:r>
      <w:r w:rsidRPr="00AC5189">
        <w:rPr>
          <w:rFonts w:ascii="Arial" w:hAnsi="Arial" w:cs="Arial"/>
          <w:b/>
        </w:rPr>
        <w:t>.</w:t>
      </w:r>
      <w:proofErr w:type="gramEnd"/>
      <w:r>
        <w:rPr>
          <w:rFonts w:ascii="Arial" w:hAnsi="Arial" w:cs="Arial"/>
        </w:rPr>
        <w:t xml:space="preserve"> In response to development along and beneath Northup Way near SR 520, and in collaboration with the City of Bellevue and the Washington State Department of Transportation, Parks intends to develop an </w:t>
      </w:r>
      <w:r w:rsidRPr="00313799">
        <w:rPr>
          <w:rFonts w:ascii="Arial" w:hAnsi="Arial" w:cs="Arial"/>
        </w:rPr>
        <w:t xml:space="preserve">interim trail </w:t>
      </w:r>
      <w:r>
        <w:rPr>
          <w:rFonts w:ascii="Arial" w:hAnsi="Arial" w:cs="Arial"/>
        </w:rPr>
        <w:t xml:space="preserve">along the ERC </w:t>
      </w:r>
      <w:r w:rsidRPr="00313799">
        <w:rPr>
          <w:rFonts w:ascii="Arial" w:hAnsi="Arial" w:cs="Arial"/>
        </w:rPr>
        <w:t xml:space="preserve">between 108th </w:t>
      </w:r>
      <w:r w:rsidR="00E707AC">
        <w:rPr>
          <w:rFonts w:ascii="Arial" w:hAnsi="Arial" w:cs="Arial"/>
        </w:rPr>
        <w:t xml:space="preserve">Avenue NE </w:t>
      </w:r>
      <w:r w:rsidRPr="00313799">
        <w:rPr>
          <w:rFonts w:ascii="Arial" w:hAnsi="Arial" w:cs="Arial"/>
        </w:rPr>
        <w:t>and Northup Way/SR-520</w:t>
      </w:r>
      <w:r>
        <w:rPr>
          <w:rFonts w:ascii="Arial" w:hAnsi="Arial" w:cs="Arial"/>
        </w:rPr>
        <w:t xml:space="preserve"> to help facilitate connections in this area. The interim trail is proposed to </w:t>
      </w:r>
      <w:r w:rsidRPr="00313799">
        <w:rPr>
          <w:rFonts w:ascii="Arial" w:hAnsi="Arial" w:cs="Arial"/>
        </w:rPr>
        <w:t xml:space="preserve">consist of crushed rock overlaid on top of the existing railroad ballast materials, with a total width between </w:t>
      </w:r>
      <w:r>
        <w:rPr>
          <w:rFonts w:ascii="Arial" w:hAnsi="Arial" w:cs="Arial"/>
        </w:rPr>
        <w:t>eight and ten</w:t>
      </w:r>
      <w:r w:rsidRPr="00313799">
        <w:rPr>
          <w:rFonts w:ascii="Arial" w:hAnsi="Arial" w:cs="Arial"/>
        </w:rPr>
        <w:t xml:space="preserve"> feet. The existing rail bed </w:t>
      </w:r>
      <w:r>
        <w:rPr>
          <w:rFonts w:ascii="Arial" w:hAnsi="Arial" w:cs="Arial"/>
        </w:rPr>
        <w:t xml:space="preserve">is not proposed to </w:t>
      </w:r>
      <w:r w:rsidRPr="00313799">
        <w:rPr>
          <w:rFonts w:ascii="Arial" w:hAnsi="Arial" w:cs="Arial"/>
        </w:rPr>
        <w:t>be widened</w:t>
      </w:r>
      <w:r>
        <w:rPr>
          <w:rFonts w:ascii="Arial" w:hAnsi="Arial" w:cs="Arial"/>
        </w:rPr>
        <w:t>.</w:t>
      </w:r>
    </w:p>
    <w:p w:rsidR="00313799" w:rsidRDefault="00313799" w:rsidP="005B478C">
      <w:pPr>
        <w:jc w:val="both"/>
        <w:rPr>
          <w:rFonts w:ascii="Arial" w:hAnsi="Arial" w:cs="Arial"/>
          <w:b/>
          <w:smallCaps/>
          <w:szCs w:val="24"/>
          <w:u w:val="single"/>
        </w:rPr>
      </w:pPr>
    </w:p>
    <w:p w:rsidR="00E420CA" w:rsidRDefault="00B50730" w:rsidP="00313799">
      <w:pPr>
        <w:jc w:val="both"/>
        <w:rPr>
          <w:rFonts w:ascii="Arial" w:hAnsi="Arial" w:cs="Arial"/>
        </w:rPr>
      </w:pPr>
      <w:proofErr w:type="gramStart"/>
      <w:r>
        <w:rPr>
          <w:rFonts w:ascii="Arial" w:hAnsi="Arial" w:cs="Arial"/>
          <w:b/>
        </w:rPr>
        <w:t>Hazardous tree removal.</w:t>
      </w:r>
      <w:proofErr w:type="gramEnd"/>
      <w:r>
        <w:rPr>
          <w:rFonts w:ascii="Arial" w:hAnsi="Arial" w:cs="Arial"/>
          <w:b/>
        </w:rPr>
        <w:t xml:space="preserve"> </w:t>
      </w:r>
      <w:r>
        <w:rPr>
          <w:rFonts w:ascii="Arial" w:hAnsi="Arial" w:cs="Arial"/>
        </w:rPr>
        <w:t>In their inspections of the corridor, P</w:t>
      </w:r>
      <w:r w:rsidR="00313799">
        <w:rPr>
          <w:rFonts w:ascii="Arial" w:hAnsi="Arial" w:cs="Arial"/>
        </w:rPr>
        <w:t xml:space="preserve">arks </w:t>
      </w:r>
      <w:proofErr w:type="gramStart"/>
      <w:r w:rsidR="00313799">
        <w:rPr>
          <w:rFonts w:ascii="Arial" w:hAnsi="Arial" w:cs="Arial"/>
        </w:rPr>
        <w:t>staff have</w:t>
      </w:r>
      <w:proofErr w:type="gramEnd"/>
      <w:r w:rsidR="00313799">
        <w:rPr>
          <w:rFonts w:ascii="Arial" w:hAnsi="Arial" w:cs="Arial"/>
        </w:rPr>
        <w:t xml:space="preserve"> </w:t>
      </w:r>
      <w:r>
        <w:rPr>
          <w:rFonts w:ascii="Arial" w:hAnsi="Arial" w:cs="Arial"/>
        </w:rPr>
        <w:t xml:space="preserve">identified a number of hazardous trees that present </w:t>
      </w:r>
      <w:r w:rsidR="00E420CA">
        <w:rPr>
          <w:rFonts w:ascii="Arial" w:hAnsi="Arial" w:cs="Arial"/>
        </w:rPr>
        <w:t xml:space="preserve">the </w:t>
      </w:r>
      <w:r>
        <w:rPr>
          <w:rFonts w:ascii="Arial" w:hAnsi="Arial" w:cs="Arial"/>
        </w:rPr>
        <w:t xml:space="preserve">potential </w:t>
      </w:r>
      <w:r w:rsidR="00E420CA">
        <w:rPr>
          <w:rFonts w:ascii="Arial" w:hAnsi="Arial" w:cs="Arial"/>
        </w:rPr>
        <w:t>for damage if they are not removed. The proposed appropriation would provide funding to remove these hazardous trees.</w:t>
      </w:r>
    </w:p>
    <w:p w:rsidR="00E420CA" w:rsidRDefault="00E420CA" w:rsidP="00313799">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BA5B5F" w:rsidRDefault="00BA5B5F" w:rsidP="005B478C">
      <w:pPr>
        <w:jc w:val="both"/>
        <w:rPr>
          <w:rFonts w:ascii="Arial" w:hAnsi="Arial" w:cs="Arial"/>
        </w:rPr>
      </w:pPr>
      <w:r>
        <w:rPr>
          <w:rFonts w:ascii="Arial" w:hAnsi="Arial" w:cs="Arial"/>
        </w:rPr>
        <w:t>Based on Council approval of Proposed Motion 2015-0439, the proposed appropriation would be consistent with the required rail removal plan. The proposal is also consistent with maintenance and operations planning for the ERC. As noted above, funding would come from the Parks levy, and the proposed expenditures are consistent with the allowed uses within that levy.</w:t>
      </w:r>
    </w:p>
    <w:p w:rsidR="00BA5B5F" w:rsidRDefault="00BA5B5F" w:rsidP="005B478C">
      <w:pPr>
        <w:jc w:val="both"/>
        <w:rPr>
          <w:rFonts w:ascii="Arial" w:hAnsi="Arial" w:cs="Arial"/>
        </w:rPr>
      </w:pPr>
    </w:p>
    <w:p w:rsidR="0077369C" w:rsidRDefault="0077369C" w:rsidP="005B478C">
      <w:pPr>
        <w:jc w:val="both"/>
        <w:rPr>
          <w:rFonts w:ascii="Arial" w:hAnsi="Arial" w:cs="Arial"/>
        </w:rPr>
      </w:pPr>
      <w:r>
        <w:rPr>
          <w:rFonts w:ascii="Arial" w:hAnsi="Arial" w:cs="Arial"/>
        </w:rPr>
        <w:t xml:space="preserve">Staff has identified one issue, which was also discussed at the Committee of the Whole: the potential for salvage value from removed rail materials. </w:t>
      </w:r>
      <w:r w:rsidR="00304569">
        <w:rPr>
          <w:rFonts w:ascii="Arial" w:hAnsi="Arial" w:cs="Arial"/>
        </w:rPr>
        <w:t xml:space="preserve">Both Redmond and Kirkland have </w:t>
      </w:r>
      <w:r w:rsidR="00AC5189">
        <w:rPr>
          <w:rFonts w:ascii="Arial" w:hAnsi="Arial" w:cs="Arial"/>
        </w:rPr>
        <w:t>removed the rail track on their portions of the ERC. Both were able to realize salvage value from the removed rail track. The proposed ordinance would appropriate the full amount needed for a rail removal contract, without accounting for any salvage value.</w:t>
      </w:r>
      <w:r>
        <w:rPr>
          <w:rFonts w:ascii="Arial" w:hAnsi="Arial" w:cs="Arial"/>
        </w:rPr>
        <w:t xml:space="preserve"> </w:t>
      </w:r>
    </w:p>
    <w:p w:rsidR="0077369C" w:rsidRDefault="0077369C" w:rsidP="005B478C">
      <w:pPr>
        <w:jc w:val="both"/>
        <w:rPr>
          <w:rFonts w:ascii="Arial" w:hAnsi="Arial" w:cs="Arial"/>
        </w:rPr>
      </w:pPr>
    </w:p>
    <w:p w:rsidR="00BA5B5F" w:rsidRPr="00BA5B5F" w:rsidRDefault="00BA5B5F" w:rsidP="005B478C">
      <w:pPr>
        <w:jc w:val="both"/>
        <w:rPr>
          <w:rFonts w:ascii="Arial" w:hAnsi="Arial" w:cs="Arial"/>
          <w:b/>
          <w:u w:val="single"/>
        </w:rPr>
      </w:pPr>
      <w:r w:rsidRPr="00BA5B5F">
        <w:rPr>
          <w:rFonts w:ascii="Arial" w:hAnsi="Arial" w:cs="Arial"/>
          <w:b/>
          <w:u w:val="single"/>
        </w:rPr>
        <w:t>AMENDMENT</w:t>
      </w:r>
    </w:p>
    <w:p w:rsidR="00BA5B5F" w:rsidRDefault="00BA5B5F" w:rsidP="005B478C">
      <w:pPr>
        <w:jc w:val="both"/>
        <w:rPr>
          <w:rFonts w:ascii="Arial" w:hAnsi="Arial" w:cs="Arial"/>
        </w:rPr>
      </w:pPr>
    </w:p>
    <w:p w:rsidR="0077369C" w:rsidRDefault="001C76FF" w:rsidP="0077369C">
      <w:pPr>
        <w:jc w:val="both"/>
        <w:rPr>
          <w:rFonts w:ascii="Arial" w:hAnsi="Arial" w:cs="Arial"/>
        </w:rPr>
      </w:pPr>
      <w:r>
        <w:rPr>
          <w:rFonts w:ascii="Arial" w:hAnsi="Arial" w:cs="Arial"/>
        </w:rPr>
        <w:t>Staff is working to draft an a</w:t>
      </w:r>
      <w:r w:rsidR="0077369C">
        <w:rPr>
          <w:rFonts w:ascii="Arial" w:hAnsi="Arial" w:cs="Arial"/>
        </w:rPr>
        <w:t xml:space="preserve">mendment </w:t>
      </w:r>
      <w:r>
        <w:rPr>
          <w:rFonts w:ascii="Arial" w:hAnsi="Arial" w:cs="Arial"/>
        </w:rPr>
        <w:t>to</w:t>
      </w:r>
      <w:r w:rsidR="0077369C">
        <w:rPr>
          <w:rFonts w:ascii="Arial" w:hAnsi="Arial" w:cs="Arial"/>
        </w:rPr>
        <w:t xml:space="preserve"> address the issue of potential salvage value, by requiring that any funds recouped by King County due to </w:t>
      </w:r>
      <w:r w:rsidR="00536C1F" w:rsidRPr="00536C1F">
        <w:rPr>
          <w:rFonts w:ascii="Arial" w:hAnsi="Arial" w:cs="Arial"/>
        </w:rPr>
        <w:t>salvage value of removed rail materials, including rails, ties, ballast, drainage structures, and other structures and equipment that had support rail use of the corridor prior to termination of active rail use, shall be refunded to capital project 1121155 to be used for future planning and development of the eastside rail corridor consistent with adopted policy guidance and the allowed uses of the fund</w:t>
      </w:r>
      <w:r w:rsidR="00536C1F">
        <w:rPr>
          <w:rFonts w:ascii="Arial" w:hAnsi="Arial" w:cs="Arial"/>
        </w:rPr>
        <w:t>.</w:t>
      </w:r>
    </w:p>
    <w:p w:rsidR="0077369C" w:rsidRDefault="0077369C" w:rsidP="0077369C">
      <w:pPr>
        <w:jc w:val="both"/>
        <w:rPr>
          <w:rFonts w:ascii="Arial" w:hAnsi="Arial" w:cs="Arial"/>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sidRPr="00A55E9D">
        <w:rPr>
          <w:rFonts w:ascii="Arial" w:hAnsi="Arial" w:cs="Arial"/>
          <w:i w:val="0"/>
          <w:szCs w:val="24"/>
        </w:rPr>
        <w:t>Ordinance</w:t>
      </w:r>
      <w:r w:rsidRPr="00A55E9D">
        <w:rPr>
          <w:rFonts w:ascii="Arial" w:hAnsi="Arial" w:cs="Arial"/>
          <w:i w:val="0"/>
          <w:szCs w:val="24"/>
        </w:rPr>
        <w:t xml:space="preserve"> </w:t>
      </w:r>
      <w:r w:rsidR="00A55E9D" w:rsidRPr="00A55E9D">
        <w:rPr>
          <w:rFonts w:ascii="Arial" w:hAnsi="Arial" w:cs="Arial"/>
          <w:i w:val="0"/>
        </w:rPr>
        <w:t>2015-</w:t>
      </w:r>
      <w:r w:rsidR="00903874">
        <w:rPr>
          <w:rFonts w:ascii="Arial" w:hAnsi="Arial" w:cs="Arial"/>
          <w:i w:val="0"/>
        </w:rPr>
        <w:t>0438</w:t>
      </w:r>
      <w:r w:rsidR="00A55E9D" w:rsidRPr="001C4B19">
        <w:rPr>
          <w:rFonts w:ascii="Arial" w:hAnsi="Arial" w:cs="Arial"/>
          <w:i w:val="0"/>
          <w:szCs w:val="24"/>
        </w:rPr>
        <w:t xml:space="preserve"> </w:t>
      </w:r>
      <w:r w:rsidR="00575B03" w:rsidRPr="001C4B19">
        <w:rPr>
          <w:rFonts w:ascii="Arial" w:hAnsi="Arial" w:cs="Arial"/>
          <w:i w:val="0"/>
          <w:szCs w:val="24"/>
        </w:rPr>
        <w:t>(and its attachments)</w:t>
      </w:r>
    </w:p>
    <w:p w:rsidR="00C521D8" w:rsidRPr="001C4B19" w:rsidRDefault="00C521D8" w:rsidP="005B478C">
      <w:pPr>
        <w:pStyle w:val="BodyText"/>
        <w:numPr>
          <w:ilvl w:val="0"/>
          <w:numId w:val="35"/>
        </w:numPr>
        <w:jc w:val="both"/>
        <w:rPr>
          <w:rFonts w:ascii="Arial" w:hAnsi="Arial" w:cs="Arial"/>
          <w:i w:val="0"/>
          <w:szCs w:val="24"/>
        </w:rPr>
      </w:pPr>
      <w:bookmarkStart w:id="0" w:name="_GoBack"/>
      <w:bookmarkEnd w:id="0"/>
      <w:r w:rsidRPr="001C4B19">
        <w:rPr>
          <w:rFonts w:ascii="Arial" w:hAnsi="Arial" w:cs="Arial"/>
          <w:i w:val="0"/>
          <w:szCs w:val="24"/>
        </w:rPr>
        <w:t>Transmittal Letter</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C521D8" w:rsidRPr="001C4B19" w:rsidRDefault="00C521D8"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C521D8" w:rsidRPr="001C4B19" w:rsidRDefault="00871C75" w:rsidP="005B478C">
      <w:pPr>
        <w:pStyle w:val="ListParagraph0"/>
        <w:numPr>
          <w:ilvl w:val="0"/>
          <w:numId w:val="24"/>
        </w:numPr>
        <w:spacing w:line="240" w:lineRule="auto"/>
        <w:jc w:val="both"/>
        <w:rPr>
          <w:rFonts w:ascii="Arial" w:hAnsi="Arial" w:cs="Arial"/>
        </w:rPr>
      </w:pPr>
      <w:r>
        <w:rPr>
          <w:rFonts w:ascii="Arial" w:hAnsi="Arial" w:cs="Arial"/>
        </w:rPr>
        <w:t>Kevin Brown, Director, Parks and Recreation Division</w:t>
      </w:r>
    </w:p>
    <w:p w:rsidR="001C4B19" w:rsidRPr="001C4B19" w:rsidRDefault="001C4B19" w:rsidP="005B478C">
      <w:pPr>
        <w:jc w:val="both"/>
        <w:rPr>
          <w:rFonts w:ascii="Arial" w:hAnsi="Arial" w:cs="Arial"/>
          <w:szCs w:val="24"/>
        </w:rPr>
      </w:pPr>
    </w:p>
    <w:sectPr w:rsidR="001C4B19" w:rsidRPr="001C4B19"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C7" w:rsidRDefault="00DB50C7">
      <w:r>
        <w:separator/>
      </w:r>
    </w:p>
  </w:footnote>
  <w:footnote w:type="continuationSeparator" w:id="0">
    <w:p w:rsidR="00DB50C7" w:rsidRDefault="00DB50C7">
      <w:r>
        <w:continuationSeparator/>
      </w:r>
    </w:p>
  </w:footnote>
  <w:footnote w:id="1">
    <w:p w:rsidR="00EB35D0" w:rsidRPr="00EB35D0" w:rsidRDefault="00EB35D0">
      <w:pPr>
        <w:pStyle w:val="FootnoteText"/>
        <w:rPr>
          <w:rFonts w:ascii="Arial" w:hAnsi="Arial" w:cs="Arial"/>
        </w:rPr>
      </w:pPr>
      <w:r w:rsidRPr="00EB35D0">
        <w:rPr>
          <w:rStyle w:val="FootnoteReference"/>
          <w:rFonts w:ascii="Arial" w:hAnsi="Arial" w:cs="Arial"/>
        </w:rPr>
        <w:footnoteRef/>
      </w:r>
      <w:r w:rsidRPr="00EB35D0">
        <w:rPr>
          <w:rFonts w:ascii="Arial" w:hAnsi="Arial" w:cs="Arial"/>
        </w:rPr>
        <w:t xml:space="preserve"> Ordinance 17503, Section 4</w:t>
      </w:r>
    </w:p>
  </w:footnote>
  <w:footnote w:id="2">
    <w:p w:rsidR="007E58C2" w:rsidRPr="007E58C2" w:rsidRDefault="007E58C2">
      <w:pPr>
        <w:pStyle w:val="FootnoteText"/>
        <w:rPr>
          <w:rFonts w:ascii="Arial" w:hAnsi="Arial" w:cs="Arial"/>
        </w:rPr>
      </w:pPr>
      <w:r w:rsidRPr="007E58C2">
        <w:rPr>
          <w:rStyle w:val="FootnoteReference"/>
          <w:rFonts w:ascii="Arial" w:hAnsi="Arial" w:cs="Arial"/>
        </w:rPr>
        <w:footnoteRef/>
      </w:r>
      <w:r w:rsidRPr="007E58C2">
        <w:rPr>
          <w:rFonts w:ascii="Arial" w:hAnsi="Arial" w:cs="Arial"/>
        </w:rPr>
        <w:t xml:space="preserve"> Ordinance 16738</w:t>
      </w:r>
    </w:p>
  </w:footnote>
  <w:footnote w:id="3">
    <w:p w:rsidR="00304569" w:rsidRPr="00F125A2" w:rsidRDefault="00304569" w:rsidP="00304569">
      <w:pPr>
        <w:pStyle w:val="FootnoteText"/>
        <w:rPr>
          <w:rFonts w:ascii="Arial" w:hAnsi="Arial" w:cs="Arial"/>
        </w:rPr>
      </w:pPr>
      <w:r w:rsidRPr="00F125A2">
        <w:rPr>
          <w:rStyle w:val="FootnoteReference"/>
          <w:rFonts w:ascii="Arial" w:hAnsi="Arial" w:cs="Arial"/>
        </w:rPr>
        <w:footnoteRef/>
      </w:r>
      <w:r w:rsidRPr="00F125A2">
        <w:rPr>
          <w:rFonts w:ascii="Arial" w:hAnsi="Arial" w:cs="Arial"/>
        </w:rPr>
        <w:t xml:space="preserve"> </w:t>
      </w:r>
      <w:proofErr w:type="gramStart"/>
      <w:r w:rsidRPr="00F125A2">
        <w:rPr>
          <w:rFonts w:ascii="Arial" w:hAnsi="Arial" w:cs="Arial"/>
        </w:rPr>
        <w:t>Under the Federal National Trails Act, also known as the Rails to Trails Act, 16 U.S.C. §1247(d).</w:t>
      </w:r>
      <w:proofErr w:type="gramEnd"/>
    </w:p>
  </w:footnote>
  <w:footnote w:id="4">
    <w:p w:rsidR="00304569" w:rsidRPr="00287DD0" w:rsidRDefault="00304569" w:rsidP="00304569">
      <w:pPr>
        <w:pStyle w:val="FootnoteText"/>
        <w:rPr>
          <w:rFonts w:ascii="Arial" w:hAnsi="Arial"/>
        </w:rPr>
      </w:pPr>
      <w:r w:rsidRPr="00E57C19">
        <w:rPr>
          <w:rStyle w:val="FootnoteReference"/>
        </w:rPr>
        <w:footnoteRef/>
      </w:r>
      <w:r w:rsidRPr="00E57C19">
        <w:t xml:space="preserve"> </w:t>
      </w:r>
      <w:r w:rsidRPr="00287DD0">
        <w:rPr>
          <w:rFonts w:ascii="Arial" w:hAnsi="Arial"/>
        </w:rPr>
        <w:t>As the Interim Trail User, the County is subject to legal obligations imposed by Section 8(d) of the Rails-to-Trails Act, 16 U.S.C. § 1247(d) and 49 C.F.R § 1152.29, as implemented through the Notices of Interim Trail Use (NITUs) for the various parts of the Corridor issued by the Surface Transportation Board (STB), and also the Trail Use Agreement entered into between BNSF and the County, and the STB-required Statement of Willingness to Accept Financial Responsibility (SWAFR). Pursuant to the Rails to Trails Act, all interim uses of railbanked corridors are subject to reactivation of potential interstate freight rail service.</w:t>
      </w:r>
    </w:p>
  </w:footnote>
  <w:footnote w:id="5">
    <w:p w:rsidR="007E58C2" w:rsidRPr="007E58C2" w:rsidRDefault="007E58C2">
      <w:pPr>
        <w:pStyle w:val="FootnoteText"/>
        <w:rPr>
          <w:rFonts w:ascii="Arial" w:hAnsi="Arial" w:cs="Arial"/>
        </w:rPr>
      </w:pPr>
      <w:r w:rsidRPr="007E58C2">
        <w:rPr>
          <w:rStyle w:val="FootnoteReference"/>
          <w:rFonts w:ascii="Arial" w:hAnsi="Arial" w:cs="Arial"/>
        </w:rPr>
        <w:footnoteRef/>
      </w:r>
      <w:r w:rsidRPr="007E58C2">
        <w:rPr>
          <w:rFonts w:ascii="Arial" w:hAnsi="Arial" w:cs="Arial"/>
        </w:rPr>
        <w:t xml:space="preserve"> Ordinance 16084</w:t>
      </w:r>
    </w:p>
  </w:footnote>
  <w:footnote w:id="6">
    <w:p w:rsidR="00B363DA" w:rsidRPr="00B363DA" w:rsidRDefault="00B363DA">
      <w:pPr>
        <w:pStyle w:val="FootnoteText"/>
        <w:rPr>
          <w:rFonts w:ascii="Arial" w:hAnsi="Arial" w:cs="Arial"/>
        </w:rPr>
      </w:pPr>
      <w:r w:rsidRPr="00B363DA">
        <w:rPr>
          <w:rStyle w:val="FootnoteReference"/>
          <w:rFonts w:ascii="Arial" w:hAnsi="Arial" w:cs="Arial"/>
        </w:rPr>
        <w:footnoteRef/>
      </w:r>
      <w:r w:rsidRPr="00B363DA">
        <w:rPr>
          <w:rFonts w:ascii="Arial" w:hAnsi="Arial" w:cs="Arial"/>
        </w:rPr>
        <w:t xml:space="preserve"> Ordinance 17503</w:t>
      </w:r>
    </w:p>
  </w:footnote>
  <w:footnote w:id="7">
    <w:p w:rsidR="00A47386" w:rsidRPr="00A47386" w:rsidRDefault="00A47386">
      <w:pPr>
        <w:pStyle w:val="FootnoteText"/>
        <w:rPr>
          <w:rFonts w:ascii="Arial" w:hAnsi="Arial" w:cs="Arial"/>
        </w:rPr>
      </w:pPr>
      <w:r w:rsidRPr="00A47386">
        <w:rPr>
          <w:rStyle w:val="FootnoteReference"/>
          <w:rFonts w:ascii="Arial" w:hAnsi="Arial" w:cs="Arial"/>
        </w:rPr>
        <w:footnoteRef/>
      </w:r>
      <w:r w:rsidRPr="00A47386">
        <w:rPr>
          <w:rFonts w:ascii="Arial" w:hAnsi="Arial" w:cs="Arial"/>
        </w:rPr>
        <w:t xml:space="preserve"> </w:t>
      </w:r>
      <w:r w:rsidRPr="00A47386">
        <w:rPr>
          <w:rFonts w:ascii="Arial" w:hAnsi="Arial" w:cs="Arial"/>
          <w:bCs/>
        </w:rPr>
        <w:t>Motion 13801</w:t>
      </w:r>
    </w:p>
  </w:footnote>
  <w:footnote w:id="8">
    <w:p w:rsidR="00E156A8" w:rsidRPr="00E156A8" w:rsidRDefault="00E156A8">
      <w:pPr>
        <w:pStyle w:val="FootnoteText"/>
        <w:rPr>
          <w:rFonts w:ascii="Arial" w:hAnsi="Arial" w:cs="Arial"/>
        </w:rPr>
      </w:pPr>
      <w:r w:rsidRPr="00E156A8">
        <w:rPr>
          <w:rStyle w:val="FootnoteReference"/>
          <w:rFonts w:ascii="Arial" w:hAnsi="Arial" w:cs="Arial"/>
        </w:rPr>
        <w:footnoteRef/>
      </w:r>
      <w:r w:rsidRPr="00E156A8">
        <w:rPr>
          <w:rFonts w:ascii="Arial" w:hAnsi="Arial" w:cs="Arial"/>
        </w:rPr>
        <w:t xml:space="preserve"> Motion 14105</w:t>
      </w:r>
    </w:p>
  </w:footnote>
  <w:footnote w:id="9">
    <w:p w:rsidR="00B22676" w:rsidRPr="00B22676" w:rsidRDefault="00B22676">
      <w:pPr>
        <w:pStyle w:val="FootnoteText"/>
        <w:rPr>
          <w:rFonts w:ascii="Arial" w:hAnsi="Arial" w:cs="Arial"/>
        </w:rPr>
      </w:pPr>
      <w:r w:rsidRPr="00B22676">
        <w:rPr>
          <w:rStyle w:val="FootnoteReference"/>
          <w:rFonts w:ascii="Arial" w:hAnsi="Arial" w:cs="Arial"/>
        </w:rPr>
        <w:footnoteRef/>
      </w:r>
      <w:r w:rsidRPr="00B22676">
        <w:rPr>
          <w:rFonts w:ascii="Arial" w:hAnsi="Arial" w:cs="Arial"/>
        </w:rPr>
        <w:t xml:space="preserve"> Ordinance 17503, Section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07789"/>
    <w:multiLevelType w:val="hybridMultilevel"/>
    <w:tmpl w:val="FF0865DA"/>
    <w:lvl w:ilvl="0" w:tplc="AAB4266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2D6E8A"/>
    <w:multiLevelType w:val="hybridMultilevel"/>
    <w:tmpl w:val="037E56C4"/>
    <w:lvl w:ilvl="0" w:tplc="33A0DEA6">
      <w:start w:val="1"/>
      <w:numFmt w:val="bullet"/>
      <w:lvlText w:val="•"/>
      <w:lvlJc w:val="left"/>
      <w:pPr>
        <w:tabs>
          <w:tab w:val="num" w:pos="720"/>
        </w:tabs>
        <w:ind w:left="720" w:hanging="360"/>
      </w:pPr>
      <w:rPr>
        <w:rFonts w:ascii="Arial" w:hAnsi="Arial" w:hint="default"/>
      </w:rPr>
    </w:lvl>
    <w:lvl w:ilvl="1" w:tplc="3A9264C6">
      <w:start w:val="1347"/>
      <w:numFmt w:val="bullet"/>
      <w:lvlText w:val="•"/>
      <w:lvlJc w:val="left"/>
      <w:pPr>
        <w:tabs>
          <w:tab w:val="num" w:pos="1440"/>
        </w:tabs>
        <w:ind w:left="1440" w:hanging="360"/>
      </w:pPr>
      <w:rPr>
        <w:rFonts w:ascii="Arial" w:hAnsi="Arial" w:hint="default"/>
      </w:rPr>
    </w:lvl>
    <w:lvl w:ilvl="2" w:tplc="69AEB58E" w:tentative="1">
      <w:start w:val="1"/>
      <w:numFmt w:val="bullet"/>
      <w:lvlText w:val="•"/>
      <w:lvlJc w:val="left"/>
      <w:pPr>
        <w:tabs>
          <w:tab w:val="num" w:pos="2160"/>
        </w:tabs>
        <w:ind w:left="2160" w:hanging="360"/>
      </w:pPr>
      <w:rPr>
        <w:rFonts w:ascii="Arial" w:hAnsi="Arial" w:hint="default"/>
      </w:rPr>
    </w:lvl>
    <w:lvl w:ilvl="3" w:tplc="918C35FE" w:tentative="1">
      <w:start w:val="1"/>
      <w:numFmt w:val="bullet"/>
      <w:lvlText w:val="•"/>
      <w:lvlJc w:val="left"/>
      <w:pPr>
        <w:tabs>
          <w:tab w:val="num" w:pos="2880"/>
        </w:tabs>
        <w:ind w:left="2880" w:hanging="360"/>
      </w:pPr>
      <w:rPr>
        <w:rFonts w:ascii="Arial" w:hAnsi="Arial" w:hint="default"/>
      </w:rPr>
    </w:lvl>
    <w:lvl w:ilvl="4" w:tplc="DBD8A5C8" w:tentative="1">
      <w:start w:val="1"/>
      <w:numFmt w:val="bullet"/>
      <w:lvlText w:val="•"/>
      <w:lvlJc w:val="left"/>
      <w:pPr>
        <w:tabs>
          <w:tab w:val="num" w:pos="3600"/>
        </w:tabs>
        <w:ind w:left="3600" w:hanging="360"/>
      </w:pPr>
      <w:rPr>
        <w:rFonts w:ascii="Arial" w:hAnsi="Arial" w:hint="default"/>
      </w:rPr>
    </w:lvl>
    <w:lvl w:ilvl="5" w:tplc="871CDCB0" w:tentative="1">
      <w:start w:val="1"/>
      <w:numFmt w:val="bullet"/>
      <w:lvlText w:val="•"/>
      <w:lvlJc w:val="left"/>
      <w:pPr>
        <w:tabs>
          <w:tab w:val="num" w:pos="4320"/>
        </w:tabs>
        <w:ind w:left="4320" w:hanging="360"/>
      </w:pPr>
      <w:rPr>
        <w:rFonts w:ascii="Arial" w:hAnsi="Arial" w:hint="default"/>
      </w:rPr>
    </w:lvl>
    <w:lvl w:ilvl="6" w:tplc="0C14E034" w:tentative="1">
      <w:start w:val="1"/>
      <w:numFmt w:val="bullet"/>
      <w:lvlText w:val="•"/>
      <w:lvlJc w:val="left"/>
      <w:pPr>
        <w:tabs>
          <w:tab w:val="num" w:pos="5040"/>
        </w:tabs>
        <w:ind w:left="5040" w:hanging="360"/>
      </w:pPr>
      <w:rPr>
        <w:rFonts w:ascii="Arial" w:hAnsi="Arial" w:hint="default"/>
      </w:rPr>
    </w:lvl>
    <w:lvl w:ilvl="7" w:tplc="E594107E" w:tentative="1">
      <w:start w:val="1"/>
      <w:numFmt w:val="bullet"/>
      <w:lvlText w:val="•"/>
      <w:lvlJc w:val="left"/>
      <w:pPr>
        <w:tabs>
          <w:tab w:val="num" w:pos="5760"/>
        </w:tabs>
        <w:ind w:left="5760" w:hanging="360"/>
      </w:pPr>
      <w:rPr>
        <w:rFonts w:ascii="Arial" w:hAnsi="Arial" w:hint="default"/>
      </w:rPr>
    </w:lvl>
    <w:lvl w:ilvl="8" w:tplc="152A3146" w:tentative="1">
      <w:start w:val="1"/>
      <w:numFmt w:val="bullet"/>
      <w:lvlText w:val="•"/>
      <w:lvlJc w:val="left"/>
      <w:pPr>
        <w:tabs>
          <w:tab w:val="num" w:pos="6480"/>
        </w:tabs>
        <w:ind w:left="6480" w:hanging="360"/>
      </w:pPr>
      <w:rPr>
        <w:rFonts w:ascii="Arial" w:hAnsi="Arial" w:hint="default"/>
      </w:rPr>
    </w:lvl>
  </w:abstractNum>
  <w:abstractNum w:abstractNumId="27">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62ED9"/>
    <w:multiLevelType w:val="hybridMultilevel"/>
    <w:tmpl w:val="090A1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040FE"/>
    <w:multiLevelType w:val="hybridMultilevel"/>
    <w:tmpl w:val="2DA45CE0"/>
    <w:lvl w:ilvl="0" w:tplc="4008D1B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6"/>
  </w:num>
  <w:num w:numId="18">
    <w:abstractNumId w:val="23"/>
  </w:num>
  <w:num w:numId="19">
    <w:abstractNumId w:val="33"/>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9"/>
  </w:num>
  <w:num w:numId="30">
    <w:abstractNumId w:val="1"/>
  </w:num>
  <w:num w:numId="31">
    <w:abstractNumId w:val="35"/>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19"/>
  </w:num>
  <w:num w:numId="39">
    <w:abstractNumId w:val="34"/>
  </w:num>
  <w:num w:numId="40">
    <w:abstractNumId w:val="30"/>
  </w:num>
  <w:num w:numId="41">
    <w:abstractNumId w:val="39"/>
  </w:num>
  <w:num w:numId="42">
    <w:abstractNumId w:val="20"/>
  </w:num>
  <w:num w:numId="43">
    <w:abstractNumId w:val="32"/>
  </w:num>
  <w:num w:numId="44">
    <w:abstractNumId w:val="28"/>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9FF"/>
    <w:rsid w:val="001B4E6F"/>
    <w:rsid w:val="001B65A3"/>
    <w:rsid w:val="001B6C67"/>
    <w:rsid w:val="001B7023"/>
    <w:rsid w:val="001C0CD3"/>
    <w:rsid w:val="001C254D"/>
    <w:rsid w:val="001C4B19"/>
    <w:rsid w:val="001C4EAE"/>
    <w:rsid w:val="001C76FF"/>
    <w:rsid w:val="001D0111"/>
    <w:rsid w:val="001D15FF"/>
    <w:rsid w:val="001D2DDB"/>
    <w:rsid w:val="001D396A"/>
    <w:rsid w:val="001D525A"/>
    <w:rsid w:val="001D6FB9"/>
    <w:rsid w:val="001D7004"/>
    <w:rsid w:val="001D718E"/>
    <w:rsid w:val="001E0DD3"/>
    <w:rsid w:val="001E0E59"/>
    <w:rsid w:val="001E1042"/>
    <w:rsid w:val="001E2BAC"/>
    <w:rsid w:val="001E3A13"/>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95E"/>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77CEE"/>
    <w:rsid w:val="0028252E"/>
    <w:rsid w:val="00283483"/>
    <w:rsid w:val="00283B58"/>
    <w:rsid w:val="002859EF"/>
    <w:rsid w:val="00285AF1"/>
    <w:rsid w:val="0029050E"/>
    <w:rsid w:val="00292DEC"/>
    <w:rsid w:val="00293B99"/>
    <w:rsid w:val="00293D02"/>
    <w:rsid w:val="00294222"/>
    <w:rsid w:val="00296690"/>
    <w:rsid w:val="00296A67"/>
    <w:rsid w:val="002A1127"/>
    <w:rsid w:val="002A1228"/>
    <w:rsid w:val="002A2420"/>
    <w:rsid w:val="002A6326"/>
    <w:rsid w:val="002B0E1F"/>
    <w:rsid w:val="002B376D"/>
    <w:rsid w:val="002B76A4"/>
    <w:rsid w:val="002B7D72"/>
    <w:rsid w:val="002C13D3"/>
    <w:rsid w:val="002C1543"/>
    <w:rsid w:val="002C42B2"/>
    <w:rsid w:val="002C4D38"/>
    <w:rsid w:val="002D1993"/>
    <w:rsid w:val="002D4CAF"/>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569"/>
    <w:rsid w:val="0030553B"/>
    <w:rsid w:val="00306680"/>
    <w:rsid w:val="00307D40"/>
    <w:rsid w:val="003110A1"/>
    <w:rsid w:val="00311CD5"/>
    <w:rsid w:val="00313799"/>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27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320"/>
    <w:rsid w:val="00421A90"/>
    <w:rsid w:val="00421B59"/>
    <w:rsid w:val="00421D84"/>
    <w:rsid w:val="00422570"/>
    <w:rsid w:val="00422ED9"/>
    <w:rsid w:val="004236ED"/>
    <w:rsid w:val="00423F29"/>
    <w:rsid w:val="00424662"/>
    <w:rsid w:val="00426722"/>
    <w:rsid w:val="00431EEF"/>
    <w:rsid w:val="00433E5C"/>
    <w:rsid w:val="004349B7"/>
    <w:rsid w:val="00436DD2"/>
    <w:rsid w:val="0043717B"/>
    <w:rsid w:val="00437287"/>
    <w:rsid w:val="004412EB"/>
    <w:rsid w:val="00447B01"/>
    <w:rsid w:val="00450155"/>
    <w:rsid w:val="00450E1D"/>
    <w:rsid w:val="0045274D"/>
    <w:rsid w:val="00452DA1"/>
    <w:rsid w:val="00455FE6"/>
    <w:rsid w:val="00456257"/>
    <w:rsid w:val="004611A4"/>
    <w:rsid w:val="00461303"/>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D3A"/>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5DAB"/>
    <w:rsid w:val="005161FC"/>
    <w:rsid w:val="00516686"/>
    <w:rsid w:val="005218F6"/>
    <w:rsid w:val="00522D68"/>
    <w:rsid w:val="00527709"/>
    <w:rsid w:val="0053306D"/>
    <w:rsid w:val="00536C1F"/>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32EC"/>
    <w:rsid w:val="00575B03"/>
    <w:rsid w:val="00576BCE"/>
    <w:rsid w:val="00577162"/>
    <w:rsid w:val="00581625"/>
    <w:rsid w:val="00581978"/>
    <w:rsid w:val="00581B47"/>
    <w:rsid w:val="00581C94"/>
    <w:rsid w:val="0058291D"/>
    <w:rsid w:val="00583A0C"/>
    <w:rsid w:val="005878CE"/>
    <w:rsid w:val="00590A54"/>
    <w:rsid w:val="00590C7D"/>
    <w:rsid w:val="0059228C"/>
    <w:rsid w:val="00592A33"/>
    <w:rsid w:val="00596ACA"/>
    <w:rsid w:val="005A1377"/>
    <w:rsid w:val="005A226A"/>
    <w:rsid w:val="005A2AE5"/>
    <w:rsid w:val="005A2BC9"/>
    <w:rsid w:val="005A3C5E"/>
    <w:rsid w:val="005A3FD9"/>
    <w:rsid w:val="005A4155"/>
    <w:rsid w:val="005A5CC1"/>
    <w:rsid w:val="005A7B2A"/>
    <w:rsid w:val="005A7E12"/>
    <w:rsid w:val="005B0541"/>
    <w:rsid w:val="005B090C"/>
    <w:rsid w:val="005B0FD8"/>
    <w:rsid w:val="005B478C"/>
    <w:rsid w:val="005B7D1A"/>
    <w:rsid w:val="005C44C6"/>
    <w:rsid w:val="005C4BCC"/>
    <w:rsid w:val="005C624B"/>
    <w:rsid w:val="005D056C"/>
    <w:rsid w:val="005D2BD9"/>
    <w:rsid w:val="005E15B8"/>
    <w:rsid w:val="005E440F"/>
    <w:rsid w:val="005E59DE"/>
    <w:rsid w:val="005E611A"/>
    <w:rsid w:val="005E7CF0"/>
    <w:rsid w:val="005F27C6"/>
    <w:rsid w:val="005F2888"/>
    <w:rsid w:val="005F3150"/>
    <w:rsid w:val="005F3567"/>
    <w:rsid w:val="005F3E28"/>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BC"/>
    <w:rsid w:val="006317CD"/>
    <w:rsid w:val="0063186B"/>
    <w:rsid w:val="00632319"/>
    <w:rsid w:val="00632ED8"/>
    <w:rsid w:val="00641390"/>
    <w:rsid w:val="006425FE"/>
    <w:rsid w:val="00643BA7"/>
    <w:rsid w:val="00643DFB"/>
    <w:rsid w:val="00643E28"/>
    <w:rsid w:val="00645C5A"/>
    <w:rsid w:val="00650F7C"/>
    <w:rsid w:val="0065437B"/>
    <w:rsid w:val="0065437F"/>
    <w:rsid w:val="00654E53"/>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5E7"/>
    <w:rsid w:val="006B4615"/>
    <w:rsid w:val="006B4D79"/>
    <w:rsid w:val="006B4E42"/>
    <w:rsid w:val="006B577E"/>
    <w:rsid w:val="006B6B31"/>
    <w:rsid w:val="006B7D68"/>
    <w:rsid w:val="006B7DA0"/>
    <w:rsid w:val="006C0C61"/>
    <w:rsid w:val="006C1861"/>
    <w:rsid w:val="006C7139"/>
    <w:rsid w:val="006C71C9"/>
    <w:rsid w:val="006D192F"/>
    <w:rsid w:val="006D1FAB"/>
    <w:rsid w:val="006D3174"/>
    <w:rsid w:val="006D3482"/>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480"/>
    <w:rsid w:val="00755A77"/>
    <w:rsid w:val="00755B13"/>
    <w:rsid w:val="00755C37"/>
    <w:rsid w:val="00756DB3"/>
    <w:rsid w:val="007574DF"/>
    <w:rsid w:val="007607D5"/>
    <w:rsid w:val="007635B2"/>
    <w:rsid w:val="0076386D"/>
    <w:rsid w:val="00765EB5"/>
    <w:rsid w:val="00766689"/>
    <w:rsid w:val="00767B3E"/>
    <w:rsid w:val="00771486"/>
    <w:rsid w:val="00772135"/>
    <w:rsid w:val="00772261"/>
    <w:rsid w:val="00773139"/>
    <w:rsid w:val="00773149"/>
    <w:rsid w:val="0077369C"/>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3039"/>
    <w:rsid w:val="007D72EC"/>
    <w:rsid w:val="007D78E8"/>
    <w:rsid w:val="007D7D5A"/>
    <w:rsid w:val="007E0169"/>
    <w:rsid w:val="007E3231"/>
    <w:rsid w:val="007E58C2"/>
    <w:rsid w:val="007F0F9A"/>
    <w:rsid w:val="007F20EF"/>
    <w:rsid w:val="007F2EFD"/>
    <w:rsid w:val="007F566F"/>
    <w:rsid w:val="0080188E"/>
    <w:rsid w:val="008028FF"/>
    <w:rsid w:val="008029E9"/>
    <w:rsid w:val="00803ADB"/>
    <w:rsid w:val="0080466D"/>
    <w:rsid w:val="008054C0"/>
    <w:rsid w:val="00806E8B"/>
    <w:rsid w:val="0081445B"/>
    <w:rsid w:val="008157D3"/>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C7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C01"/>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359E"/>
    <w:rsid w:val="008F3645"/>
    <w:rsid w:val="008F4FEE"/>
    <w:rsid w:val="008F5106"/>
    <w:rsid w:val="008F5B95"/>
    <w:rsid w:val="008F6099"/>
    <w:rsid w:val="008F770C"/>
    <w:rsid w:val="0090274A"/>
    <w:rsid w:val="00903874"/>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08D"/>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190D"/>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97F"/>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0AD0"/>
    <w:rsid w:val="00A21507"/>
    <w:rsid w:val="00A23355"/>
    <w:rsid w:val="00A25BEF"/>
    <w:rsid w:val="00A25DEB"/>
    <w:rsid w:val="00A26B99"/>
    <w:rsid w:val="00A30A51"/>
    <w:rsid w:val="00A3188A"/>
    <w:rsid w:val="00A31AD8"/>
    <w:rsid w:val="00A31CF0"/>
    <w:rsid w:val="00A320D2"/>
    <w:rsid w:val="00A32FF8"/>
    <w:rsid w:val="00A34277"/>
    <w:rsid w:val="00A347A7"/>
    <w:rsid w:val="00A35E0F"/>
    <w:rsid w:val="00A3643F"/>
    <w:rsid w:val="00A4030C"/>
    <w:rsid w:val="00A40E9F"/>
    <w:rsid w:val="00A415A9"/>
    <w:rsid w:val="00A42F0C"/>
    <w:rsid w:val="00A4406D"/>
    <w:rsid w:val="00A46752"/>
    <w:rsid w:val="00A47386"/>
    <w:rsid w:val="00A47852"/>
    <w:rsid w:val="00A5174B"/>
    <w:rsid w:val="00A55AAD"/>
    <w:rsid w:val="00A55E9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5189"/>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68B"/>
    <w:rsid w:val="00B07BB9"/>
    <w:rsid w:val="00B10483"/>
    <w:rsid w:val="00B1061E"/>
    <w:rsid w:val="00B12B60"/>
    <w:rsid w:val="00B12F4B"/>
    <w:rsid w:val="00B13D04"/>
    <w:rsid w:val="00B15DFA"/>
    <w:rsid w:val="00B16296"/>
    <w:rsid w:val="00B16ED0"/>
    <w:rsid w:val="00B17CEA"/>
    <w:rsid w:val="00B2043E"/>
    <w:rsid w:val="00B21EA6"/>
    <w:rsid w:val="00B22676"/>
    <w:rsid w:val="00B23613"/>
    <w:rsid w:val="00B23B35"/>
    <w:rsid w:val="00B23E7A"/>
    <w:rsid w:val="00B2456C"/>
    <w:rsid w:val="00B24961"/>
    <w:rsid w:val="00B276F7"/>
    <w:rsid w:val="00B32CF9"/>
    <w:rsid w:val="00B33ED2"/>
    <w:rsid w:val="00B34180"/>
    <w:rsid w:val="00B363DA"/>
    <w:rsid w:val="00B37B8A"/>
    <w:rsid w:val="00B410AF"/>
    <w:rsid w:val="00B418C2"/>
    <w:rsid w:val="00B424FA"/>
    <w:rsid w:val="00B445B5"/>
    <w:rsid w:val="00B46027"/>
    <w:rsid w:val="00B4708A"/>
    <w:rsid w:val="00B47954"/>
    <w:rsid w:val="00B5059B"/>
    <w:rsid w:val="00B50730"/>
    <w:rsid w:val="00B51CA8"/>
    <w:rsid w:val="00B51EFC"/>
    <w:rsid w:val="00B5298C"/>
    <w:rsid w:val="00B65EB6"/>
    <w:rsid w:val="00B66304"/>
    <w:rsid w:val="00B701FA"/>
    <w:rsid w:val="00B709CE"/>
    <w:rsid w:val="00B713E3"/>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0BF"/>
    <w:rsid w:val="00B97541"/>
    <w:rsid w:val="00BA295B"/>
    <w:rsid w:val="00BA42B1"/>
    <w:rsid w:val="00BA4BF0"/>
    <w:rsid w:val="00BA5B5F"/>
    <w:rsid w:val="00BA7B02"/>
    <w:rsid w:val="00BB0831"/>
    <w:rsid w:val="00BB0D89"/>
    <w:rsid w:val="00BB2F7B"/>
    <w:rsid w:val="00BB4CB6"/>
    <w:rsid w:val="00BB4E8F"/>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375"/>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38A"/>
    <w:rsid w:val="00C50DBA"/>
    <w:rsid w:val="00C5212E"/>
    <w:rsid w:val="00C521D8"/>
    <w:rsid w:val="00C538F7"/>
    <w:rsid w:val="00C54D05"/>
    <w:rsid w:val="00C57065"/>
    <w:rsid w:val="00C574BA"/>
    <w:rsid w:val="00C57BAA"/>
    <w:rsid w:val="00C57C4A"/>
    <w:rsid w:val="00C62C87"/>
    <w:rsid w:val="00C635C0"/>
    <w:rsid w:val="00C64A17"/>
    <w:rsid w:val="00C70D06"/>
    <w:rsid w:val="00C71C5B"/>
    <w:rsid w:val="00C71D66"/>
    <w:rsid w:val="00C72AEF"/>
    <w:rsid w:val="00C72D4A"/>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4041"/>
    <w:rsid w:val="00C953AF"/>
    <w:rsid w:val="00C96E22"/>
    <w:rsid w:val="00C97211"/>
    <w:rsid w:val="00C9726A"/>
    <w:rsid w:val="00C975AC"/>
    <w:rsid w:val="00C976B6"/>
    <w:rsid w:val="00CA0067"/>
    <w:rsid w:val="00CA0929"/>
    <w:rsid w:val="00CA0C81"/>
    <w:rsid w:val="00CA1FE3"/>
    <w:rsid w:val="00CA31AA"/>
    <w:rsid w:val="00CA4211"/>
    <w:rsid w:val="00CA4C49"/>
    <w:rsid w:val="00CA50FA"/>
    <w:rsid w:val="00CA585D"/>
    <w:rsid w:val="00CA74BD"/>
    <w:rsid w:val="00CB0923"/>
    <w:rsid w:val="00CB1443"/>
    <w:rsid w:val="00CB175C"/>
    <w:rsid w:val="00CB2BF5"/>
    <w:rsid w:val="00CB4508"/>
    <w:rsid w:val="00CB5C22"/>
    <w:rsid w:val="00CC07D6"/>
    <w:rsid w:val="00CC0F0F"/>
    <w:rsid w:val="00CC319A"/>
    <w:rsid w:val="00CC35C9"/>
    <w:rsid w:val="00CC36CE"/>
    <w:rsid w:val="00CC383B"/>
    <w:rsid w:val="00CC3C11"/>
    <w:rsid w:val="00CC3CB7"/>
    <w:rsid w:val="00CC4C3C"/>
    <w:rsid w:val="00CC53FD"/>
    <w:rsid w:val="00CC5878"/>
    <w:rsid w:val="00CD299A"/>
    <w:rsid w:val="00CD2CEA"/>
    <w:rsid w:val="00CD3E55"/>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1C1"/>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323"/>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7D5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6A8"/>
    <w:rsid w:val="00E15C29"/>
    <w:rsid w:val="00E15DB3"/>
    <w:rsid w:val="00E17502"/>
    <w:rsid w:val="00E17D34"/>
    <w:rsid w:val="00E17FF3"/>
    <w:rsid w:val="00E21079"/>
    <w:rsid w:val="00E21357"/>
    <w:rsid w:val="00E22C68"/>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0C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51F7"/>
    <w:rsid w:val="00E707AC"/>
    <w:rsid w:val="00E7163A"/>
    <w:rsid w:val="00E723C8"/>
    <w:rsid w:val="00E75041"/>
    <w:rsid w:val="00E75710"/>
    <w:rsid w:val="00E75A6E"/>
    <w:rsid w:val="00E773DF"/>
    <w:rsid w:val="00E77788"/>
    <w:rsid w:val="00E81A76"/>
    <w:rsid w:val="00E85DF1"/>
    <w:rsid w:val="00E86124"/>
    <w:rsid w:val="00E866FF"/>
    <w:rsid w:val="00E867BD"/>
    <w:rsid w:val="00E9054A"/>
    <w:rsid w:val="00E91025"/>
    <w:rsid w:val="00E91CF3"/>
    <w:rsid w:val="00E931C3"/>
    <w:rsid w:val="00E9450C"/>
    <w:rsid w:val="00E9591E"/>
    <w:rsid w:val="00E96DDA"/>
    <w:rsid w:val="00EA2581"/>
    <w:rsid w:val="00EA4A24"/>
    <w:rsid w:val="00EA564A"/>
    <w:rsid w:val="00EB1647"/>
    <w:rsid w:val="00EB1EDE"/>
    <w:rsid w:val="00EB2C3E"/>
    <w:rsid w:val="00EB35D0"/>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115C"/>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EE0"/>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63F"/>
    <w:rsid w:val="00F60C80"/>
    <w:rsid w:val="00F628E5"/>
    <w:rsid w:val="00F62D63"/>
    <w:rsid w:val="00F64BDB"/>
    <w:rsid w:val="00F65642"/>
    <w:rsid w:val="00F6619B"/>
    <w:rsid w:val="00F66401"/>
    <w:rsid w:val="00F768EB"/>
    <w:rsid w:val="00F77845"/>
    <w:rsid w:val="00F8004A"/>
    <w:rsid w:val="00F80769"/>
    <w:rsid w:val="00F80B33"/>
    <w:rsid w:val="00F8340D"/>
    <w:rsid w:val="00F835BA"/>
    <w:rsid w:val="00F83EC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04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0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CCF1-6810-4682-9FE8-7DCC8AC5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1428</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4</cp:revision>
  <cp:lastPrinted>2015-03-13T15:09:00Z</cp:lastPrinted>
  <dcterms:created xsi:type="dcterms:W3CDTF">2015-11-04T23:55:00Z</dcterms:created>
  <dcterms:modified xsi:type="dcterms:W3CDTF">2015-11-09T17:51:00Z</dcterms:modified>
</cp:coreProperties>
</file>