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48615" w14:textId="281D313F" w:rsidR="00F3508D" w:rsidRPr="00017B2B" w:rsidRDefault="00205ECA" w:rsidP="00F3508D">
      <w:pPr>
        <w:pStyle w:val="Heading2"/>
        <w:rPr>
          <w:rFonts w:ascii="Arial" w:hAnsi="Arial" w:cs="Arial"/>
          <w:sz w:val="24"/>
          <w:u w:val="none"/>
        </w:rPr>
      </w:pPr>
      <w:r>
        <w:rPr>
          <w:rFonts w:ascii="Arial" w:hAnsi="Arial" w:cs="Arial"/>
          <w:sz w:val="24"/>
          <w:u w:val="none"/>
        </w:rPr>
        <w:t xml:space="preserve">REVISED </w:t>
      </w:r>
      <w:r w:rsidR="00F3508D" w:rsidRPr="00017B2B">
        <w:rPr>
          <w:rFonts w:ascii="Arial" w:hAnsi="Arial" w:cs="Arial"/>
          <w:sz w:val="24"/>
          <w:u w:val="none"/>
        </w:rPr>
        <w:t>STAFF REPORT</w:t>
      </w:r>
    </w:p>
    <w:p w14:paraId="2C2894AB" w14:textId="77777777" w:rsidR="00F3508D" w:rsidRPr="00F3508D" w:rsidRDefault="00F3508D" w:rsidP="00F3508D">
      <w:pPr>
        <w:jc w:val="center"/>
      </w:pPr>
    </w:p>
    <w:tbl>
      <w:tblPr>
        <w:tblW w:w="9540" w:type="dxa"/>
        <w:jc w:val="center"/>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14:paraId="61C02B11"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BDC3113" w14:textId="77777777" w:rsidR="00F3508D" w:rsidRPr="009349D6" w:rsidRDefault="00F3508D" w:rsidP="0092762F">
            <w:pPr>
              <w:spacing w:before="60" w:after="6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9536E49" w14:textId="2D2B9245" w:rsidR="00F3508D" w:rsidRPr="009349D6" w:rsidRDefault="0023155F" w:rsidP="0092762F">
            <w:pPr>
              <w:spacing w:before="60" w:after="6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50BAABD4" w14:textId="77777777" w:rsidR="00F3508D" w:rsidRPr="009349D6" w:rsidRDefault="00F3508D" w:rsidP="0092762F">
            <w:pPr>
              <w:spacing w:before="60" w:after="6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45EBE88" w14:textId="77777777" w:rsidR="00F3508D" w:rsidRPr="009349D6" w:rsidRDefault="004A01EA" w:rsidP="0092762F">
            <w:pPr>
              <w:spacing w:before="60" w:after="60"/>
              <w:rPr>
                <w:rFonts w:ascii="Arial" w:hAnsi="Arial" w:cs="Arial"/>
              </w:rPr>
            </w:pPr>
            <w:r>
              <w:rPr>
                <w:rFonts w:ascii="Arial" w:hAnsi="Arial" w:cs="Arial"/>
              </w:rPr>
              <w:t>Nick Wagner</w:t>
            </w:r>
          </w:p>
        </w:tc>
      </w:tr>
      <w:tr w:rsidR="00F3508D" w:rsidRPr="0092762F" w14:paraId="2DD74406"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44105D7" w14:textId="77777777" w:rsidR="00F3508D" w:rsidRPr="0092762F" w:rsidRDefault="00F3508D" w:rsidP="0092762F">
            <w:pPr>
              <w:spacing w:before="60" w:after="60"/>
              <w:rPr>
                <w:rFonts w:ascii="Arial" w:hAnsi="Arial" w:cs="Arial"/>
                <w:b/>
              </w:rPr>
            </w:pPr>
            <w:r w:rsidRPr="009349D6">
              <w:rPr>
                <w:rFonts w:ascii="Arial" w:hAnsi="Arial" w:cs="Arial"/>
                <w:b/>
              </w:rPr>
              <w:t>Proposed No</w:t>
            </w:r>
            <w:r w:rsidRPr="0092762F">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D89DAB3" w14:textId="240A4ABD" w:rsidR="00F3508D" w:rsidRPr="00017B2B" w:rsidRDefault="004A01EA" w:rsidP="00B54924">
            <w:pPr>
              <w:spacing w:before="60" w:after="60"/>
              <w:rPr>
                <w:rFonts w:ascii="Arial" w:hAnsi="Arial" w:cs="Arial"/>
              </w:rPr>
            </w:pPr>
            <w:r w:rsidRPr="00017B2B">
              <w:rPr>
                <w:rFonts w:ascii="Arial" w:hAnsi="Arial" w:cs="Arial"/>
              </w:rPr>
              <w:t>2015-0</w:t>
            </w:r>
            <w:r w:rsidR="000B577E">
              <w:rPr>
                <w:rFonts w:ascii="Arial" w:hAnsi="Arial" w:cs="Arial"/>
              </w:rPr>
              <w:t>3</w:t>
            </w:r>
            <w:r w:rsidR="00B54924">
              <w:rPr>
                <w:rFonts w:ascii="Arial" w:hAnsi="Arial" w:cs="Arial"/>
              </w:rPr>
              <w:t>77</w:t>
            </w:r>
          </w:p>
        </w:tc>
        <w:tc>
          <w:tcPr>
            <w:tcW w:w="1170" w:type="dxa"/>
            <w:tcBorders>
              <w:top w:val="single" w:sz="4" w:space="0" w:color="auto"/>
              <w:left w:val="single" w:sz="4" w:space="0" w:color="auto"/>
              <w:bottom w:val="single" w:sz="4" w:space="0" w:color="auto"/>
              <w:right w:val="single" w:sz="4" w:space="0" w:color="auto"/>
            </w:tcBorders>
            <w:vAlign w:val="center"/>
          </w:tcPr>
          <w:p w14:paraId="5C97FDCF" w14:textId="77777777" w:rsidR="00F3508D" w:rsidRPr="0092762F" w:rsidRDefault="00F3508D" w:rsidP="0092762F">
            <w:pPr>
              <w:spacing w:before="60" w:after="60"/>
              <w:rPr>
                <w:rFonts w:ascii="Arial" w:hAnsi="Arial" w:cs="Arial"/>
                <w:b/>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DF0E6E8" w14:textId="2FFA1CF3" w:rsidR="00F3508D" w:rsidRPr="00017B2B" w:rsidRDefault="00B54924" w:rsidP="0092762F">
            <w:pPr>
              <w:spacing w:before="60" w:after="60"/>
              <w:rPr>
                <w:rFonts w:ascii="Arial" w:hAnsi="Arial" w:cs="Arial"/>
              </w:rPr>
            </w:pPr>
            <w:r>
              <w:rPr>
                <w:rFonts w:ascii="Arial" w:hAnsi="Arial" w:cs="Arial"/>
              </w:rPr>
              <w:t>Nov. 3</w:t>
            </w:r>
            <w:r w:rsidR="00176371">
              <w:rPr>
                <w:rFonts w:ascii="Arial" w:hAnsi="Arial" w:cs="Arial"/>
              </w:rPr>
              <w:t>, 2015</w:t>
            </w:r>
          </w:p>
        </w:tc>
      </w:tr>
    </w:tbl>
    <w:p w14:paraId="365969AE" w14:textId="77777777" w:rsidR="00F3508D" w:rsidRPr="009349D6" w:rsidRDefault="00F3508D" w:rsidP="00142B5D">
      <w:pPr>
        <w:jc w:val="both"/>
        <w:rPr>
          <w:rFonts w:ascii="Arial" w:hAnsi="Arial" w:cs="Arial"/>
        </w:rPr>
      </w:pPr>
    </w:p>
    <w:p w14:paraId="02F6FCC1" w14:textId="1287503E" w:rsidR="00205ECA" w:rsidRPr="00205ECA" w:rsidRDefault="00205ECA" w:rsidP="00205ECA">
      <w:pPr>
        <w:pBdr>
          <w:top w:val="single" w:sz="4" w:space="1" w:color="auto"/>
          <w:left w:val="single" w:sz="4" w:space="4" w:color="auto"/>
          <w:bottom w:val="single" w:sz="4" w:space="1" w:color="auto"/>
          <w:right w:val="single" w:sz="4" w:space="4" w:color="auto"/>
        </w:pBdr>
        <w:ind w:left="720" w:right="720"/>
        <w:jc w:val="both"/>
        <w:rPr>
          <w:rFonts w:ascii="Arial" w:hAnsi="Arial" w:cs="Arial"/>
          <w:b/>
          <w:i/>
        </w:rPr>
      </w:pPr>
      <w:r>
        <w:rPr>
          <w:rFonts w:ascii="Arial" w:hAnsi="Arial" w:cs="Arial"/>
          <w:b/>
          <w:i/>
        </w:rPr>
        <w:t>Proposed Substitute Ordinance 2015-0377.2 was reported out of committee with a Do Pass Consent recommendation after the original proposed ordinance was amended by Amendment 1.</w:t>
      </w:r>
      <w:bookmarkStart w:id="0" w:name="_GoBack"/>
      <w:bookmarkEnd w:id="0"/>
    </w:p>
    <w:p w14:paraId="584B3ACC" w14:textId="77777777" w:rsidR="00205ECA" w:rsidRDefault="00205ECA" w:rsidP="00142B5D">
      <w:pPr>
        <w:jc w:val="both"/>
        <w:rPr>
          <w:rFonts w:ascii="Arial" w:hAnsi="Arial" w:cs="Arial"/>
          <w:b/>
          <w:u w:val="single"/>
        </w:rPr>
      </w:pPr>
    </w:p>
    <w:p w14:paraId="1F380756" w14:textId="77777777" w:rsidR="006E2802" w:rsidRPr="009349D6" w:rsidRDefault="006E2802" w:rsidP="00142B5D">
      <w:pPr>
        <w:jc w:val="both"/>
        <w:rPr>
          <w:rFonts w:ascii="Arial" w:hAnsi="Arial" w:cs="Arial"/>
          <w:b/>
          <w:u w:val="single"/>
        </w:rPr>
      </w:pPr>
      <w:r w:rsidRPr="009349D6">
        <w:rPr>
          <w:rFonts w:ascii="Arial" w:hAnsi="Arial" w:cs="Arial"/>
          <w:b/>
          <w:u w:val="single"/>
        </w:rPr>
        <w:t>SUBJECT</w:t>
      </w:r>
    </w:p>
    <w:p w14:paraId="437E40E3" w14:textId="77777777" w:rsidR="006E2802" w:rsidRDefault="006E2802" w:rsidP="00142B5D">
      <w:pPr>
        <w:jc w:val="both"/>
        <w:rPr>
          <w:rFonts w:ascii="Arial" w:hAnsi="Arial" w:cs="Arial"/>
        </w:rPr>
      </w:pPr>
    </w:p>
    <w:p w14:paraId="5D8C2BB7" w14:textId="17EC2814" w:rsidR="000129BA" w:rsidRPr="004C05E9" w:rsidRDefault="00017B2B" w:rsidP="00142B5D">
      <w:pPr>
        <w:jc w:val="both"/>
        <w:rPr>
          <w:rFonts w:ascii="Arial" w:hAnsi="Arial" w:cs="Arial"/>
        </w:rPr>
      </w:pPr>
      <w:r>
        <w:rPr>
          <w:rFonts w:ascii="Arial" w:hAnsi="Arial" w:cs="Arial"/>
        </w:rPr>
        <w:t xml:space="preserve">Approval of a collective bargaining agreement </w:t>
      </w:r>
      <w:r w:rsidR="002765EA">
        <w:rPr>
          <w:rFonts w:ascii="Arial" w:hAnsi="Arial" w:cs="Arial"/>
        </w:rPr>
        <w:t xml:space="preserve">with </w:t>
      </w:r>
      <w:r w:rsidR="00655882">
        <w:rPr>
          <w:rFonts w:ascii="Arial" w:hAnsi="Arial" w:cs="Arial"/>
        </w:rPr>
        <w:t xml:space="preserve">the </w:t>
      </w:r>
      <w:r w:rsidR="00B54924">
        <w:rPr>
          <w:rFonts w:ascii="Arial" w:hAnsi="Arial" w:cs="Arial"/>
        </w:rPr>
        <w:t>Service Employees International Union, Local 925</w:t>
      </w:r>
      <w:r w:rsidR="003C3845">
        <w:rPr>
          <w:rFonts w:ascii="Arial" w:hAnsi="Arial" w:cs="Arial"/>
        </w:rPr>
        <w:t xml:space="preserve">, covering employees in the </w:t>
      </w:r>
      <w:r w:rsidR="00655882">
        <w:rPr>
          <w:rFonts w:ascii="Arial" w:hAnsi="Arial" w:cs="Arial"/>
        </w:rPr>
        <w:t>Department of Natural Resources and Parks (DNRP)</w:t>
      </w:r>
      <w:r>
        <w:rPr>
          <w:rFonts w:ascii="Arial" w:hAnsi="Arial" w:cs="Arial"/>
        </w:rPr>
        <w:t>.</w:t>
      </w:r>
    </w:p>
    <w:p w14:paraId="6575F0DB" w14:textId="77777777" w:rsidR="006E2802" w:rsidRPr="009349D6" w:rsidRDefault="006E2802" w:rsidP="00142B5D">
      <w:pPr>
        <w:jc w:val="both"/>
        <w:rPr>
          <w:rFonts w:ascii="Arial" w:hAnsi="Arial" w:cs="Arial"/>
        </w:rPr>
      </w:pPr>
    </w:p>
    <w:p w14:paraId="78A5F88B" w14:textId="77777777" w:rsidR="006E2802" w:rsidRPr="00655882" w:rsidRDefault="006E2802" w:rsidP="00142B5D">
      <w:pPr>
        <w:jc w:val="both"/>
        <w:rPr>
          <w:rFonts w:ascii="Arial" w:hAnsi="Arial" w:cs="Arial"/>
          <w:b/>
          <w:u w:val="single"/>
        </w:rPr>
      </w:pPr>
      <w:r w:rsidRPr="00655882">
        <w:rPr>
          <w:rFonts w:ascii="Arial" w:hAnsi="Arial" w:cs="Arial"/>
          <w:b/>
          <w:u w:val="single"/>
        </w:rPr>
        <w:t>SUMMARY</w:t>
      </w:r>
    </w:p>
    <w:p w14:paraId="123CD76C" w14:textId="77777777" w:rsidR="00EB1D6D" w:rsidRPr="00655882" w:rsidRDefault="00EB1D6D" w:rsidP="00142B5D">
      <w:pPr>
        <w:jc w:val="both"/>
        <w:rPr>
          <w:rFonts w:ascii="Arial" w:hAnsi="Arial" w:cs="Arial"/>
          <w:highlight w:val="yellow"/>
        </w:rPr>
      </w:pPr>
    </w:p>
    <w:p w14:paraId="0C2BC5DF" w14:textId="6A3ECDE4" w:rsidR="00C93B88" w:rsidRDefault="00017B2B" w:rsidP="00CE47EF">
      <w:pPr>
        <w:spacing w:after="240"/>
        <w:jc w:val="both"/>
        <w:rPr>
          <w:rFonts w:ascii="Arial" w:hAnsi="Arial" w:cs="Arial"/>
        </w:rPr>
      </w:pPr>
      <w:r w:rsidRPr="00655882">
        <w:rPr>
          <w:rFonts w:ascii="Arial" w:hAnsi="Arial" w:cs="Arial"/>
        </w:rPr>
        <w:t>Proposed Ordinance 2015-0</w:t>
      </w:r>
      <w:r w:rsidR="000B577E" w:rsidRPr="00655882">
        <w:rPr>
          <w:rFonts w:ascii="Arial" w:hAnsi="Arial" w:cs="Arial"/>
        </w:rPr>
        <w:t>3</w:t>
      </w:r>
      <w:r w:rsidR="00B54924">
        <w:rPr>
          <w:rFonts w:ascii="Arial" w:hAnsi="Arial" w:cs="Arial"/>
        </w:rPr>
        <w:t>77</w:t>
      </w:r>
      <w:r w:rsidR="00A22C93" w:rsidRPr="00655882">
        <w:rPr>
          <w:rFonts w:ascii="Arial" w:hAnsi="Arial" w:cs="Arial"/>
        </w:rPr>
        <w:t xml:space="preserve"> </w:t>
      </w:r>
      <w:r w:rsidR="00CE47EF" w:rsidRPr="00655882">
        <w:rPr>
          <w:rFonts w:ascii="Arial" w:hAnsi="Arial" w:cs="Arial"/>
        </w:rPr>
        <w:t xml:space="preserve">(Att. 1) </w:t>
      </w:r>
      <w:r w:rsidR="00A22C93" w:rsidRPr="00655882">
        <w:rPr>
          <w:rFonts w:ascii="Arial" w:hAnsi="Arial" w:cs="Arial"/>
        </w:rPr>
        <w:t xml:space="preserve">would approve a collective bargaining </w:t>
      </w:r>
      <w:r w:rsidR="002765EA" w:rsidRPr="00655882">
        <w:rPr>
          <w:rFonts w:ascii="Arial" w:hAnsi="Arial" w:cs="Arial"/>
        </w:rPr>
        <w:t xml:space="preserve">(CBA) </w:t>
      </w:r>
      <w:r w:rsidR="00A53C9D" w:rsidRPr="00655882">
        <w:rPr>
          <w:rFonts w:ascii="Arial" w:hAnsi="Arial" w:cs="Arial"/>
        </w:rPr>
        <w:t xml:space="preserve">(Att. 1-A) </w:t>
      </w:r>
      <w:r w:rsidR="00A22C93" w:rsidRPr="00655882">
        <w:rPr>
          <w:rFonts w:ascii="Arial" w:hAnsi="Arial" w:cs="Arial"/>
        </w:rPr>
        <w:t xml:space="preserve">with </w:t>
      </w:r>
      <w:r w:rsidR="00B54924">
        <w:rPr>
          <w:rFonts w:ascii="Arial" w:hAnsi="Arial" w:cs="Arial"/>
        </w:rPr>
        <w:t xml:space="preserve">the Service Employees International Union, Local 925, </w:t>
      </w:r>
      <w:r w:rsidR="00A22C93" w:rsidRPr="00655882">
        <w:rPr>
          <w:rFonts w:ascii="Arial" w:hAnsi="Arial" w:cs="Arial"/>
        </w:rPr>
        <w:t xml:space="preserve">covering </w:t>
      </w:r>
      <w:r w:rsidR="00176371" w:rsidRPr="00655882">
        <w:rPr>
          <w:rFonts w:ascii="Arial" w:hAnsi="Arial" w:cs="Arial"/>
        </w:rPr>
        <w:t xml:space="preserve">about </w:t>
      </w:r>
      <w:r w:rsidR="009A0383">
        <w:rPr>
          <w:rFonts w:ascii="Arial" w:hAnsi="Arial" w:cs="Arial"/>
        </w:rPr>
        <w:t>17</w:t>
      </w:r>
      <w:r w:rsidR="00B54924">
        <w:rPr>
          <w:rFonts w:ascii="Arial" w:hAnsi="Arial" w:cs="Arial"/>
        </w:rPr>
        <w:t>5</w:t>
      </w:r>
      <w:r w:rsidR="002255F9">
        <w:rPr>
          <w:rFonts w:ascii="Arial" w:hAnsi="Arial" w:cs="Arial"/>
        </w:rPr>
        <w:t xml:space="preserve"> employees</w:t>
      </w:r>
      <w:r w:rsidR="00655882" w:rsidRPr="00655882">
        <w:rPr>
          <w:rFonts w:ascii="Arial" w:hAnsi="Arial" w:cs="Arial"/>
        </w:rPr>
        <w:t xml:space="preserve"> in the </w:t>
      </w:r>
      <w:r w:rsidR="00B54924">
        <w:rPr>
          <w:rFonts w:ascii="Arial" w:hAnsi="Arial" w:cs="Arial"/>
        </w:rPr>
        <w:t xml:space="preserve">Parks and Recreation </w:t>
      </w:r>
      <w:r w:rsidR="00655882" w:rsidRPr="00655882">
        <w:rPr>
          <w:rFonts w:ascii="Arial" w:hAnsi="Arial" w:cs="Arial"/>
        </w:rPr>
        <w:t xml:space="preserve">Division </w:t>
      </w:r>
      <w:r w:rsidR="00151C2E">
        <w:rPr>
          <w:rFonts w:ascii="Arial" w:hAnsi="Arial" w:cs="Arial"/>
        </w:rPr>
        <w:t xml:space="preserve">(Parks) </w:t>
      </w:r>
      <w:r w:rsidR="00655882" w:rsidRPr="00655882">
        <w:rPr>
          <w:rFonts w:ascii="Arial" w:hAnsi="Arial" w:cs="Arial"/>
        </w:rPr>
        <w:t>of DNRP</w:t>
      </w:r>
      <w:r w:rsidR="00176371" w:rsidRPr="00655882">
        <w:rPr>
          <w:rFonts w:ascii="Arial" w:hAnsi="Arial" w:cs="Arial"/>
        </w:rPr>
        <w:t xml:space="preserve">. </w:t>
      </w:r>
      <w:r w:rsidR="00151C2E">
        <w:rPr>
          <w:rFonts w:ascii="Arial" w:hAnsi="Arial" w:cs="Arial"/>
        </w:rPr>
        <w:t xml:space="preserve">They maintain and operate Parks facilities, working with volunteers, community groups, and nonprofit organizations. Their </w:t>
      </w:r>
      <w:r w:rsidR="00B54924">
        <w:rPr>
          <w:rFonts w:ascii="Arial" w:hAnsi="Arial" w:cs="Arial"/>
        </w:rPr>
        <w:t>classifications</w:t>
      </w:r>
      <w:r w:rsidR="00151C2E">
        <w:rPr>
          <w:rFonts w:ascii="Arial" w:hAnsi="Arial" w:cs="Arial"/>
        </w:rPr>
        <w:t xml:space="preserve"> </w:t>
      </w:r>
      <w:r w:rsidR="00633432">
        <w:rPr>
          <w:rFonts w:ascii="Arial" w:hAnsi="Arial" w:cs="Arial"/>
        </w:rPr>
        <w:t xml:space="preserve">are listed in CBA Addendum </w:t>
      </w:r>
      <w:proofErr w:type="gramStart"/>
      <w:r w:rsidR="00633432">
        <w:rPr>
          <w:rFonts w:ascii="Arial" w:hAnsi="Arial" w:cs="Arial"/>
        </w:rPr>
        <w:t>A</w:t>
      </w:r>
      <w:proofErr w:type="gramEnd"/>
      <w:r w:rsidR="00633432">
        <w:rPr>
          <w:rFonts w:ascii="Arial" w:hAnsi="Arial" w:cs="Arial"/>
        </w:rPr>
        <w:t xml:space="preserve"> (Att. 1-A, p. 52).</w:t>
      </w:r>
    </w:p>
    <w:p w14:paraId="2954D074" w14:textId="465F9060" w:rsidR="00623632" w:rsidRPr="00655882" w:rsidRDefault="00623632" w:rsidP="00C93B88">
      <w:pPr>
        <w:spacing w:before="240" w:after="240"/>
        <w:jc w:val="both"/>
        <w:rPr>
          <w:rFonts w:ascii="Arial" w:hAnsi="Arial" w:cs="Arial"/>
        </w:rPr>
      </w:pPr>
      <w:r w:rsidRPr="00655882">
        <w:rPr>
          <w:rFonts w:ascii="Arial" w:hAnsi="Arial" w:cs="Arial"/>
          <w:bCs/>
          <w:szCs w:val="22"/>
        </w:rPr>
        <w:t>The new CBA covers the</w:t>
      </w:r>
      <w:r w:rsidR="00151C2E">
        <w:rPr>
          <w:rFonts w:ascii="Arial" w:hAnsi="Arial" w:cs="Arial"/>
          <w:bCs/>
          <w:szCs w:val="22"/>
        </w:rPr>
        <w:t xml:space="preserve"> six-year</w:t>
      </w:r>
      <w:r w:rsidRPr="00655882">
        <w:rPr>
          <w:rFonts w:ascii="Arial" w:hAnsi="Arial" w:cs="Arial"/>
          <w:bCs/>
          <w:szCs w:val="22"/>
        </w:rPr>
        <w:t xml:space="preserve"> </w:t>
      </w:r>
      <w:r w:rsidR="0027743E" w:rsidRPr="00655882">
        <w:rPr>
          <w:rFonts w:ascii="Arial" w:hAnsi="Arial" w:cs="Arial"/>
          <w:bCs/>
          <w:szCs w:val="22"/>
        </w:rPr>
        <w:t xml:space="preserve">period from </w:t>
      </w:r>
      <w:r w:rsidR="00151C2E">
        <w:rPr>
          <w:rFonts w:ascii="Arial" w:hAnsi="Arial" w:cs="Arial"/>
          <w:bCs/>
          <w:szCs w:val="22"/>
        </w:rPr>
        <w:t>January</w:t>
      </w:r>
      <w:r w:rsidR="00F22B56" w:rsidRPr="00655882">
        <w:rPr>
          <w:rFonts w:ascii="Arial" w:hAnsi="Arial" w:cs="Arial"/>
          <w:bCs/>
          <w:szCs w:val="22"/>
        </w:rPr>
        <w:t xml:space="preserve"> 1, 201</w:t>
      </w:r>
      <w:r w:rsidR="002255F9">
        <w:rPr>
          <w:rFonts w:ascii="Arial" w:hAnsi="Arial" w:cs="Arial"/>
          <w:bCs/>
          <w:szCs w:val="22"/>
        </w:rPr>
        <w:t>4</w:t>
      </w:r>
      <w:r w:rsidR="0027743E" w:rsidRPr="00655882">
        <w:rPr>
          <w:rFonts w:ascii="Arial" w:hAnsi="Arial" w:cs="Arial"/>
          <w:bCs/>
          <w:szCs w:val="22"/>
        </w:rPr>
        <w:t xml:space="preserve">, through </w:t>
      </w:r>
      <w:r w:rsidR="00F22B56" w:rsidRPr="00655882">
        <w:rPr>
          <w:rFonts w:ascii="Arial" w:hAnsi="Arial" w:cs="Arial"/>
          <w:bCs/>
          <w:szCs w:val="22"/>
        </w:rPr>
        <w:t xml:space="preserve">December </w:t>
      </w:r>
      <w:r w:rsidR="0027743E" w:rsidRPr="00655882">
        <w:rPr>
          <w:rFonts w:ascii="Arial" w:hAnsi="Arial" w:cs="Arial"/>
          <w:bCs/>
          <w:szCs w:val="22"/>
        </w:rPr>
        <w:t>31, 201</w:t>
      </w:r>
      <w:r w:rsidR="00151C2E">
        <w:rPr>
          <w:rFonts w:ascii="Arial" w:hAnsi="Arial" w:cs="Arial"/>
          <w:bCs/>
          <w:szCs w:val="22"/>
        </w:rPr>
        <w:t>9</w:t>
      </w:r>
      <w:r w:rsidRPr="00655882">
        <w:rPr>
          <w:rFonts w:ascii="Arial" w:hAnsi="Arial" w:cs="Arial"/>
          <w:bCs/>
          <w:szCs w:val="22"/>
        </w:rPr>
        <w:t>.</w:t>
      </w:r>
      <w:r w:rsidR="006671CD">
        <w:rPr>
          <w:rFonts w:ascii="Arial" w:hAnsi="Arial" w:cs="Arial"/>
          <w:bCs/>
          <w:szCs w:val="22"/>
        </w:rPr>
        <w:t xml:space="preserve"> This term matches the term of the Parks Operating Levy, which supports the work of these employees.</w:t>
      </w:r>
    </w:p>
    <w:p w14:paraId="35CDC6BC" w14:textId="77777777" w:rsidR="00623632" w:rsidRPr="00655882" w:rsidRDefault="00623632" w:rsidP="00623632">
      <w:pPr>
        <w:jc w:val="both"/>
        <w:rPr>
          <w:rFonts w:ascii="Arial" w:hAnsi="Arial" w:cs="Arial"/>
          <w:b/>
          <w:u w:val="single"/>
        </w:rPr>
      </w:pPr>
      <w:r w:rsidRPr="00655882">
        <w:rPr>
          <w:rFonts w:ascii="Arial" w:hAnsi="Arial" w:cs="Arial"/>
          <w:b/>
          <w:u w:val="single"/>
        </w:rPr>
        <w:t>BACKGROUND</w:t>
      </w:r>
    </w:p>
    <w:p w14:paraId="324DF6E9" w14:textId="77777777" w:rsidR="00623632" w:rsidRPr="00655882" w:rsidRDefault="00623632" w:rsidP="00623632">
      <w:pPr>
        <w:jc w:val="both"/>
        <w:rPr>
          <w:rFonts w:ascii="Arial" w:hAnsi="Arial" w:cs="Arial"/>
        </w:rPr>
      </w:pPr>
    </w:p>
    <w:p w14:paraId="74060F99" w14:textId="2ED23787" w:rsidR="00623632" w:rsidRPr="00655882" w:rsidRDefault="00623632" w:rsidP="001935F7">
      <w:pPr>
        <w:jc w:val="both"/>
        <w:rPr>
          <w:rFonts w:ascii="Arial" w:hAnsi="Arial" w:cs="Arial"/>
        </w:rPr>
      </w:pPr>
      <w:r w:rsidRPr="00655882">
        <w:rPr>
          <w:rFonts w:ascii="Arial" w:hAnsi="Arial" w:cs="Arial"/>
        </w:rPr>
        <w:t>This bargaining unit’s previous CBA expired at the end of 201</w:t>
      </w:r>
      <w:r w:rsidR="00151C2E">
        <w:rPr>
          <w:rFonts w:ascii="Arial" w:hAnsi="Arial" w:cs="Arial"/>
        </w:rPr>
        <w:t>3</w:t>
      </w:r>
      <w:r w:rsidRPr="00655882">
        <w:rPr>
          <w:rFonts w:ascii="Arial" w:hAnsi="Arial" w:cs="Arial"/>
        </w:rPr>
        <w:t xml:space="preserve">, but its terms continued in effect pursuant to RCW </w:t>
      </w:r>
      <w:r w:rsidRPr="00655882">
        <w:rPr>
          <w:rFonts w:ascii="Arial" w:hAnsi="Arial" w:cs="Arial"/>
          <w:bCs/>
        </w:rPr>
        <w:t>41.56.123(1),</w:t>
      </w:r>
      <w:r w:rsidRPr="00655882">
        <w:rPr>
          <w:rStyle w:val="FootnoteReference"/>
          <w:rFonts w:ascii="Arial" w:hAnsi="Arial" w:cs="Arial"/>
          <w:bCs/>
        </w:rPr>
        <w:footnoteReference w:id="1"/>
      </w:r>
      <w:r w:rsidRPr="00655882">
        <w:rPr>
          <w:rFonts w:ascii="Arial" w:hAnsi="Arial" w:cs="Arial"/>
          <w:bCs/>
        </w:rPr>
        <w:t xml:space="preserve"> except to the extent that they were modified by </w:t>
      </w:r>
      <w:r w:rsidR="00E8736F" w:rsidRPr="00655882">
        <w:rPr>
          <w:rFonts w:ascii="Arial" w:hAnsi="Arial" w:cs="Arial"/>
          <w:bCs/>
        </w:rPr>
        <w:t>an</w:t>
      </w:r>
      <w:r w:rsidRPr="00655882">
        <w:rPr>
          <w:rFonts w:ascii="Arial" w:hAnsi="Arial" w:cs="Arial"/>
          <w:bCs/>
        </w:rPr>
        <w:t xml:space="preserve"> MOA between the County and the King County Coalition of Unions that the Council approved on November 10, 2014, by Ordinance 17916. The </w:t>
      </w:r>
      <w:r w:rsidR="00942EF9" w:rsidRPr="00655882">
        <w:rPr>
          <w:rFonts w:ascii="Arial" w:hAnsi="Arial" w:cs="Arial"/>
          <w:bCs/>
        </w:rPr>
        <w:t xml:space="preserve">Coalition </w:t>
      </w:r>
      <w:r w:rsidRPr="00655882">
        <w:rPr>
          <w:rFonts w:ascii="Arial" w:hAnsi="Arial" w:cs="Arial"/>
          <w:bCs/>
        </w:rPr>
        <w:t xml:space="preserve">MOA provided for </w:t>
      </w:r>
      <w:r w:rsidRPr="00655882">
        <w:rPr>
          <w:rFonts w:ascii="Arial" w:hAnsi="Arial" w:cs="Arial"/>
        </w:rPr>
        <w:t>cost-of-living adjustments (COLAs) of 2.0 percent for 2015 and 2.25 percent for 2016 and a $500-per-employee lump sum payment for 2014.</w:t>
      </w:r>
    </w:p>
    <w:p w14:paraId="27916150" w14:textId="77777777" w:rsidR="00623632" w:rsidRPr="00655882" w:rsidRDefault="00623632" w:rsidP="00623632">
      <w:pPr>
        <w:rPr>
          <w:rFonts w:ascii="Arial" w:hAnsi="Arial" w:cs="Arial"/>
          <w:highlight w:val="yellow"/>
        </w:rPr>
      </w:pPr>
    </w:p>
    <w:p w14:paraId="0F4EEFCA" w14:textId="77777777" w:rsidR="00623632" w:rsidRPr="00845C40" w:rsidRDefault="00623632" w:rsidP="00623632">
      <w:pPr>
        <w:keepNext/>
        <w:rPr>
          <w:rFonts w:ascii="Arial" w:hAnsi="Arial" w:cs="Arial"/>
          <w:b/>
          <w:u w:val="single"/>
        </w:rPr>
      </w:pPr>
      <w:r w:rsidRPr="00845C40">
        <w:rPr>
          <w:rFonts w:ascii="Arial" w:hAnsi="Arial" w:cs="Arial"/>
          <w:b/>
          <w:u w:val="single"/>
        </w:rPr>
        <w:lastRenderedPageBreak/>
        <w:t>ANALYSIS</w:t>
      </w:r>
    </w:p>
    <w:p w14:paraId="6251D4EC" w14:textId="77777777" w:rsidR="00623632" w:rsidRPr="00845C40" w:rsidRDefault="00623632" w:rsidP="00623632">
      <w:pPr>
        <w:keepNext/>
        <w:rPr>
          <w:rFonts w:ascii="Arial" w:hAnsi="Arial" w:cs="Arial"/>
        </w:rPr>
      </w:pPr>
    </w:p>
    <w:p w14:paraId="786258F1" w14:textId="11A33872" w:rsidR="00623632" w:rsidRDefault="00151C2E" w:rsidP="001935F7">
      <w:pPr>
        <w:spacing w:after="240"/>
        <w:jc w:val="both"/>
        <w:rPr>
          <w:rFonts w:ascii="Arial" w:hAnsi="Arial" w:cs="Arial"/>
        </w:rPr>
      </w:pPr>
      <w:r>
        <w:rPr>
          <w:rFonts w:ascii="Arial" w:hAnsi="Arial" w:cs="Arial"/>
        </w:rPr>
        <w:t>The most notable changes in the new CBA are:</w:t>
      </w:r>
    </w:p>
    <w:p w14:paraId="3DB9211D" w14:textId="1C6E1856" w:rsidR="00151C2E" w:rsidRPr="0095599C" w:rsidRDefault="00B06654" w:rsidP="00C85BFC">
      <w:pPr>
        <w:pStyle w:val="ListParagraph"/>
        <w:keepNext/>
        <w:numPr>
          <w:ilvl w:val="0"/>
          <w:numId w:val="21"/>
        </w:numPr>
        <w:spacing w:after="240"/>
        <w:jc w:val="both"/>
        <w:rPr>
          <w:rFonts w:ascii="Arial" w:hAnsi="Arial" w:cs="Arial"/>
          <w:b/>
          <w:sz w:val="24"/>
          <w:szCs w:val="24"/>
        </w:rPr>
      </w:pPr>
      <w:r w:rsidRPr="0095599C">
        <w:rPr>
          <w:rFonts w:ascii="Arial" w:hAnsi="Arial" w:cs="Arial"/>
          <w:b/>
          <w:sz w:val="24"/>
          <w:szCs w:val="24"/>
        </w:rPr>
        <w:t>COLAs</w:t>
      </w:r>
    </w:p>
    <w:p w14:paraId="270FD4EF" w14:textId="6CE374BD" w:rsidR="00B06654" w:rsidRPr="0095599C" w:rsidRDefault="006671CD" w:rsidP="00B06654">
      <w:pPr>
        <w:spacing w:after="240"/>
        <w:jc w:val="both"/>
        <w:rPr>
          <w:rFonts w:ascii="Arial" w:hAnsi="Arial" w:cs="Arial"/>
        </w:rPr>
      </w:pPr>
      <w:r w:rsidRPr="0095599C">
        <w:rPr>
          <w:rFonts w:ascii="Arial" w:hAnsi="Arial" w:cs="Arial"/>
        </w:rPr>
        <w:t>Section 9.3 of t</w:t>
      </w:r>
      <w:r w:rsidR="00B06654" w:rsidRPr="0095599C">
        <w:rPr>
          <w:rFonts w:ascii="Arial" w:hAnsi="Arial" w:cs="Arial"/>
        </w:rPr>
        <w:t xml:space="preserve">he new CBA </w:t>
      </w:r>
      <w:r w:rsidRPr="0095599C">
        <w:rPr>
          <w:rFonts w:ascii="Arial" w:hAnsi="Arial" w:cs="Arial"/>
        </w:rPr>
        <w:t xml:space="preserve">(Att. 1-A, p. </w:t>
      </w:r>
      <w:r w:rsidR="00834E14">
        <w:rPr>
          <w:rFonts w:ascii="Arial" w:hAnsi="Arial" w:cs="Arial"/>
        </w:rPr>
        <w:t>22</w:t>
      </w:r>
      <w:r w:rsidRPr="0095599C">
        <w:rPr>
          <w:rFonts w:ascii="Arial" w:hAnsi="Arial" w:cs="Arial"/>
        </w:rPr>
        <w:t xml:space="preserve">) </w:t>
      </w:r>
      <w:r w:rsidR="00B06654" w:rsidRPr="0095599C">
        <w:rPr>
          <w:rFonts w:ascii="Arial" w:hAnsi="Arial" w:cs="Arial"/>
        </w:rPr>
        <w:t>includes the changes made by the 2014 Coalition MOA that the Council approved in November 2014, as described above (2.00% COLA for 2015; 2.25% for 2016)</w:t>
      </w:r>
      <w:r w:rsidR="000F3425" w:rsidRPr="0095599C">
        <w:rPr>
          <w:rFonts w:ascii="Arial" w:hAnsi="Arial" w:cs="Arial"/>
        </w:rPr>
        <w:t>.</w:t>
      </w:r>
    </w:p>
    <w:p w14:paraId="7497C8BE" w14:textId="1FB9866C" w:rsidR="00B06654" w:rsidRPr="0095599C" w:rsidRDefault="00B06654" w:rsidP="00B06654">
      <w:pPr>
        <w:pStyle w:val="ListParagraph"/>
        <w:numPr>
          <w:ilvl w:val="0"/>
          <w:numId w:val="21"/>
        </w:numPr>
        <w:spacing w:after="240"/>
        <w:jc w:val="both"/>
        <w:rPr>
          <w:rFonts w:ascii="Arial" w:hAnsi="Arial" w:cs="Arial"/>
          <w:b/>
          <w:sz w:val="24"/>
          <w:szCs w:val="24"/>
        </w:rPr>
      </w:pPr>
      <w:r w:rsidRPr="0095599C">
        <w:rPr>
          <w:rFonts w:ascii="Arial" w:hAnsi="Arial" w:cs="Arial"/>
          <w:b/>
          <w:sz w:val="24"/>
          <w:szCs w:val="24"/>
        </w:rPr>
        <w:t>Hiring Preference</w:t>
      </w:r>
    </w:p>
    <w:p w14:paraId="5B328F8F" w14:textId="10916550" w:rsidR="006671CD" w:rsidRPr="0095599C" w:rsidRDefault="006671CD" w:rsidP="006671CD">
      <w:pPr>
        <w:spacing w:after="240"/>
        <w:jc w:val="both"/>
        <w:rPr>
          <w:rFonts w:ascii="Arial" w:hAnsi="Arial" w:cs="Arial"/>
        </w:rPr>
      </w:pPr>
      <w:r w:rsidRPr="0095599C">
        <w:rPr>
          <w:rFonts w:ascii="Arial" w:hAnsi="Arial" w:cs="Arial"/>
        </w:rPr>
        <w:t xml:space="preserve">CBA Section 2.5 (Att. 1-A, p. </w:t>
      </w:r>
      <w:r w:rsidR="00834E14">
        <w:rPr>
          <w:rFonts w:ascii="Arial" w:hAnsi="Arial" w:cs="Arial"/>
        </w:rPr>
        <w:t>4</w:t>
      </w:r>
      <w:r w:rsidRPr="0095599C">
        <w:rPr>
          <w:rFonts w:ascii="Arial" w:hAnsi="Arial" w:cs="Arial"/>
        </w:rPr>
        <w:t>) includes a new provision that seasonal employees who have worked 1,500 hours and demonstrated continuous satisfactory performance will receive “additional consideration when applying for a full time Parks Specialist II position,” including “an extra 5% of points” over the points awarded to the applicant by “subject matter experts as part of the application review.”</w:t>
      </w:r>
    </w:p>
    <w:p w14:paraId="15D44AA6" w14:textId="06DB6C5E" w:rsidR="00B06654" w:rsidRPr="0095599C" w:rsidRDefault="000F3425" w:rsidP="00B06654">
      <w:pPr>
        <w:pStyle w:val="ListParagraph"/>
        <w:numPr>
          <w:ilvl w:val="0"/>
          <w:numId w:val="21"/>
        </w:numPr>
        <w:spacing w:after="240"/>
        <w:jc w:val="both"/>
        <w:rPr>
          <w:rFonts w:ascii="Arial" w:hAnsi="Arial" w:cs="Arial"/>
          <w:b/>
          <w:sz w:val="24"/>
          <w:szCs w:val="24"/>
        </w:rPr>
      </w:pPr>
      <w:r w:rsidRPr="0095599C">
        <w:rPr>
          <w:rFonts w:ascii="Arial" w:hAnsi="Arial" w:cs="Arial"/>
          <w:b/>
          <w:sz w:val="24"/>
          <w:szCs w:val="24"/>
        </w:rPr>
        <w:t>Premium Pay</w:t>
      </w:r>
    </w:p>
    <w:p w14:paraId="131E56A5" w14:textId="157BDFAB" w:rsidR="000F3425" w:rsidRPr="0095599C" w:rsidRDefault="000F3425" w:rsidP="000F3425">
      <w:pPr>
        <w:pStyle w:val="ListParagraph"/>
        <w:numPr>
          <w:ilvl w:val="0"/>
          <w:numId w:val="22"/>
        </w:numPr>
        <w:spacing w:after="240"/>
        <w:jc w:val="both"/>
        <w:rPr>
          <w:rFonts w:ascii="Arial" w:hAnsi="Arial" w:cs="Arial"/>
          <w:b/>
          <w:sz w:val="24"/>
          <w:szCs w:val="24"/>
        </w:rPr>
      </w:pPr>
      <w:r w:rsidRPr="0095599C">
        <w:rPr>
          <w:rFonts w:ascii="Arial" w:hAnsi="Arial" w:cs="Arial"/>
          <w:b/>
          <w:sz w:val="24"/>
          <w:szCs w:val="24"/>
        </w:rPr>
        <w:t>Pesticide Application</w:t>
      </w:r>
    </w:p>
    <w:p w14:paraId="2B668FAA" w14:textId="67C58FCC" w:rsidR="000F3425" w:rsidRPr="0095599C" w:rsidRDefault="00E26666" w:rsidP="000F3425">
      <w:pPr>
        <w:spacing w:after="240"/>
        <w:jc w:val="both"/>
        <w:rPr>
          <w:rFonts w:ascii="Arial" w:hAnsi="Arial" w:cs="Arial"/>
        </w:rPr>
      </w:pPr>
      <w:r w:rsidRPr="0095599C">
        <w:rPr>
          <w:rFonts w:ascii="Arial" w:hAnsi="Arial" w:cs="Arial"/>
        </w:rPr>
        <w:t xml:space="preserve">New </w:t>
      </w:r>
      <w:r w:rsidR="000F3425" w:rsidRPr="0095599C">
        <w:rPr>
          <w:rFonts w:ascii="Arial" w:hAnsi="Arial" w:cs="Arial"/>
        </w:rPr>
        <w:t xml:space="preserve">Section 9.18 of the CBA (Att. 1-A, p. </w:t>
      </w:r>
      <w:r w:rsidR="00834E14">
        <w:rPr>
          <w:rFonts w:ascii="Arial" w:hAnsi="Arial" w:cs="Arial"/>
        </w:rPr>
        <w:t>25</w:t>
      </w:r>
      <w:r w:rsidR="000F3425" w:rsidRPr="0095599C">
        <w:rPr>
          <w:rFonts w:ascii="Arial" w:hAnsi="Arial" w:cs="Arial"/>
        </w:rPr>
        <w:t>) provides premium pay of $1.00 per hour for employees with approved pesticide certification who are directed by the Section Manager or designee to mix or apply pesticides that require the employee to wear Personal Protection Equipment. The premium pay is limited to the time spent performing those tasks.</w:t>
      </w:r>
      <w:r w:rsidR="00FB3C10" w:rsidRPr="0095599C">
        <w:rPr>
          <w:rFonts w:ascii="Arial" w:hAnsi="Arial" w:cs="Arial"/>
        </w:rPr>
        <w:t xml:space="preserve"> The estimated annual cost is $6,000.</w:t>
      </w:r>
    </w:p>
    <w:p w14:paraId="4164C091" w14:textId="0ABF1084" w:rsidR="000F3425" w:rsidRPr="0095599C" w:rsidRDefault="000F3425" w:rsidP="000F3425">
      <w:pPr>
        <w:pStyle w:val="ListParagraph"/>
        <w:numPr>
          <w:ilvl w:val="0"/>
          <w:numId w:val="22"/>
        </w:numPr>
        <w:spacing w:after="240"/>
        <w:jc w:val="both"/>
        <w:rPr>
          <w:rFonts w:ascii="Arial" w:hAnsi="Arial" w:cs="Arial"/>
          <w:b/>
          <w:sz w:val="24"/>
          <w:szCs w:val="24"/>
        </w:rPr>
      </w:pPr>
      <w:r w:rsidRPr="0095599C">
        <w:rPr>
          <w:rFonts w:ascii="Arial" w:hAnsi="Arial" w:cs="Arial"/>
          <w:b/>
          <w:sz w:val="24"/>
          <w:szCs w:val="24"/>
        </w:rPr>
        <w:t>Playground Specialist</w:t>
      </w:r>
    </w:p>
    <w:p w14:paraId="5EAA79C2" w14:textId="5DC78D6F" w:rsidR="00FB3C10" w:rsidRPr="0095599C" w:rsidRDefault="00E26666" w:rsidP="00FB3C10">
      <w:pPr>
        <w:spacing w:after="240"/>
        <w:jc w:val="both"/>
        <w:rPr>
          <w:rFonts w:ascii="Arial" w:hAnsi="Arial" w:cs="Arial"/>
        </w:rPr>
      </w:pPr>
      <w:r w:rsidRPr="0095599C">
        <w:rPr>
          <w:rFonts w:ascii="Arial" w:hAnsi="Arial" w:cs="Arial"/>
        </w:rPr>
        <w:t xml:space="preserve">New </w:t>
      </w:r>
      <w:r w:rsidR="000F3425" w:rsidRPr="0095599C">
        <w:rPr>
          <w:rFonts w:ascii="Arial" w:hAnsi="Arial" w:cs="Arial"/>
        </w:rPr>
        <w:t>Section 9.19</w:t>
      </w:r>
      <w:r w:rsidR="000F3425" w:rsidRPr="0095599C">
        <w:rPr>
          <w:rFonts w:ascii="Arial" w:hAnsi="Arial" w:cs="Arial"/>
          <w:b/>
        </w:rPr>
        <w:t xml:space="preserve"> </w:t>
      </w:r>
      <w:r w:rsidR="000F3425" w:rsidRPr="0095599C">
        <w:rPr>
          <w:rFonts w:ascii="Arial" w:hAnsi="Arial" w:cs="Arial"/>
        </w:rPr>
        <w:t xml:space="preserve">(Att. 1-A, p. </w:t>
      </w:r>
      <w:r w:rsidR="00834E14">
        <w:rPr>
          <w:rFonts w:ascii="Arial" w:hAnsi="Arial" w:cs="Arial"/>
        </w:rPr>
        <w:t>25</w:t>
      </w:r>
      <w:r w:rsidR="000F3425" w:rsidRPr="0095599C">
        <w:rPr>
          <w:rFonts w:ascii="Arial" w:hAnsi="Arial" w:cs="Arial"/>
        </w:rPr>
        <w:t>) provides</w:t>
      </w:r>
      <w:r w:rsidR="00FB3C10" w:rsidRPr="0095599C">
        <w:rPr>
          <w:rFonts w:ascii="Arial" w:hAnsi="Arial" w:cs="Arial"/>
        </w:rPr>
        <w:t>: “E</w:t>
      </w:r>
      <w:r w:rsidR="000F3425" w:rsidRPr="0095599C">
        <w:rPr>
          <w:rFonts w:ascii="Arial" w:hAnsi="Arial" w:cs="Arial"/>
        </w:rPr>
        <w:t xml:space="preserve">mployees </w:t>
      </w:r>
      <w:r w:rsidR="00FB3C10" w:rsidRPr="0095599C">
        <w:rPr>
          <w:rFonts w:ascii="Arial" w:hAnsi="Arial" w:cs="Arial"/>
        </w:rPr>
        <w:t xml:space="preserve">assigned to playground inspections who maintain the appropriate approved certification/licenses will be paid [in a higher classification] in accordance with King County Personnel Guidelines” (the </w:t>
      </w:r>
      <w:r w:rsidR="0095599C">
        <w:rPr>
          <w:rFonts w:ascii="Arial" w:hAnsi="Arial" w:cs="Arial"/>
        </w:rPr>
        <w:t>guideline</w:t>
      </w:r>
      <w:r w:rsidR="00FB3C10" w:rsidRPr="0095599C">
        <w:rPr>
          <w:rFonts w:ascii="Arial" w:hAnsi="Arial" w:cs="Arial"/>
        </w:rPr>
        <w:t xml:space="preserve"> governing Special Duty Pay). This applies only “for the hours actually worked conducting playground inspections.” The estimated annual cost is $450.</w:t>
      </w:r>
    </w:p>
    <w:p w14:paraId="7B143FDB" w14:textId="24CC3106" w:rsidR="00FB3C10" w:rsidRPr="0095599C" w:rsidRDefault="00FB3C10" w:rsidP="00FB3C10">
      <w:pPr>
        <w:pStyle w:val="ListParagraph"/>
        <w:numPr>
          <w:ilvl w:val="0"/>
          <w:numId w:val="22"/>
        </w:numPr>
        <w:spacing w:after="240"/>
        <w:jc w:val="both"/>
        <w:rPr>
          <w:rFonts w:ascii="Arial" w:hAnsi="Arial" w:cs="Arial"/>
          <w:b/>
          <w:sz w:val="24"/>
          <w:szCs w:val="24"/>
        </w:rPr>
      </w:pPr>
      <w:r w:rsidRPr="0095599C">
        <w:rPr>
          <w:rFonts w:ascii="Arial" w:hAnsi="Arial" w:cs="Arial"/>
          <w:b/>
          <w:sz w:val="24"/>
          <w:szCs w:val="24"/>
        </w:rPr>
        <w:t>Protective Clothing</w:t>
      </w:r>
    </w:p>
    <w:p w14:paraId="52E29BCF" w14:textId="23CFEFA7" w:rsidR="00FB3C10" w:rsidRPr="0095599C" w:rsidRDefault="00FB3C10" w:rsidP="00FB3C10">
      <w:pPr>
        <w:spacing w:after="240"/>
        <w:jc w:val="both"/>
        <w:rPr>
          <w:rFonts w:ascii="Arial" w:hAnsi="Arial" w:cs="Arial"/>
        </w:rPr>
      </w:pPr>
      <w:r w:rsidRPr="0095599C">
        <w:rPr>
          <w:rFonts w:ascii="Arial" w:hAnsi="Arial" w:cs="Arial"/>
        </w:rPr>
        <w:t xml:space="preserve">Section 12.5 (Att. 1-A, p. </w:t>
      </w:r>
      <w:r w:rsidR="00834E14">
        <w:rPr>
          <w:rFonts w:ascii="Arial" w:hAnsi="Arial" w:cs="Arial"/>
        </w:rPr>
        <w:t>32</w:t>
      </w:r>
      <w:r w:rsidRPr="0095599C">
        <w:rPr>
          <w:rFonts w:ascii="Arial" w:hAnsi="Arial" w:cs="Arial"/>
        </w:rPr>
        <w:t xml:space="preserve">) provides for reimbursement </w:t>
      </w:r>
      <w:r w:rsidR="000944EA" w:rsidRPr="0095599C">
        <w:rPr>
          <w:rFonts w:ascii="Arial" w:hAnsi="Arial" w:cs="Arial"/>
        </w:rPr>
        <w:t>of up to $125 per calendar year to purchase safety footwear</w:t>
      </w:r>
      <w:r w:rsidR="00E26666" w:rsidRPr="0095599C">
        <w:rPr>
          <w:rFonts w:ascii="Arial" w:hAnsi="Arial" w:cs="Arial"/>
        </w:rPr>
        <w:t xml:space="preserve"> for those employees who are required to wear it. The estimated annual cost is $12,125.</w:t>
      </w:r>
    </w:p>
    <w:p w14:paraId="16494E46" w14:textId="0C8B4FC8" w:rsidR="00E26666" w:rsidRPr="0095599C" w:rsidRDefault="00E26666" w:rsidP="00E26666">
      <w:pPr>
        <w:pStyle w:val="ListParagraph"/>
        <w:numPr>
          <w:ilvl w:val="0"/>
          <w:numId w:val="21"/>
        </w:numPr>
        <w:spacing w:after="240"/>
        <w:jc w:val="both"/>
        <w:rPr>
          <w:rFonts w:ascii="Arial" w:hAnsi="Arial" w:cs="Arial"/>
          <w:b/>
          <w:sz w:val="24"/>
          <w:szCs w:val="24"/>
        </w:rPr>
      </w:pPr>
      <w:r w:rsidRPr="0095599C">
        <w:rPr>
          <w:rFonts w:ascii="Arial" w:hAnsi="Arial" w:cs="Arial"/>
          <w:b/>
          <w:sz w:val="24"/>
          <w:szCs w:val="24"/>
        </w:rPr>
        <w:t>Supported Employment</w:t>
      </w:r>
    </w:p>
    <w:p w14:paraId="1778B382" w14:textId="7B2990AA" w:rsidR="00E26666" w:rsidRPr="0095599C" w:rsidRDefault="00E26666" w:rsidP="00E26666">
      <w:pPr>
        <w:spacing w:after="240"/>
        <w:jc w:val="both"/>
        <w:rPr>
          <w:rFonts w:ascii="Arial" w:hAnsi="Arial" w:cs="Arial"/>
        </w:rPr>
      </w:pPr>
      <w:r w:rsidRPr="0095599C">
        <w:rPr>
          <w:rFonts w:ascii="Arial" w:hAnsi="Arial" w:cs="Arial"/>
        </w:rPr>
        <w:t xml:space="preserve">New section 14.13 </w:t>
      </w:r>
      <w:r w:rsidR="00834E14">
        <w:rPr>
          <w:rFonts w:ascii="Arial" w:hAnsi="Arial" w:cs="Arial"/>
        </w:rPr>
        <w:t xml:space="preserve">(Att. 1-A, p. 39) </w:t>
      </w:r>
      <w:r w:rsidRPr="0095599C">
        <w:rPr>
          <w:rFonts w:ascii="Arial" w:hAnsi="Arial" w:cs="Arial"/>
        </w:rPr>
        <w:t>provides that employees in the Supported Employment Program cannot bump or be bumped under the regular reduction-in-force provisions of the CBA. Instead, issues concerning any layoffs in the Supported Employment Program are to be resolved in the Labor Management Committee.</w:t>
      </w:r>
    </w:p>
    <w:p w14:paraId="41C1F9BC" w14:textId="089B004B" w:rsidR="00E26666" w:rsidRPr="0095599C" w:rsidRDefault="00B64146" w:rsidP="0095599C">
      <w:pPr>
        <w:pStyle w:val="ListParagraph"/>
        <w:keepNext/>
        <w:numPr>
          <w:ilvl w:val="0"/>
          <w:numId w:val="21"/>
        </w:numPr>
        <w:spacing w:after="240"/>
        <w:jc w:val="both"/>
        <w:rPr>
          <w:rFonts w:ascii="Arial" w:hAnsi="Arial" w:cs="Arial"/>
          <w:b/>
          <w:sz w:val="24"/>
          <w:szCs w:val="24"/>
        </w:rPr>
      </w:pPr>
      <w:r w:rsidRPr="0095599C">
        <w:rPr>
          <w:rFonts w:ascii="Arial" w:hAnsi="Arial" w:cs="Arial"/>
          <w:b/>
          <w:sz w:val="24"/>
          <w:szCs w:val="24"/>
        </w:rPr>
        <w:lastRenderedPageBreak/>
        <w:t>Addition of Classifications</w:t>
      </w:r>
    </w:p>
    <w:p w14:paraId="35D46D74" w14:textId="1F349B4A" w:rsidR="00E26666" w:rsidRPr="0095599C" w:rsidRDefault="00B64146" w:rsidP="00FB3C10">
      <w:pPr>
        <w:spacing w:after="240"/>
        <w:jc w:val="both"/>
        <w:rPr>
          <w:rFonts w:ascii="Arial" w:hAnsi="Arial" w:cs="Arial"/>
        </w:rPr>
      </w:pPr>
      <w:r w:rsidRPr="0095599C">
        <w:rPr>
          <w:rFonts w:ascii="Arial" w:hAnsi="Arial" w:cs="Arial"/>
        </w:rPr>
        <w:t xml:space="preserve">Addendum A to the new CBA (Att. 1-A, p. </w:t>
      </w:r>
      <w:r w:rsidR="00834E14">
        <w:rPr>
          <w:rFonts w:ascii="Arial" w:hAnsi="Arial" w:cs="Arial"/>
        </w:rPr>
        <w:t>52</w:t>
      </w:r>
      <w:r w:rsidRPr="0095599C">
        <w:rPr>
          <w:rFonts w:ascii="Arial" w:hAnsi="Arial" w:cs="Arial"/>
        </w:rPr>
        <w:t>) reflects the addition of five new classifications to the bargaining unit:</w:t>
      </w:r>
    </w:p>
    <w:p w14:paraId="5084A724" w14:textId="303C3618" w:rsidR="00B64146" w:rsidRPr="0095599C" w:rsidRDefault="00B64146" w:rsidP="00B64146">
      <w:pPr>
        <w:pStyle w:val="ListParagraph"/>
        <w:numPr>
          <w:ilvl w:val="0"/>
          <w:numId w:val="23"/>
        </w:numPr>
        <w:spacing w:after="240"/>
        <w:contextualSpacing/>
        <w:jc w:val="both"/>
        <w:rPr>
          <w:rFonts w:ascii="Arial" w:hAnsi="Arial" w:cs="Arial"/>
          <w:sz w:val="24"/>
          <w:szCs w:val="24"/>
        </w:rPr>
      </w:pPr>
      <w:r w:rsidRPr="0095599C">
        <w:rPr>
          <w:rFonts w:ascii="Arial" w:hAnsi="Arial" w:cs="Arial"/>
          <w:sz w:val="24"/>
          <w:szCs w:val="24"/>
        </w:rPr>
        <w:t>Custodian – Floor Care</w:t>
      </w:r>
    </w:p>
    <w:p w14:paraId="380EF0E4" w14:textId="7C1ACECA" w:rsidR="00B64146" w:rsidRPr="0095599C" w:rsidRDefault="00B64146" w:rsidP="00B64146">
      <w:pPr>
        <w:pStyle w:val="ListParagraph"/>
        <w:numPr>
          <w:ilvl w:val="0"/>
          <w:numId w:val="23"/>
        </w:numPr>
        <w:spacing w:after="240"/>
        <w:contextualSpacing/>
        <w:jc w:val="both"/>
        <w:rPr>
          <w:rFonts w:ascii="Arial" w:hAnsi="Arial" w:cs="Arial"/>
          <w:sz w:val="24"/>
          <w:szCs w:val="24"/>
        </w:rPr>
      </w:pPr>
      <w:r w:rsidRPr="0095599C">
        <w:rPr>
          <w:rFonts w:ascii="Arial" w:hAnsi="Arial" w:cs="Arial"/>
          <w:sz w:val="24"/>
          <w:szCs w:val="24"/>
        </w:rPr>
        <w:t>Custodian Lead</w:t>
      </w:r>
    </w:p>
    <w:p w14:paraId="79CB020E" w14:textId="1F5DD411" w:rsidR="00B64146" w:rsidRPr="0095599C" w:rsidRDefault="00B64146" w:rsidP="00B64146">
      <w:pPr>
        <w:pStyle w:val="ListParagraph"/>
        <w:numPr>
          <w:ilvl w:val="0"/>
          <w:numId w:val="23"/>
        </w:numPr>
        <w:spacing w:after="240"/>
        <w:contextualSpacing/>
        <w:jc w:val="both"/>
        <w:rPr>
          <w:rFonts w:ascii="Arial" w:hAnsi="Arial" w:cs="Arial"/>
          <w:sz w:val="24"/>
          <w:szCs w:val="24"/>
        </w:rPr>
      </w:pPr>
      <w:r w:rsidRPr="0095599C">
        <w:rPr>
          <w:rFonts w:ascii="Arial" w:hAnsi="Arial" w:cs="Arial"/>
          <w:sz w:val="24"/>
          <w:szCs w:val="24"/>
        </w:rPr>
        <w:t>Park Aide</w:t>
      </w:r>
    </w:p>
    <w:p w14:paraId="7E29A9A3" w14:textId="49BCBB5A" w:rsidR="00B64146" w:rsidRPr="0095599C" w:rsidRDefault="00B64146" w:rsidP="00B64146">
      <w:pPr>
        <w:pStyle w:val="ListParagraph"/>
        <w:numPr>
          <w:ilvl w:val="0"/>
          <w:numId w:val="23"/>
        </w:numPr>
        <w:spacing w:after="240"/>
        <w:contextualSpacing/>
        <w:jc w:val="both"/>
        <w:rPr>
          <w:rFonts w:ascii="Arial" w:hAnsi="Arial" w:cs="Arial"/>
          <w:sz w:val="24"/>
          <w:szCs w:val="24"/>
        </w:rPr>
      </w:pPr>
      <w:r w:rsidRPr="0095599C">
        <w:rPr>
          <w:rFonts w:ascii="Arial" w:hAnsi="Arial" w:cs="Arial"/>
          <w:sz w:val="24"/>
          <w:szCs w:val="24"/>
        </w:rPr>
        <w:t>Parks District Maintenance Coordinator</w:t>
      </w:r>
    </w:p>
    <w:p w14:paraId="686C3E0A" w14:textId="3CE2ED60" w:rsidR="00B64146" w:rsidRPr="0095599C" w:rsidRDefault="00B64146" w:rsidP="00B64146">
      <w:pPr>
        <w:pStyle w:val="ListParagraph"/>
        <w:numPr>
          <w:ilvl w:val="0"/>
          <w:numId w:val="23"/>
        </w:numPr>
        <w:spacing w:after="240"/>
        <w:jc w:val="both"/>
        <w:rPr>
          <w:rFonts w:ascii="Arial" w:hAnsi="Arial" w:cs="Arial"/>
          <w:sz w:val="24"/>
          <w:szCs w:val="24"/>
        </w:rPr>
      </w:pPr>
      <w:r w:rsidRPr="0095599C">
        <w:rPr>
          <w:rFonts w:ascii="Arial" w:hAnsi="Arial" w:cs="Arial"/>
          <w:sz w:val="24"/>
          <w:szCs w:val="24"/>
        </w:rPr>
        <w:t>Parks Specialist Lead</w:t>
      </w:r>
    </w:p>
    <w:p w14:paraId="6FFB1560" w14:textId="77777777" w:rsidR="00623632" w:rsidRPr="0095599C" w:rsidRDefault="00623632" w:rsidP="00623632">
      <w:pPr>
        <w:spacing w:after="240"/>
        <w:jc w:val="both"/>
        <w:rPr>
          <w:rFonts w:ascii="Arial" w:hAnsi="Arial" w:cs="Arial"/>
          <w:b/>
          <w:u w:val="single"/>
        </w:rPr>
      </w:pPr>
      <w:r w:rsidRPr="0095599C">
        <w:rPr>
          <w:rFonts w:ascii="Arial" w:hAnsi="Arial" w:cs="Arial"/>
          <w:b/>
          <w:u w:val="single"/>
        </w:rPr>
        <w:t>FISCAL IMPACT</w:t>
      </w:r>
    </w:p>
    <w:p w14:paraId="37C33057" w14:textId="633FB5AA" w:rsidR="002E1950" w:rsidRPr="0095599C" w:rsidRDefault="002E1950" w:rsidP="001935F7">
      <w:pPr>
        <w:spacing w:after="240"/>
        <w:jc w:val="both"/>
        <w:rPr>
          <w:rFonts w:ascii="Arial" w:hAnsi="Arial" w:cs="Arial"/>
        </w:rPr>
      </w:pPr>
      <w:r w:rsidRPr="0095599C">
        <w:rPr>
          <w:rFonts w:ascii="Arial" w:hAnsi="Arial" w:cs="Arial"/>
        </w:rPr>
        <w:t>The fiscal impact of the proposed new CBA</w:t>
      </w:r>
      <w:r w:rsidR="00EC05AA" w:rsidRPr="0095599C">
        <w:rPr>
          <w:rFonts w:ascii="Arial" w:hAnsi="Arial" w:cs="Arial"/>
        </w:rPr>
        <w:t>, which</w:t>
      </w:r>
      <w:r w:rsidRPr="0095599C">
        <w:rPr>
          <w:rFonts w:ascii="Arial" w:hAnsi="Arial" w:cs="Arial"/>
        </w:rPr>
        <w:t xml:space="preserve"> consists almost entirely of the </w:t>
      </w:r>
      <w:r w:rsidR="00EC05AA" w:rsidRPr="0095599C">
        <w:rPr>
          <w:rFonts w:ascii="Arial" w:hAnsi="Arial" w:cs="Arial"/>
        </w:rPr>
        <w:t xml:space="preserve">Coalition COLAs that the Council approved in November 2014, is summarized in the table below, which is based on the Fiscal Note (Att. </w:t>
      </w:r>
      <w:r w:rsidR="0095599C">
        <w:rPr>
          <w:rFonts w:ascii="Arial" w:hAnsi="Arial" w:cs="Arial"/>
        </w:rPr>
        <w:t>5</w:t>
      </w:r>
      <w:r w:rsidR="00EC05AA" w:rsidRPr="0095599C">
        <w:rPr>
          <w:rFonts w:ascii="Arial" w:hAnsi="Arial" w:cs="Arial"/>
        </w:rPr>
        <w:t>):</w:t>
      </w:r>
    </w:p>
    <w:tbl>
      <w:tblPr>
        <w:tblW w:w="4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896"/>
        <w:gridCol w:w="1398"/>
        <w:gridCol w:w="1398"/>
      </w:tblGrid>
      <w:tr w:rsidR="0095599C" w:rsidRPr="0095599C" w14:paraId="6DC2E287" w14:textId="77777777" w:rsidTr="0095599C">
        <w:trPr>
          <w:jc w:val="center"/>
        </w:trPr>
        <w:tc>
          <w:tcPr>
            <w:tcW w:w="1896" w:type="dxa"/>
            <w:shd w:val="clear" w:color="auto" w:fill="D9D9D9"/>
            <w:vAlign w:val="center"/>
          </w:tcPr>
          <w:p w14:paraId="4B830E0C" w14:textId="77777777" w:rsidR="0095599C" w:rsidRPr="0095599C" w:rsidRDefault="0095599C" w:rsidP="00A63AC2">
            <w:pPr>
              <w:pStyle w:val="BodyText"/>
              <w:keepNext/>
              <w:keepLines/>
              <w:rPr>
                <w:rFonts w:ascii="Arial" w:hAnsi="Arial" w:cs="Arial"/>
                <w:b/>
                <w:i w:val="0"/>
                <w:color w:val="000000"/>
              </w:rPr>
            </w:pPr>
          </w:p>
        </w:tc>
        <w:tc>
          <w:tcPr>
            <w:tcW w:w="1398" w:type="dxa"/>
            <w:shd w:val="clear" w:color="auto" w:fill="D9D9D9"/>
          </w:tcPr>
          <w:p w14:paraId="7DBEB381" w14:textId="72361C57" w:rsidR="0095599C" w:rsidRPr="0095599C" w:rsidRDefault="0095599C" w:rsidP="0095599C">
            <w:pPr>
              <w:pStyle w:val="BodyText"/>
              <w:keepNext/>
              <w:keepLines/>
              <w:jc w:val="center"/>
              <w:rPr>
                <w:rFonts w:ascii="Arial" w:hAnsi="Arial" w:cs="Arial"/>
                <w:b/>
                <w:i w:val="0"/>
                <w:color w:val="000000"/>
              </w:rPr>
            </w:pPr>
            <w:r w:rsidRPr="0095599C">
              <w:rPr>
                <w:rFonts w:ascii="Arial" w:hAnsi="Arial" w:cs="Arial"/>
                <w:b/>
                <w:i w:val="0"/>
                <w:color w:val="000000"/>
              </w:rPr>
              <w:t>201</w:t>
            </w:r>
            <w:r>
              <w:rPr>
                <w:rFonts w:ascii="Arial" w:hAnsi="Arial" w:cs="Arial"/>
                <w:b/>
                <w:i w:val="0"/>
                <w:color w:val="000000"/>
              </w:rPr>
              <w:t>5</w:t>
            </w:r>
          </w:p>
        </w:tc>
        <w:tc>
          <w:tcPr>
            <w:tcW w:w="1398" w:type="dxa"/>
            <w:shd w:val="clear" w:color="auto" w:fill="D9D9D9"/>
            <w:vAlign w:val="center"/>
          </w:tcPr>
          <w:p w14:paraId="51636913" w14:textId="77777777" w:rsidR="0095599C" w:rsidRPr="0095599C" w:rsidRDefault="0095599C" w:rsidP="00A63AC2">
            <w:pPr>
              <w:pStyle w:val="BodyText"/>
              <w:keepNext/>
              <w:keepLines/>
              <w:jc w:val="center"/>
              <w:rPr>
                <w:rFonts w:ascii="Arial" w:hAnsi="Arial" w:cs="Arial"/>
                <w:b/>
                <w:i w:val="0"/>
                <w:color w:val="000000"/>
              </w:rPr>
            </w:pPr>
            <w:r w:rsidRPr="0095599C">
              <w:rPr>
                <w:rFonts w:ascii="Arial" w:hAnsi="Arial" w:cs="Arial"/>
                <w:b/>
                <w:i w:val="0"/>
                <w:color w:val="000000"/>
              </w:rPr>
              <w:t>2016</w:t>
            </w:r>
          </w:p>
        </w:tc>
      </w:tr>
      <w:tr w:rsidR="0095599C" w:rsidRPr="00B45636" w14:paraId="6C86900B" w14:textId="77777777" w:rsidTr="0095599C">
        <w:trPr>
          <w:jc w:val="center"/>
        </w:trPr>
        <w:tc>
          <w:tcPr>
            <w:tcW w:w="1896" w:type="dxa"/>
            <w:shd w:val="clear" w:color="auto" w:fill="D9D9D9"/>
            <w:vAlign w:val="center"/>
          </w:tcPr>
          <w:p w14:paraId="68795312" w14:textId="77777777" w:rsidR="0095599C" w:rsidRPr="0095599C" w:rsidRDefault="0095599C" w:rsidP="00A63AC2">
            <w:pPr>
              <w:pStyle w:val="BodyText"/>
              <w:keepNext/>
              <w:keepLines/>
              <w:rPr>
                <w:rFonts w:ascii="Arial" w:hAnsi="Arial" w:cs="Arial"/>
                <w:b/>
                <w:i w:val="0"/>
                <w:color w:val="000000"/>
              </w:rPr>
            </w:pPr>
            <w:r w:rsidRPr="0095599C">
              <w:rPr>
                <w:rFonts w:ascii="Arial" w:hAnsi="Arial" w:cs="Arial"/>
                <w:b/>
                <w:i w:val="0"/>
                <w:color w:val="000000"/>
              </w:rPr>
              <w:t>Increase over previous year</w:t>
            </w:r>
          </w:p>
        </w:tc>
        <w:tc>
          <w:tcPr>
            <w:tcW w:w="1398" w:type="dxa"/>
            <w:vAlign w:val="center"/>
          </w:tcPr>
          <w:p w14:paraId="1174C750" w14:textId="14D91662" w:rsidR="0095599C" w:rsidRPr="0095599C" w:rsidRDefault="0095599C" w:rsidP="0095599C">
            <w:pPr>
              <w:keepNext/>
              <w:keepLines/>
              <w:tabs>
                <w:tab w:val="right" w:pos="173"/>
                <w:tab w:val="right" w:pos="1325"/>
              </w:tabs>
              <w:jc w:val="center"/>
              <w:rPr>
                <w:rFonts w:ascii="Arial" w:hAnsi="Arial" w:cs="Arial"/>
              </w:rPr>
            </w:pPr>
            <w:r w:rsidRPr="0095599C">
              <w:rPr>
                <w:rFonts w:ascii="Arial" w:hAnsi="Arial" w:cs="Arial"/>
              </w:rPr>
              <w:t>$</w:t>
            </w:r>
            <w:r w:rsidRPr="0095599C">
              <w:rPr>
                <w:rFonts w:ascii="Arial" w:hAnsi="Arial" w:cs="Arial"/>
              </w:rPr>
              <w:tab/>
              <w:t>180,639</w:t>
            </w:r>
          </w:p>
        </w:tc>
        <w:tc>
          <w:tcPr>
            <w:tcW w:w="1398" w:type="dxa"/>
            <w:vAlign w:val="center"/>
          </w:tcPr>
          <w:p w14:paraId="2BD6DA6F" w14:textId="673C6652" w:rsidR="0095599C" w:rsidRPr="0095599C" w:rsidRDefault="0095599C" w:rsidP="0095599C">
            <w:pPr>
              <w:keepNext/>
              <w:keepLines/>
              <w:tabs>
                <w:tab w:val="right" w:pos="173"/>
                <w:tab w:val="right" w:pos="1235"/>
              </w:tabs>
              <w:jc w:val="center"/>
              <w:rPr>
                <w:rFonts w:ascii="Arial" w:hAnsi="Arial" w:cs="Arial"/>
              </w:rPr>
            </w:pPr>
            <w:r w:rsidRPr="0095599C">
              <w:rPr>
                <w:rFonts w:ascii="Arial" w:hAnsi="Arial" w:cs="Arial"/>
              </w:rPr>
              <w:t>$</w:t>
            </w:r>
            <w:r w:rsidRPr="0095599C">
              <w:rPr>
                <w:rFonts w:ascii="Arial" w:hAnsi="Arial" w:cs="Arial"/>
              </w:rPr>
              <w:tab/>
              <w:t>207,283</w:t>
            </w:r>
          </w:p>
        </w:tc>
      </w:tr>
      <w:tr w:rsidR="0095599C" w:rsidRPr="00B45636" w14:paraId="58356E0D" w14:textId="77777777" w:rsidTr="0095599C">
        <w:trPr>
          <w:jc w:val="center"/>
        </w:trPr>
        <w:tc>
          <w:tcPr>
            <w:tcW w:w="1896" w:type="dxa"/>
            <w:shd w:val="clear" w:color="auto" w:fill="D9D9D9"/>
            <w:vAlign w:val="center"/>
          </w:tcPr>
          <w:p w14:paraId="0150DDED" w14:textId="5BBD5EB3" w:rsidR="0095599C" w:rsidRPr="0095599C" w:rsidRDefault="0095599C" w:rsidP="0095599C">
            <w:pPr>
              <w:pStyle w:val="BodyText"/>
              <w:rPr>
                <w:rFonts w:ascii="Arial" w:hAnsi="Arial" w:cs="Arial"/>
                <w:b/>
                <w:i w:val="0"/>
                <w:color w:val="000000"/>
              </w:rPr>
            </w:pPr>
            <w:r w:rsidRPr="0095599C">
              <w:rPr>
                <w:rFonts w:ascii="Arial" w:hAnsi="Arial" w:cs="Arial"/>
                <w:b/>
                <w:i w:val="0"/>
                <w:color w:val="000000"/>
              </w:rPr>
              <w:t>Cumulative increase</w:t>
            </w:r>
          </w:p>
        </w:tc>
        <w:tc>
          <w:tcPr>
            <w:tcW w:w="1398" w:type="dxa"/>
            <w:shd w:val="clear" w:color="auto" w:fill="D9D9D9" w:themeFill="background1" w:themeFillShade="D9"/>
            <w:vAlign w:val="center"/>
          </w:tcPr>
          <w:p w14:paraId="165E7E2E" w14:textId="77777777" w:rsidR="0095599C" w:rsidRPr="0095599C" w:rsidRDefault="0095599C" w:rsidP="0095599C">
            <w:pPr>
              <w:tabs>
                <w:tab w:val="right" w:pos="173"/>
                <w:tab w:val="right" w:pos="936"/>
              </w:tabs>
              <w:jc w:val="center"/>
              <w:rPr>
                <w:rFonts w:ascii="Arial" w:hAnsi="Arial" w:cs="Arial"/>
              </w:rPr>
            </w:pPr>
          </w:p>
        </w:tc>
        <w:tc>
          <w:tcPr>
            <w:tcW w:w="1398" w:type="dxa"/>
            <w:vAlign w:val="center"/>
          </w:tcPr>
          <w:p w14:paraId="0FD0CC2C" w14:textId="132E44E3" w:rsidR="0095599C" w:rsidRPr="0095599C" w:rsidRDefault="0095599C" w:rsidP="0095599C">
            <w:pPr>
              <w:tabs>
                <w:tab w:val="right" w:pos="173"/>
                <w:tab w:val="right" w:pos="1235"/>
              </w:tabs>
              <w:jc w:val="center"/>
              <w:rPr>
                <w:rFonts w:ascii="Arial" w:hAnsi="Arial" w:cs="Arial"/>
              </w:rPr>
            </w:pPr>
            <w:r w:rsidRPr="0095599C">
              <w:rPr>
                <w:rFonts w:ascii="Arial" w:hAnsi="Arial" w:cs="Arial"/>
              </w:rPr>
              <w:t>$</w:t>
            </w:r>
            <w:r w:rsidRPr="0095599C">
              <w:rPr>
                <w:rFonts w:ascii="Arial" w:hAnsi="Arial" w:cs="Arial"/>
              </w:rPr>
              <w:tab/>
              <w:t>387,922</w:t>
            </w:r>
          </w:p>
        </w:tc>
      </w:tr>
    </w:tbl>
    <w:p w14:paraId="22F8F56A" w14:textId="40362580" w:rsidR="00EC05AA" w:rsidRPr="002E1950" w:rsidRDefault="00EC05AA" w:rsidP="0095599C">
      <w:pPr>
        <w:spacing w:before="240" w:after="240"/>
        <w:jc w:val="both"/>
        <w:rPr>
          <w:rFonts w:ascii="Arial" w:hAnsi="Arial" w:cs="Arial"/>
        </w:rPr>
      </w:pPr>
      <w:r>
        <w:rPr>
          <w:rFonts w:ascii="Arial" w:hAnsi="Arial" w:cs="Arial"/>
        </w:rPr>
        <w:t xml:space="preserve">About $20,000 of the </w:t>
      </w:r>
      <w:r w:rsidR="00834E14">
        <w:rPr>
          <w:rFonts w:ascii="Arial" w:hAnsi="Arial" w:cs="Arial"/>
        </w:rPr>
        <w:t xml:space="preserve">increased </w:t>
      </w:r>
      <w:r>
        <w:rPr>
          <w:rFonts w:ascii="Arial" w:hAnsi="Arial" w:cs="Arial"/>
        </w:rPr>
        <w:t>annual cost arises from the new premium pays described above.</w:t>
      </w:r>
    </w:p>
    <w:p w14:paraId="52FFFB00" w14:textId="48C089E5" w:rsidR="00EC05AA" w:rsidRDefault="00EC05AA" w:rsidP="0040401E">
      <w:pPr>
        <w:spacing w:line="240" w:lineRule="atLeast"/>
        <w:rPr>
          <w:rFonts w:ascii="Arial" w:hAnsi="Arial" w:cs="Arial"/>
          <w:b/>
          <w:bCs/>
          <w:u w:val="single"/>
        </w:rPr>
      </w:pPr>
      <w:r>
        <w:rPr>
          <w:rFonts w:ascii="Arial" w:hAnsi="Arial" w:cs="Arial"/>
          <w:b/>
          <w:bCs/>
          <w:u w:val="single"/>
        </w:rPr>
        <w:t>AMENDMENT</w:t>
      </w:r>
    </w:p>
    <w:p w14:paraId="4569D9FB" w14:textId="77777777" w:rsidR="00EC05AA" w:rsidRDefault="00EC05AA" w:rsidP="0040401E">
      <w:pPr>
        <w:spacing w:line="240" w:lineRule="atLeast"/>
        <w:rPr>
          <w:rFonts w:ascii="Arial" w:hAnsi="Arial" w:cs="Arial"/>
          <w:b/>
          <w:bCs/>
          <w:u w:val="single"/>
        </w:rPr>
      </w:pPr>
    </w:p>
    <w:p w14:paraId="07A5051D" w14:textId="5060EEA5" w:rsidR="00EC05AA" w:rsidRPr="00EC05AA" w:rsidRDefault="00EC05AA" w:rsidP="0040401E">
      <w:pPr>
        <w:spacing w:line="240" w:lineRule="atLeast"/>
        <w:rPr>
          <w:rFonts w:ascii="Arial" w:hAnsi="Arial" w:cs="Arial"/>
          <w:bCs/>
        </w:rPr>
      </w:pPr>
      <w:r>
        <w:rPr>
          <w:rFonts w:ascii="Arial" w:hAnsi="Arial" w:cs="Arial"/>
          <w:bCs/>
        </w:rPr>
        <w:t xml:space="preserve">Amendment 1 (Att. 2) would replace pages </w:t>
      </w:r>
      <w:r w:rsidR="00834E14">
        <w:rPr>
          <w:rFonts w:ascii="Arial" w:hAnsi="Arial" w:cs="Arial"/>
          <w:bCs/>
        </w:rPr>
        <w:t xml:space="preserve">41 and 52 </w:t>
      </w:r>
      <w:r>
        <w:rPr>
          <w:rFonts w:ascii="Arial" w:hAnsi="Arial" w:cs="Arial"/>
          <w:bCs/>
        </w:rPr>
        <w:t xml:space="preserve">of Attachment </w:t>
      </w:r>
      <w:r w:rsidR="0095599C">
        <w:rPr>
          <w:rFonts w:ascii="Arial" w:hAnsi="Arial" w:cs="Arial"/>
          <w:bCs/>
        </w:rPr>
        <w:t>1-</w:t>
      </w:r>
      <w:r>
        <w:rPr>
          <w:rFonts w:ascii="Arial" w:hAnsi="Arial" w:cs="Arial"/>
          <w:bCs/>
        </w:rPr>
        <w:t>A (the CBA) with revised versions to correct technical errors in the originals.</w:t>
      </w:r>
    </w:p>
    <w:p w14:paraId="414D16A0" w14:textId="77777777" w:rsidR="00EC05AA" w:rsidRDefault="00EC05AA" w:rsidP="0040401E">
      <w:pPr>
        <w:spacing w:line="240" w:lineRule="atLeast"/>
        <w:rPr>
          <w:rFonts w:ascii="Arial" w:hAnsi="Arial" w:cs="Arial"/>
          <w:b/>
          <w:bCs/>
          <w:u w:val="single"/>
        </w:rPr>
      </w:pPr>
    </w:p>
    <w:sectPr w:rsidR="00EC05AA" w:rsidSect="001A34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F6D95" w14:textId="77777777" w:rsidR="0039337A" w:rsidRDefault="0039337A">
      <w:r>
        <w:separator/>
      </w:r>
    </w:p>
  </w:endnote>
  <w:endnote w:type="continuationSeparator" w:id="0">
    <w:p w14:paraId="74FF2C26" w14:textId="77777777" w:rsidR="0039337A" w:rsidRDefault="0039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3C120" w14:textId="77777777" w:rsidR="000A1A83" w:rsidRDefault="000A1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5AC11" w14:textId="77777777" w:rsidR="008D3A80" w:rsidRPr="00446E0F" w:rsidRDefault="008D3A80"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205ECA">
      <w:rPr>
        <w:rStyle w:val="PageNumber"/>
        <w:rFonts w:ascii="Arial" w:hAnsi="Arial" w:cs="Arial"/>
        <w:noProof/>
        <w:sz w:val="20"/>
        <w:szCs w:val="20"/>
      </w:rPr>
      <w:t>2</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205ECA">
      <w:rPr>
        <w:rStyle w:val="PageNumber"/>
        <w:rFonts w:ascii="Arial" w:hAnsi="Arial" w:cs="Arial"/>
        <w:noProof/>
        <w:sz w:val="20"/>
        <w:szCs w:val="20"/>
      </w:rPr>
      <w:t>3</w:t>
    </w:r>
    <w:r w:rsidRPr="00446E0F">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1678" w14:textId="77777777" w:rsidR="008D3A80" w:rsidRPr="00446E0F" w:rsidRDefault="008D3A80"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205ECA">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205ECA">
      <w:rPr>
        <w:rStyle w:val="PageNumber"/>
        <w:rFonts w:ascii="Arial" w:hAnsi="Arial" w:cs="Arial"/>
        <w:noProof/>
        <w:sz w:val="20"/>
        <w:szCs w:val="20"/>
      </w:rPr>
      <w:t>3</w:t>
    </w:r>
    <w:r w:rsidRPr="00446E0F">
      <w:rPr>
        <w:rStyle w:val="PageNumber"/>
        <w:rFonts w:ascii="Arial" w:hAnsi="Arial" w:cs="Arial"/>
        <w:sz w:val="20"/>
        <w:szCs w:val="20"/>
      </w:rPr>
      <w:fldChar w:fldCharType="end"/>
    </w:r>
  </w:p>
  <w:p w14:paraId="7AF8B6CF" w14:textId="77777777" w:rsidR="008D3A80" w:rsidRDefault="008D3A80"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FF907" w14:textId="77777777" w:rsidR="0039337A" w:rsidRDefault="0039337A">
      <w:r>
        <w:separator/>
      </w:r>
    </w:p>
  </w:footnote>
  <w:footnote w:type="continuationSeparator" w:id="0">
    <w:p w14:paraId="6DB751F8" w14:textId="77777777" w:rsidR="0039337A" w:rsidRDefault="0039337A">
      <w:r>
        <w:continuationSeparator/>
      </w:r>
    </w:p>
  </w:footnote>
  <w:footnote w:id="1">
    <w:p w14:paraId="79A70D07" w14:textId="77777777" w:rsidR="00623632" w:rsidRPr="006B67F1" w:rsidRDefault="00623632" w:rsidP="001935F7">
      <w:pPr>
        <w:pStyle w:val="FootnoteText"/>
        <w:jc w:val="both"/>
        <w:rPr>
          <w:rFonts w:ascii="Arial" w:hAnsi="Arial" w:cs="Arial"/>
        </w:rPr>
      </w:pPr>
      <w:r w:rsidRPr="006B67F1">
        <w:rPr>
          <w:rStyle w:val="FootnoteReference"/>
          <w:rFonts w:ascii="Arial" w:hAnsi="Arial" w:cs="Arial"/>
        </w:rPr>
        <w:footnoteRef/>
      </w:r>
      <w:r w:rsidRPr="006B67F1">
        <w:rPr>
          <w:rFonts w:ascii="Arial" w:hAnsi="Arial" w:cs="Arial"/>
        </w:rPr>
        <w:t xml:space="preserve"> RCW </w:t>
      </w:r>
      <w:r w:rsidRPr="006B67F1">
        <w:rPr>
          <w:rFonts w:ascii="Arial" w:hAnsi="Arial" w:cs="Arial"/>
          <w:bCs/>
        </w:rPr>
        <w:t>41.56.123</w:t>
      </w:r>
      <w:r>
        <w:rPr>
          <w:rFonts w:ascii="Arial" w:hAnsi="Arial" w:cs="Arial"/>
          <w:bCs/>
        </w:rPr>
        <w:t>(1) provides: “</w:t>
      </w:r>
      <w:r w:rsidRPr="006B67F1">
        <w:rPr>
          <w:rFonts w:ascii="Arial" w:hAnsi="Arial" w:cs="Arial"/>
          <w:bCs/>
        </w:rPr>
        <w:t>After the termination date of a collective bargaining agreement, all of the terms and conditions specified in the collective bargaining agreement shall remain in effect until the effective date of a subsequent agreement, not to exceed one year from the termination date stated in the agreement. Thereafter, the employer may unilaterally implement according to law.</w:t>
      </w:r>
      <w:r>
        <w:rPr>
          <w:rFonts w:ascii="Arial" w:hAnsi="Arial" w:cs="Arial"/>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4CEF" w14:textId="74AABDBD" w:rsidR="000A1A83" w:rsidRDefault="000A1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D55D" w14:textId="553DEB3A" w:rsidR="000A1A83" w:rsidRDefault="000A1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BE89E" w14:textId="3F5D2D97" w:rsidR="008D3A80" w:rsidRDefault="008D3A80" w:rsidP="006436CB">
    <w:pPr>
      <w:jc w:val="center"/>
    </w:pPr>
    <w:r>
      <w:rPr>
        <w:noProof/>
      </w:rPr>
      <w:drawing>
        <wp:inline distT="0" distB="0" distL="0" distR="0" wp14:anchorId="5A2AF6DD" wp14:editId="3D4D5E4B">
          <wp:extent cx="1005205" cy="715010"/>
          <wp:effectExtent l="0" t="0" r="10795"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715010"/>
                  </a:xfrm>
                  <a:prstGeom prst="rect">
                    <a:avLst/>
                  </a:prstGeom>
                  <a:noFill/>
                  <a:ln>
                    <a:noFill/>
                  </a:ln>
                </pic:spPr>
              </pic:pic>
            </a:graphicData>
          </a:graphic>
        </wp:inline>
      </w:drawing>
    </w:r>
  </w:p>
  <w:p w14:paraId="1287CAF8" w14:textId="77777777" w:rsidR="008D3A80" w:rsidRPr="00683BD4" w:rsidRDefault="008D3A80" w:rsidP="001A3425">
    <w:pPr>
      <w:jc w:val="center"/>
      <w:rPr>
        <w:rFonts w:ascii="Arial" w:hAnsi="Arial"/>
        <w:b/>
        <w:sz w:val="28"/>
        <w:szCs w:val="22"/>
      </w:rPr>
    </w:pPr>
    <w:r w:rsidRPr="00683BD4">
      <w:rPr>
        <w:rFonts w:ascii="Arial" w:hAnsi="Arial"/>
        <w:b/>
        <w:sz w:val="28"/>
        <w:szCs w:val="22"/>
      </w:rPr>
      <w:t>Metropolitan King County Council</w:t>
    </w:r>
  </w:p>
  <w:p w14:paraId="7E825033" w14:textId="7F6A573E" w:rsidR="008D3A80" w:rsidRPr="00683BD4" w:rsidRDefault="00176371" w:rsidP="001A3425">
    <w:pPr>
      <w:jc w:val="center"/>
      <w:rPr>
        <w:rFonts w:ascii="Arial" w:hAnsi="Arial" w:cs="Arial"/>
        <w:b/>
        <w:sz w:val="26"/>
        <w:szCs w:val="26"/>
      </w:rPr>
    </w:pPr>
    <w:r>
      <w:rPr>
        <w:rFonts w:ascii="Arial" w:hAnsi="Arial" w:cs="Arial"/>
        <w:b/>
        <w:sz w:val="26"/>
        <w:szCs w:val="26"/>
      </w:rPr>
      <w:t>Transportation, Economy, and Environment Committee</w:t>
    </w:r>
  </w:p>
  <w:p w14:paraId="684BB900" w14:textId="77777777" w:rsidR="008D3A80" w:rsidRDefault="008D3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4A0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25978"/>
    <w:multiLevelType w:val="hybridMultilevel"/>
    <w:tmpl w:val="32600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AD2465F"/>
    <w:multiLevelType w:val="hybridMultilevel"/>
    <w:tmpl w:val="DBCE13D0"/>
    <w:lvl w:ilvl="0" w:tplc="B2169F92">
      <w:start w:val="1"/>
      <w:numFmt w:val="lowerLetter"/>
      <w:lvlText w:val="%1."/>
      <w:lvlJc w:val="left"/>
      <w:pPr>
        <w:ind w:left="1440" w:hanging="360"/>
      </w:pPr>
      <w:rPr>
        <w:rFonts w:ascii="Calibri" w:hAnsi="Calibri"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16B18"/>
    <w:multiLevelType w:val="hybridMultilevel"/>
    <w:tmpl w:val="68167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3072D1"/>
    <w:multiLevelType w:val="hybridMultilevel"/>
    <w:tmpl w:val="080E4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DA0C25"/>
    <w:multiLevelType w:val="hybridMultilevel"/>
    <w:tmpl w:val="48F0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97FAC"/>
    <w:multiLevelType w:val="hybridMultilevel"/>
    <w:tmpl w:val="6BB6B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0C7282"/>
    <w:multiLevelType w:val="hybridMultilevel"/>
    <w:tmpl w:val="45FE6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20"/>
  </w:num>
  <w:num w:numId="4">
    <w:abstractNumId w:val="3"/>
  </w:num>
  <w:num w:numId="5">
    <w:abstractNumId w:val="12"/>
  </w:num>
  <w:num w:numId="6">
    <w:abstractNumId w:val="8"/>
  </w:num>
  <w:num w:numId="7">
    <w:abstractNumId w:val="2"/>
  </w:num>
  <w:num w:numId="8">
    <w:abstractNumId w:val="17"/>
  </w:num>
  <w:num w:numId="9">
    <w:abstractNumId w:val="15"/>
  </w:num>
  <w:num w:numId="10">
    <w:abstractNumId w:val="13"/>
  </w:num>
  <w:num w:numId="11">
    <w:abstractNumId w:val="9"/>
  </w:num>
  <w:num w:numId="12">
    <w:abstractNumId w:val="7"/>
  </w:num>
  <w:num w:numId="13">
    <w:abstractNumId w:val="10"/>
  </w:num>
  <w:num w:numId="14">
    <w:abstractNumId w:val="21"/>
  </w:num>
  <w:num w:numId="15">
    <w:abstractNumId w:val="0"/>
  </w:num>
  <w:num w:numId="16">
    <w:abstractNumId w:val="18"/>
  </w:num>
  <w:num w:numId="17">
    <w:abstractNumId w:val="5"/>
  </w:num>
  <w:num w:numId="18">
    <w:abstractNumId w:val="22"/>
  </w:num>
  <w:num w:numId="19">
    <w:abstractNumId w:val="1"/>
  </w:num>
  <w:num w:numId="20">
    <w:abstractNumId w:val="14"/>
  </w:num>
  <w:num w:numId="21">
    <w:abstractNumId w:val="16"/>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EA"/>
    <w:rsid w:val="000129BA"/>
    <w:rsid w:val="00017B2B"/>
    <w:rsid w:val="00030820"/>
    <w:rsid w:val="00035C55"/>
    <w:rsid w:val="000505B8"/>
    <w:rsid w:val="00051233"/>
    <w:rsid w:val="0005314C"/>
    <w:rsid w:val="00053A14"/>
    <w:rsid w:val="000543A9"/>
    <w:rsid w:val="00056D0D"/>
    <w:rsid w:val="0007054F"/>
    <w:rsid w:val="000944EA"/>
    <w:rsid w:val="00096937"/>
    <w:rsid w:val="000A1A83"/>
    <w:rsid w:val="000B53F7"/>
    <w:rsid w:val="000B577E"/>
    <w:rsid w:val="000D23F4"/>
    <w:rsid w:val="000D2B56"/>
    <w:rsid w:val="000F242C"/>
    <w:rsid w:val="000F2DCE"/>
    <w:rsid w:val="000F3425"/>
    <w:rsid w:val="0011230F"/>
    <w:rsid w:val="001171C0"/>
    <w:rsid w:val="00117912"/>
    <w:rsid w:val="001342D1"/>
    <w:rsid w:val="00142B5D"/>
    <w:rsid w:val="00150E8D"/>
    <w:rsid w:val="00151C2E"/>
    <w:rsid w:val="00162DAC"/>
    <w:rsid w:val="00176371"/>
    <w:rsid w:val="00183725"/>
    <w:rsid w:val="001935F7"/>
    <w:rsid w:val="001A0531"/>
    <w:rsid w:val="001A3425"/>
    <w:rsid w:val="001B4C49"/>
    <w:rsid w:val="001B60C1"/>
    <w:rsid w:val="001D233E"/>
    <w:rsid w:val="001D2515"/>
    <w:rsid w:val="001D4384"/>
    <w:rsid w:val="001E0DD1"/>
    <w:rsid w:val="001E2B99"/>
    <w:rsid w:val="001E542C"/>
    <w:rsid w:val="001F38EA"/>
    <w:rsid w:val="00203E1D"/>
    <w:rsid w:val="00205ECA"/>
    <w:rsid w:val="00216242"/>
    <w:rsid w:val="002179AE"/>
    <w:rsid w:val="002255F9"/>
    <w:rsid w:val="0023155F"/>
    <w:rsid w:val="0023567A"/>
    <w:rsid w:val="002431DE"/>
    <w:rsid w:val="00250B0D"/>
    <w:rsid w:val="0025556F"/>
    <w:rsid w:val="00267AEB"/>
    <w:rsid w:val="00270F35"/>
    <w:rsid w:val="0027310B"/>
    <w:rsid w:val="002765EA"/>
    <w:rsid w:val="0027743E"/>
    <w:rsid w:val="0027767C"/>
    <w:rsid w:val="002B5CB2"/>
    <w:rsid w:val="002E1950"/>
    <w:rsid w:val="002F0732"/>
    <w:rsid w:val="00310C27"/>
    <w:rsid w:val="003132D6"/>
    <w:rsid w:val="003262A9"/>
    <w:rsid w:val="00341518"/>
    <w:rsid w:val="00343576"/>
    <w:rsid w:val="003442DB"/>
    <w:rsid w:val="0034482A"/>
    <w:rsid w:val="0039337A"/>
    <w:rsid w:val="003A24A1"/>
    <w:rsid w:val="003A428B"/>
    <w:rsid w:val="003A71B4"/>
    <w:rsid w:val="003B03EF"/>
    <w:rsid w:val="003C3845"/>
    <w:rsid w:val="003C6AAB"/>
    <w:rsid w:val="003F0726"/>
    <w:rsid w:val="003F73AA"/>
    <w:rsid w:val="00400891"/>
    <w:rsid w:val="0040401E"/>
    <w:rsid w:val="00407855"/>
    <w:rsid w:val="00413F11"/>
    <w:rsid w:val="00416748"/>
    <w:rsid w:val="00421A03"/>
    <w:rsid w:val="00426934"/>
    <w:rsid w:val="00436FF6"/>
    <w:rsid w:val="0044217E"/>
    <w:rsid w:val="004477E5"/>
    <w:rsid w:val="00475E45"/>
    <w:rsid w:val="004812BB"/>
    <w:rsid w:val="0049547E"/>
    <w:rsid w:val="004961C7"/>
    <w:rsid w:val="004A01EA"/>
    <w:rsid w:val="004A1D48"/>
    <w:rsid w:val="004C05E9"/>
    <w:rsid w:val="004F2D27"/>
    <w:rsid w:val="004F314A"/>
    <w:rsid w:val="004F42FB"/>
    <w:rsid w:val="00503725"/>
    <w:rsid w:val="0053261F"/>
    <w:rsid w:val="005340AC"/>
    <w:rsid w:val="00586472"/>
    <w:rsid w:val="00597492"/>
    <w:rsid w:val="005A03BD"/>
    <w:rsid w:val="005A259F"/>
    <w:rsid w:val="005C0BC1"/>
    <w:rsid w:val="005C3D0C"/>
    <w:rsid w:val="005C77E3"/>
    <w:rsid w:val="005D1A3E"/>
    <w:rsid w:val="005E214F"/>
    <w:rsid w:val="005F61B2"/>
    <w:rsid w:val="00603199"/>
    <w:rsid w:val="00623632"/>
    <w:rsid w:val="00633432"/>
    <w:rsid w:val="006360E5"/>
    <w:rsid w:val="006436CB"/>
    <w:rsid w:val="00654F0F"/>
    <w:rsid w:val="006554CC"/>
    <w:rsid w:val="00655882"/>
    <w:rsid w:val="00656751"/>
    <w:rsid w:val="006671CD"/>
    <w:rsid w:val="00671BC0"/>
    <w:rsid w:val="00682895"/>
    <w:rsid w:val="00683A66"/>
    <w:rsid w:val="00683BD4"/>
    <w:rsid w:val="00684FA9"/>
    <w:rsid w:val="00694F0E"/>
    <w:rsid w:val="00697F6F"/>
    <w:rsid w:val="006A26AA"/>
    <w:rsid w:val="006A4CFB"/>
    <w:rsid w:val="006C3BCC"/>
    <w:rsid w:val="006D2EE4"/>
    <w:rsid w:val="006E2802"/>
    <w:rsid w:val="006F7237"/>
    <w:rsid w:val="0071516D"/>
    <w:rsid w:val="00721D3F"/>
    <w:rsid w:val="00730BB8"/>
    <w:rsid w:val="00733F42"/>
    <w:rsid w:val="00733F5D"/>
    <w:rsid w:val="00735C4E"/>
    <w:rsid w:val="0075084A"/>
    <w:rsid w:val="00756F7D"/>
    <w:rsid w:val="00765B0D"/>
    <w:rsid w:val="00771328"/>
    <w:rsid w:val="00785AC4"/>
    <w:rsid w:val="007A6C0E"/>
    <w:rsid w:val="007B376B"/>
    <w:rsid w:val="007D078B"/>
    <w:rsid w:val="007D2AD1"/>
    <w:rsid w:val="007D5F35"/>
    <w:rsid w:val="007E7426"/>
    <w:rsid w:val="007F6E58"/>
    <w:rsid w:val="00805FB6"/>
    <w:rsid w:val="00834E14"/>
    <w:rsid w:val="00840700"/>
    <w:rsid w:val="00845C40"/>
    <w:rsid w:val="00847E28"/>
    <w:rsid w:val="0088160A"/>
    <w:rsid w:val="008857D1"/>
    <w:rsid w:val="008A247D"/>
    <w:rsid w:val="008A39A2"/>
    <w:rsid w:val="008D3A80"/>
    <w:rsid w:val="008D6FC5"/>
    <w:rsid w:val="008E29FE"/>
    <w:rsid w:val="00902DE6"/>
    <w:rsid w:val="00911FC7"/>
    <w:rsid w:val="00920908"/>
    <w:rsid w:val="00923794"/>
    <w:rsid w:val="0092762F"/>
    <w:rsid w:val="00927B71"/>
    <w:rsid w:val="00932C1D"/>
    <w:rsid w:val="009349D6"/>
    <w:rsid w:val="009402E7"/>
    <w:rsid w:val="00942EF9"/>
    <w:rsid w:val="0094466A"/>
    <w:rsid w:val="0095599C"/>
    <w:rsid w:val="0095659E"/>
    <w:rsid w:val="009628B3"/>
    <w:rsid w:val="00985AB8"/>
    <w:rsid w:val="009A0383"/>
    <w:rsid w:val="009A2CA5"/>
    <w:rsid w:val="009B3FB1"/>
    <w:rsid w:val="009C50F3"/>
    <w:rsid w:val="009F11F7"/>
    <w:rsid w:val="009F4B5B"/>
    <w:rsid w:val="00A0592A"/>
    <w:rsid w:val="00A10AA6"/>
    <w:rsid w:val="00A1288E"/>
    <w:rsid w:val="00A22C93"/>
    <w:rsid w:val="00A401C0"/>
    <w:rsid w:val="00A428D9"/>
    <w:rsid w:val="00A53C9D"/>
    <w:rsid w:val="00A6291C"/>
    <w:rsid w:val="00A63559"/>
    <w:rsid w:val="00A642AA"/>
    <w:rsid w:val="00A9290E"/>
    <w:rsid w:val="00A9795F"/>
    <w:rsid w:val="00AA4034"/>
    <w:rsid w:val="00AB280B"/>
    <w:rsid w:val="00AC4CB4"/>
    <w:rsid w:val="00AF0AA2"/>
    <w:rsid w:val="00AF7A0E"/>
    <w:rsid w:val="00B06654"/>
    <w:rsid w:val="00B14969"/>
    <w:rsid w:val="00B32636"/>
    <w:rsid w:val="00B34BA1"/>
    <w:rsid w:val="00B42B71"/>
    <w:rsid w:val="00B541A0"/>
    <w:rsid w:val="00B54924"/>
    <w:rsid w:val="00B62B43"/>
    <w:rsid w:val="00B64146"/>
    <w:rsid w:val="00B8447E"/>
    <w:rsid w:val="00B855C4"/>
    <w:rsid w:val="00BA0366"/>
    <w:rsid w:val="00BB2E2D"/>
    <w:rsid w:val="00BD6C5C"/>
    <w:rsid w:val="00BF0B90"/>
    <w:rsid w:val="00BF3476"/>
    <w:rsid w:val="00C02ED1"/>
    <w:rsid w:val="00C11AC6"/>
    <w:rsid w:val="00C14CB7"/>
    <w:rsid w:val="00C2319C"/>
    <w:rsid w:val="00C25EB9"/>
    <w:rsid w:val="00C276BF"/>
    <w:rsid w:val="00C30B80"/>
    <w:rsid w:val="00C34FB4"/>
    <w:rsid w:val="00C42FC8"/>
    <w:rsid w:val="00C50AEF"/>
    <w:rsid w:val="00C65457"/>
    <w:rsid w:val="00C72519"/>
    <w:rsid w:val="00C7351E"/>
    <w:rsid w:val="00C817FF"/>
    <w:rsid w:val="00C85BFC"/>
    <w:rsid w:val="00C93B88"/>
    <w:rsid w:val="00CC4E3C"/>
    <w:rsid w:val="00CE0C5B"/>
    <w:rsid w:val="00CE47EF"/>
    <w:rsid w:val="00CF361C"/>
    <w:rsid w:val="00D17FBB"/>
    <w:rsid w:val="00D25723"/>
    <w:rsid w:val="00D27F40"/>
    <w:rsid w:val="00D33AA8"/>
    <w:rsid w:val="00D42212"/>
    <w:rsid w:val="00D57363"/>
    <w:rsid w:val="00D717DF"/>
    <w:rsid w:val="00D84BDA"/>
    <w:rsid w:val="00DC5DBC"/>
    <w:rsid w:val="00DD0DC0"/>
    <w:rsid w:val="00DD42CA"/>
    <w:rsid w:val="00DD5F15"/>
    <w:rsid w:val="00DF062C"/>
    <w:rsid w:val="00DF1091"/>
    <w:rsid w:val="00DF1F78"/>
    <w:rsid w:val="00E0074D"/>
    <w:rsid w:val="00E178B3"/>
    <w:rsid w:val="00E201AA"/>
    <w:rsid w:val="00E2622A"/>
    <w:rsid w:val="00E26666"/>
    <w:rsid w:val="00E27FE7"/>
    <w:rsid w:val="00E57509"/>
    <w:rsid w:val="00E62672"/>
    <w:rsid w:val="00E65DBA"/>
    <w:rsid w:val="00E8736F"/>
    <w:rsid w:val="00EA1164"/>
    <w:rsid w:val="00EB1D6D"/>
    <w:rsid w:val="00EB696F"/>
    <w:rsid w:val="00EC05AA"/>
    <w:rsid w:val="00EC1095"/>
    <w:rsid w:val="00EC7DD0"/>
    <w:rsid w:val="00ED4528"/>
    <w:rsid w:val="00ED6C65"/>
    <w:rsid w:val="00F05233"/>
    <w:rsid w:val="00F12B71"/>
    <w:rsid w:val="00F22B56"/>
    <w:rsid w:val="00F3508D"/>
    <w:rsid w:val="00F60AA2"/>
    <w:rsid w:val="00F76D91"/>
    <w:rsid w:val="00F85377"/>
    <w:rsid w:val="00F94C57"/>
    <w:rsid w:val="00F96981"/>
    <w:rsid w:val="00FB3C10"/>
    <w:rsid w:val="00FB6633"/>
    <w:rsid w:val="00FD1398"/>
    <w:rsid w:val="00FD259C"/>
    <w:rsid w:val="00FE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9A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styleId="BodyText">
    <w:name w:val="Body Text"/>
    <w:basedOn w:val="Normal"/>
    <w:link w:val="BodyTextChar"/>
    <w:rsid w:val="0040401E"/>
    <w:rPr>
      <w:i/>
      <w:szCs w:val="20"/>
    </w:rPr>
  </w:style>
  <w:style w:type="character" w:customStyle="1" w:styleId="BodyTextChar">
    <w:name w:val="Body Text Char"/>
    <w:basedOn w:val="DefaultParagraphFont"/>
    <w:link w:val="BodyText"/>
    <w:rsid w:val="0040401E"/>
    <w:rPr>
      <w:i/>
      <w:sz w:val="24"/>
    </w:rPr>
  </w:style>
  <w:style w:type="character" w:customStyle="1" w:styleId="FootnoteTextChar">
    <w:name w:val="Footnote Text Char"/>
    <w:link w:val="FootnoteText"/>
    <w:rsid w:val="00623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styleId="BodyText">
    <w:name w:val="Body Text"/>
    <w:basedOn w:val="Normal"/>
    <w:link w:val="BodyTextChar"/>
    <w:rsid w:val="0040401E"/>
    <w:rPr>
      <w:i/>
      <w:szCs w:val="20"/>
    </w:rPr>
  </w:style>
  <w:style w:type="character" w:customStyle="1" w:styleId="BodyTextChar">
    <w:name w:val="Body Text Char"/>
    <w:basedOn w:val="DefaultParagraphFont"/>
    <w:link w:val="BodyText"/>
    <w:rsid w:val="0040401E"/>
    <w:rPr>
      <w:i/>
      <w:sz w:val="24"/>
    </w:rPr>
  </w:style>
  <w:style w:type="character" w:customStyle="1" w:styleId="FootnoteTextChar">
    <w:name w:val="Footnote Text Char"/>
    <w:link w:val="FootnoteText"/>
    <w:rsid w:val="0062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732B-8B49-4C29-911C-57913D98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Nick Wagner</dc:creator>
  <cp:lastModifiedBy>Nick Wagner</cp:lastModifiedBy>
  <cp:revision>2</cp:revision>
  <cp:lastPrinted>2015-10-01T20:44:00Z</cp:lastPrinted>
  <dcterms:created xsi:type="dcterms:W3CDTF">2015-11-03T22:54:00Z</dcterms:created>
  <dcterms:modified xsi:type="dcterms:W3CDTF">2015-11-03T22:54:00Z</dcterms:modified>
</cp:coreProperties>
</file>