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48615" w14:textId="77777777" w:rsidR="00F3508D" w:rsidRPr="00017B2B" w:rsidRDefault="00F3508D" w:rsidP="00F3508D">
      <w:pPr>
        <w:pStyle w:val="Heading2"/>
        <w:rPr>
          <w:rFonts w:ascii="Arial" w:hAnsi="Arial" w:cs="Arial"/>
          <w:sz w:val="24"/>
          <w:u w:val="none"/>
        </w:rPr>
      </w:pPr>
      <w:r w:rsidRPr="00017B2B">
        <w:rPr>
          <w:rFonts w:ascii="Arial" w:hAnsi="Arial" w:cs="Arial"/>
          <w:sz w:val="24"/>
          <w:u w:val="none"/>
        </w:rPr>
        <w:t>STAFF REPORT</w:t>
      </w:r>
    </w:p>
    <w:p w14:paraId="2C2894AB" w14:textId="77777777" w:rsidR="00F3508D" w:rsidRPr="00F3508D" w:rsidRDefault="00F3508D" w:rsidP="00F3508D">
      <w:pPr>
        <w:jc w:val="center"/>
      </w:pPr>
    </w:p>
    <w:tbl>
      <w:tblPr>
        <w:tblW w:w="9540" w:type="dxa"/>
        <w:jc w:val="center"/>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61C02B11"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BDC3113" w14:textId="77777777" w:rsidR="00F3508D" w:rsidRPr="009349D6" w:rsidRDefault="00F3508D" w:rsidP="0092762F">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9536E49" w14:textId="1FDFB8EF" w:rsidR="00F3508D" w:rsidRPr="009349D6" w:rsidRDefault="00136A22" w:rsidP="0092762F">
            <w:pPr>
              <w:spacing w:before="60" w:after="6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50BAABD4" w14:textId="77777777" w:rsidR="00F3508D" w:rsidRPr="009349D6" w:rsidRDefault="00F3508D" w:rsidP="0092762F">
            <w:pPr>
              <w:spacing w:before="60" w:after="6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45EBE88" w14:textId="77777777" w:rsidR="00F3508D" w:rsidRPr="009349D6" w:rsidRDefault="004A01EA" w:rsidP="0092762F">
            <w:pPr>
              <w:spacing w:before="60" w:after="60"/>
              <w:rPr>
                <w:rFonts w:ascii="Arial" w:hAnsi="Arial" w:cs="Arial"/>
              </w:rPr>
            </w:pPr>
            <w:r>
              <w:rPr>
                <w:rFonts w:ascii="Arial" w:hAnsi="Arial" w:cs="Arial"/>
              </w:rPr>
              <w:t>Nick Wagner</w:t>
            </w:r>
          </w:p>
        </w:tc>
      </w:tr>
      <w:tr w:rsidR="00F3508D" w:rsidRPr="0092762F" w14:paraId="2DD74406"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44105D7" w14:textId="77777777" w:rsidR="00F3508D" w:rsidRPr="0092762F" w:rsidRDefault="00F3508D" w:rsidP="0092762F">
            <w:pPr>
              <w:spacing w:before="60" w:after="60"/>
              <w:rPr>
                <w:rFonts w:ascii="Arial" w:hAnsi="Arial" w:cs="Arial"/>
                <w:b/>
              </w:rPr>
            </w:pPr>
            <w:r w:rsidRPr="009349D6">
              <w:rPr>
                <w:rFonts w:ascii="Arial" w:hAnsi="Arial" w:cs="Arial"/>
                <w:b/>
              </w:rPr>
              <w:t>Proposed No</w:t>
            </w:r>
            <w:r w:rsidRPr="0092762F">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D89DAB3" w14:textId="5FD1F2B9" w:rsidR="00F3508D" w:rsidRPr="00017B2B" w:rsidRDefault="004A01EA" w:rsidP="007D0D5F">
            <w:pPr>
              <w:spacing w:before="60" w:after="60"/>
              <w:rPr>
                <w:rFonts w:ascii="Arial" w:hAnsi="Arial" w:cs="Arial"/>
              </w:rPr>
            </w:pPr>
            <w:r w:rsidRPr="00017B2B">
              <w:rPr>
                <w:rFonts w:ascii="Arial" w:hAnsi="Arial" w:cs="Arial"/>
              </w:rPr>
              <w:t>2015-0</w:t>
            </w:r>
            <w:r w:rsidR="007D0D5F">
              <w:rPr>
                <w:rFonts w:ascii="Arial" w:hAnsi="Arial" w:cs="Arial"/>
              </w:rPr>
              <w:t>3</w:t>
            </w:r>
            <w:r w:rsidR="00D762B7">
              <w:rPr>
                <w:rFonts w:ascii="Arial" w:hAnsi="Arial" w:cs="Arial"/>
              </w:rPr>
              <w:t>40</w:t>
            </w:r>
          </w:p>
        </w:tc>
        <w:tc>
          <w:tcPr>
            <w:tcW w:w="1170" w:type="dxa"/>
            <w:tcBorders>
              <w:top w:val="single" w:sz="4" w:space="0" w:color="auto"/>
              <w:left w:val="single" w:sz="4" w:space="0" w:color="auto"/>
              <w:bottom w:val="single" w:sz="4" w:space="0" w:color="auto"/>
              <w:right w:val="single" w:sz="4" w:space="0" w:color="auto"/>
            </w:tcBorders>
            <w:vAlign w:val="center"/>
          </w:tcPr>
          <w:p w14:paraId="5C97FDCF" w14:textId="77777777" w:rsidR="00F3508D" w:rsidRPr="0092762F" w:rsidRDefault="00F3508D" w:rsidP="0092762F">
            <w:pPr>
              <w:spacing w:before="60" w:after="60"/>
              <w:rPr>
                <w:rFonts w:ascii="Arial" w:hAnsi="Arial" w:cs="Arial"/>
                <w:b/>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DF0E6E8" w14:textId="4BAE3E09" w:rsidR="00F3508D" w:rsidRPr="00017B2B" w:rsidRDefault="00D762B7" w:rsidP="0092762F">
            <w:pPr>
              <w:spacing w:before="60" w:after="60"/>
              <w:rPr>
                <w:rFonts w:ascii="Arial" w:hAnsi="Arial" w:cs="Arial"/>
              </w:rPr>
            </w:pPr>
            <w:r>
              <w:rPr>
                <w:rFonts w:ascii="Arial" w:hAnsi="Arial" w:cs="Arial"/>
              </w:rPr>
              <w:t>October 20</w:t>
            </w:r>
            <w:r w:rsidR="007D0D5F">
              <w:rPr>
                <w:rFonts w:ascii="Arial" w:hAnsi="Arial" w:cs="Arial"/>
              </w:rPr>
              <w:t>,</w:t>
            </w:r>
            <w:r w:rsidR="00C14CB7">
              <w:rPr>
                <w:rFonts w:ascii="Arial" w:hAnsi="Arial" w:cs="Arial"/>
              </w:rPr>
              <w:t xml:space="preserve"> 2015</w:t>
            </w:r>
          </w:p>
        </w:tc>
      </w:tr>
    </w:tbl>
    <w:p w14:paraId="365969AE" w14:textId="77777777" w:rsidR="00F3508D" w:rsidRPr="009349D6" w:rsidRDefault="00F3508D" w:rsidP="00142B5D">
      <w:pPr>
        <w:jc w:val="both"/>
        <w:rPr>
          <w:rFonts w:ascii="Arial" w:hAnsi="Arial" w:cs="Arial"/>
        </w:rPr>
      </w:pPr>
    </w:p>
    <w:p w14:paraId="1F380756" w14:textId="77777777" w:rsidR="006E2802" w:rsidRPr="009349D6" w:rsidRDefault="006E2802" w:rsidP="00142B5D">
      <w:pPr>
        <w:jc w:val="both"/>
        <w:rPr>
          <w:rFonts w:ascii="Arial" w:hAnsi="Arial" w:cs="Arial"/>
          <w:b/>
          <w:u w:val="single"/>
        </w:rPr>
      </w:pPr>
      <w:r w:rsidRPr="009349D6">
        <w:rPr>
          <w:rFonts w:ascii="Arial" w:hAnsi="Arial" w:cs="Arial"/>
          <w:b/>
          <w:u w:val="single"/>
        </w:rPr>
        <w:t>SUBJECT</w:t>
      </w:r>
    </w:p>
    <w:p w14:paraId="437E40E3" w14:textId="77777777" w:rsidR="006E2802" w:rsidRDefault="006E2802" w:rsidP="00142B5D">
      <w:pPr>
        <w:jc w:val="both"/>
        <w:rPr>
          <w:rFonts w:ascii="Arial" w:hAnsi="Arial" w:cs="Arial"/>
        </w:rPr>
      </w:pPr>
    </w:p>
    <w:p w14:paraId="5D8C2BB7" w14:textId="1B5418F8" w:rsidR="000129BA" w:rsidRPr="004C05E9" w:rsidRDefault="00017B2B" w:rsidP="00142B5D">
      <w:pPr>
        <w:jc w:val="both"/>
        <w:rPr>
          <w:rFonts w:ascii="Arial" w:hAnsi="Arial" w:cs="Arial"/>
        </w:rPr>
      </w:pPr>
      <w:proofErr w:type="gramStart"/>
      <w:r>
        <w:rPr>
          <w:rFonts w:ascii="Arial" w:hAnsi="Arial" w:cs="Arial"/>
        </w:rPr>
        <w:t xml:space="preserve">Approval of a collective bargaining agreement </w:t>
      </w:r>
      <w:r w:rsidR="002765EA">
        <w:rPr>
          <w:rFonts w:ascii="Arial" w:hAnsi="Arial" w:cs="Arial"/>
        </w:rPr>
        <w:t xml:space="preserve">with the </w:t>
      </w:r>
      <w:r w:rsidR="007D0D5F">
        <w:rPr>
          <w:rFonts w:ascii="Arial" w:hAnsi="Arial" w:cs="Arial"/>
        </w:rPr>
        <w:t>International Brotherhood of Teamsters, Local 117, covering</w:t>
      </w:r>
      <w:r w:rsidR="00D762B7">
        <w:rPr>
          <w:rFonts w:ascii="Arial" w:hAnsi="Arial" w:cs="Arial"/>
        </w:rPr>
        <w:t xml:space="preserve"> employees in multiple county departments</w:t>
      </w:r>
      <w:r w:rsidR="007D0D5F">
        <w:rPr>
          <w:rFonts w:ascii="Arial" w:hAnsi="Arial" w:cs="Arial"/>
        </w:rPr>
        <w:t>.</w:t>
      </w:r>
      <w:proofErr w:type="gramEnd"/>
    </w:p>
    <w:p w14:paraId="6575F0DB" w14:textId="77777777" w:rsidR="006E2802" w:rsidRPr="009349D6" w:rsidRDefault="006E2802" w:rsidP="00142B5D">
      <w:pPr>
        <w:jc w:val="both"/>
        <w:rPr>
          <w:rFonts w:ascii="Arial" w:hAnsi="Arial" w:cs="Arial"/>
        </w:rPr>
      </w:pPr>
    </w:p>
    <w:p w14:paraId="78A5F88B" w14:textId="77777777" w:rsidR="006E2802" w:rsidRPr="009349D6" w:rsidRDefault="006E2802" w:rsidP="00142B5D">
      <w:pPr>
        <w:jc w:val="both"/>
        <w:rPr>
          <w:rFonts w:ascii="Arial" w:hAnsi="Arial" w:cs="Arial"/>
          <w:b/>
          <w:u w:val="single"/>
        </w:rPr>
      </w:pPr>
      <w:r w:rsidRPr="009349D6">
        <w:rPr>
          <w:rFonts w:ascii="Arial" w:hAnsi="Arial" w:cs="Arial"/>
          <w:b/>
          <w:u w:val="single"/>
        </w:rPr>
        <w:t>SUMMARY</w:t>
      </w:r>
    </w:p>
    <w:p w14:paraId="123CD76C" w14:textId="77777777" w:rsidR="00EB1D6D" w:rsidRPr="000129BA" w:rsidRDefault="00EB1D6D" w:rsidP="00142B5D">
      <w:pPr>
        <w:jc w:val="both"/>
        <w:rPr>
          <w:rFonts w:ascii="Arial" w:hAnsi="Arial" w:cs="Arial"/>
        </w:rPr>
      </w:pPr>
    </w:p>
    <w:p w14:paraId="43210581" w14:textId="2B38AA59" w:rsidR="00EB1D6D" w:rsidRDefault="00017B2B" w:rsidP="00CE47EF">
      <w:pPr>
        <w:spacing w:after="240"/>
        <w:jc w:val="both"/>
        <w:rPr>
          <w:rFonts w:ascii="Arial" w:hAnsi="Arial" w:cs="Arial"/>
        </w:rPr>
      </w:pPr>
      <w:r>
        <w:rPr>
          <w:rFonts w:ascii="Arial" w:hAnsi="Arial" w:cs="Arial"/>
        </w:rPr>
        <w:t>Proposed Ordinance 2015-0</w:t>
      </w:r>
      <w:r w:rsidR="007D0D5F">
        <w:rPr>
          <w:rFonts w:ascii="Arial" w:hAnsi="Arial" w:cs="Arial"/>
        </w:rPr>
        <w:t>3</w:t>
      </w:r>
      <w:r w:rsidR="00D762B7">
        <w:rPr>
          <w:rFonts w:ascii="Arial" w:hAnsi="Arial" w:cs="Arial"/>
        </w:rPr>
        <w:t>40</w:t>
      </w:r>
      <w:bookmarkStart w:id="0" w:name="_GoBack"/>
      <w:bookmarkEnd w:id="0"/>
      <w:r w:rsidR="00A22C93">
        <w:rPr>
          <w:rFonts w:ascii="Arial" w:hAnsi="Arial" w:cs="Arial"/>
        </w:rPr>
        <w:t xml:space="preserve"> </w:t>
      </w:r>
      <w:r w:rsidR="00CE47EF">
        <w:rPr>
          <w:rFonts w:ascii="Arial" w:hAnsi="Arial" w:cs="Arial"/>
        </w:rPr>
        <w:t xml:space="preserve">(Att. 1) </w:t>
      </w:r>
      <w:r w:rsidR="00A22C93">
        <w:rPr>
          <w:rFonts w:ascii="Arial" w:hAnsi="Arial" w:cs="Arial"/>
        </w:rPr>
        <w:t xml:space="preserve">would approve a collective bargaining </w:t>
      </w:r>
      <w:r w:rsidR="002765EA">
        <w:rPr>
          <w:rFonts w:ascii="Arial" w:hAnsi="Arial" w:cs="Arial"/>
        </w:rPr>
        <w:t xml:space="preserve">(CBA) </w:t>
      </w:r>
      <w:r w:rsidR="00A53C9D">
        <w:rPr>
          <w:rFonts w:ascii="Arial" w:hAnsi="Arial" w:cs="Arial"/>
        </w:rPr>
        <w:t xml:space="preserve">(Att. 1-A) </w:t>
      </w:r>
      <w:r w:rsidR="00A22C93">
        <w:rPr>
          <w:rFonts w:ascii="Arial" w:hAnsi="Arial" w:cs="Arial"/>
        </w:rPr>
        <w:t xml:space="preserve">with the </w:t>
      </w:r>
      <w:r w:rsidR="007D0D5F">
        <w:rPr>
          <w:rFonts w:ascii="Arial" w:hAnsi="Arial" w:cs="Arial"/>
        </w:rPr>
        <w:t xml:space="preserve">International Brotherhood of Teamsters, Local 117, </w:t>
      </w:r>
      <w:r w:rsidR="00A22C93" w:rsidRPr="00CE47EF">
        <w:rPr>
          <w:rFonts w:ascii="Arial" w:hAnsi="Arial" w:cs="Arial"/>
        </w:rPr>
        <w:t xml:space="preserve">covering </w:t>
      </w:r>
      <w:r w:rsidR="007D0D5F">
        <w:rPr>
          <w:rFonts w:ascii="Arial" w:hAnsi="Arial" w:cs="Arial"/>
        </w:rPr>
        <w:t xml:space="preserve">about </w:t>
      </w:r>
      <w:r w:rsidR="00D762B7">
        <w:rPr>
          <w:rFonts w:ascii="Arial" w:hAnsi="Arial" w:cs="Arial"/>
        </w:rPr>
        <w:t>650</w:t>
      </w:r>
      <w:r w:rsidR="00BA0366">
        <w:rPr>
          <w:rFonts w:ascii="Arial" w:hAnsi="Arial" w:cs="Arial"/>
        </w:rPr>
        <w:t xml:space="preserve"> </w:t>
      </w:r>
      <w:r w:rsidR="00D762B7">
        <w:rPr>
          <w:rFonts w:ascii="Arial" w:hAnsi="Arial" w:cs="Arial"/>
        </w:rPr>
        <w:t>employees in the following county departments:</w:t>
      </w:r>
    </w:p>
    <w:p w14:paraId="60C6224B" w14:textId="77777777" w:rsidR="00BD0C46" w:rsidRDefault="00BD0C46" w:rsidP="00BD0C46">
      <w:pPr>
        <w:pStyle w:val="ListParagraph"/>
        <w:numPr>
          <w:ilvl w:val="0"/>
          <w:numId w:val="19"/>
        </w:numPr>
        <w:contextualSpacing/>
        <w:jc w:val="both"/>
      </w:pPr>
      <w:r w:rsidRPr="00DF5B80">
        <w:t>Community and Human Services</w:t>
      </w:r>
      <w:r>
        <w:t>;</w:t>
      </w:r>
    </w:p>
    <w:p w14:paraId="21525CA3" w14:textId="77777777" w:rsidR="00DF5B80" w:rsidRDefault="00DF5B80" w:rsidP="00DF5B80">
      <w:pPr>
        <w:pStyle w:val="ListParagraph"/>
        <w:numPr>
          <w:ilvl w:val="0"/>
          <w:numId w:val="19"/>
        </w:numPr>
        <w:contextualSpacing/>
        <w:jc w:val="both"/>
      </w:pPr>
      <w:r w:rsidRPr="00DF5B80">
        <w:t>Departments o</w:t>
      </w:r>
      <w:r>
        <w:t>f Adult and Juvenile Detention;</w:t>
      </w:r>
    </w:p>
    <w:p w14:paraId="57F24FD6" w14:textId="0BD4BEAB" w:rsidR="00BD0C46" w:rsidRPr="00DF5B80" w:rsidRDefault="00BD0C46" w:rsidP="00BD0C46">
      <w:pPr>
        <w:pStyle w:val="ListParagraph"/>
        <w:numPr>
          <w:ilvl w:val="0"/>
          <w:numId w:val="19"/>
        </w:numPr>
        <w:contextualSpacing/>
        <w:jc w:val="both"/>
      </w:pPr>
      <w:r w:rsidRPr="00DF5B80">
        <w:t>Elections</w:t>
      </w:r>
      <w:r>
        <w:t>;</w:t>
      </w:r>
    </w:p>
    <w:p w14:paraId="632003A0" w14:textId="77777777" w:rsidR="00DF5B80" w:rsidRDefault="00DF5B80" w:rsidP="00DF5B80">
      <w:pPr>
        <w:pStyle w:val="ListParagraph"/>
        <w:numPr>
          <w:ilvl w:val="0"/>
          <w:numId w:val="19"/>
        </w:numPr>
        <w:contextualSpacing/>
        <w:jc w:val="both"/>
      </w:pPr>
      <w:r>
        <w:t>Executive Services;</w:t>
      </w:r>
    </w:p>
    <w:p w14:paraId="63F08EBF" w14:textId="77777777" w:rsidR="00DF5B80" w:rsidRDefault="00DF5B80" w:rsidP="00DF5B80">
      <w:pPr>
        <w:pStyle w:val="ListParagraph"/>
        <w:numPr>
          <w:ilvl w:val="0"/>
          <w:numId w:val="19"/>
        </w:numPr>
        <w:contextualSpacing/>
        <w:jc w:val="both"/>
      </w:pPr>
      <w:r w:rsidRPr="00DF5B80">
        <w:t>King</w:t>
      </w:r>
      <w:r>
        <w:t xml:space="preserve"> County Information Technology;</w:t>
      </w:r>
    </w:p>
    <w:p w14:paraId="251BECFB" w14:textId="77777777" w:rsidR="00DF5B80" w:rsidRDefault="00DF5B80" w:rsidP="00DF5B80">
      <w:pPr>
        <w:pStyle w:val="ListParagraph"/>
        <w:numPr>
          <w:ilvl w:val="0"/>
          <w:numId w:val="19"/>
        </w:numPr>
        <w:contextualSpacing/>
        <w:jc w:val="both"/>
      </w:pPr>
      <w:r>
        <w:t>Natural Resources and Parks;</w:t>
      </w:r>
    </w:p>
    <w:p w14:paraId="67CC2559" w14:textId="05107C97" w:rsidR="00DF5B80" w:rsidRDefault="00DF5B80" w:rsidP="00DF5B80">
      <w:pPr>
        <w:pStyle w:val="ListParagraph"/>
        <w:numPr>
          <w:ilvl w:val="0"/>
          <w:numId w:val="19"/>
        </w:numPr>
        <w:contextualSpacing/>
        <w:jc w:val="both"/>
      </w:pPr>
      <w:r w:rsidRPr="00DF5B80">
        <w:t>Permi</w:t>
      </w:r>
      <w:r>
        <w:t>tting and Environmental Review;</w:t>
      </w:r>
    </w:p>
    <w:p w14:paraId="773EC536" w14:textId="5709D3F4" w:rsidR="00DF5B80" w:rsidRDefault="00DF5B80" w:rsidP="00DF5B80">
      <w:pPr>
        <w:pStyle w:val="ListParagraph"/>
        <w:numPr>
          <w:ilvl w:val="0"/>
          <w:numId w:val="19"/>
        </w:numPr>
        <w:contextualSpacing/>
        <w:jc w:val="both"/>
      </w:pPr>
      <w:r>
        <w:t>Public Health;</w:t>
      </w:r>
      <w:r w:rsidR="00BD0C46">
        <w:t xml:space="preserve"> and</w:t>
      </w:r>
    </w:p>
    <w:p w14:paraId="1334FABD" w14:textId="2A67468A" w:rsidR="00DF5B80" w:rsidRDefault="00DF5B80" w:rsidP="00DF5B80">
      <w:pPr>
        <w:pStyle w:val="ListParagraph"/>
        <w:numPr>
          <w:ilvl w:val="0"/>
          <w:numId w:val="19"/>
        </w:numPr>
        <w:contextualSpacing/>
        <w:jc w:val="both"/>
      </w:pPr>
      <w:r w:rsidRPr="00DF5B80">
        <w:t>Transportation</w:t>
      </w:r>
      <w:r w:rsidR="00BD0C46">
        <w:t>.</w:t>
      </w:r>
    </w:p>
    <w:p w14:paraId="3FED2B1C" w14:textId="03CF5C77" w:rsidR="00B86F8E" w:rsidRDefault="00C936DB" w:rsidP="00CE47EF">
      <w:pPr>
        <w:spacing w:after="240"/>
        <w:jc w:val="both"/>
        <w:rPr>
          <w:rFonts w:ascii="Arial" w:hAnsi="Arial" w:cs="Arial"/>
        </w:rPr>
      </w:pPr>
      <w:r>
        <w:rPr>
          <w:rFonts w:ascii="Arial" w:hAnsi="Arial" w:cs="Arial"/>
        </w:rPr>
        <w:t xml:space="preserve">As described in the Executive’s transmittal letter (Att. 3), </w:t>
      </w:r>
      <w:r w:rsidR="00DF5B80">
        <w:rPr>
          <w:rFonts w:ascii="Arial" w:hAnsi="Arial" w:cs="Arial"/>
        </w:rPr>
        <w:t xml:space="preserve">the covered employees perform a wide </w:t>
      </w:r>
      <w:r w:rsidR="00BD0C46">
        <w:rPr>
          <w:rFonts w:ascii="Arial" w:hAnsi="Arial" w:cs="Arial"/>
        </w:rPr>
        <w:t>variety</w:t>
      </w:r>
      <w:r w:rsidR="00DF5B80">
        <w:rPr>
          <w:rFonts w:ascii="Arial" w:hAnsi="Arial" w:cs="Arial"/>
        </w:rPr>
        <w:t xml:space="preserve"> </w:t>
      </w:r>
      <w:r w:rsidR="00B86F8E" w:rsidRPr="00B86F8E">
        <w:rPr>
          <w:rFonts w:ascii="Arial" w:hAnsi="Arial" w:cs="Arial"/>
        </w:rPr>
        <w:t>of services</w:t>
      </w:r>
      <w:r w:rsidR="00B86F8E">
        <w:rPr>
          <w:rFonts w:ascii="Arial" w:hAnsi="Arial" w:cs="Arial"/>
        </w:rPr>
        <w:t>, including:</w:t>
      </w:r>
    </w:p>
    <w:p w14:paraId="19F3C16B" w14:textId="08AA05D0" w:rsidR="00B86F8E" w:rsidRDefault="00B86F8E" w:rsidP="00B86F8E">
      <w:pPr>
        <w:pStyle w:val="ListParagraph"/>
        <w:numPr>
          <w:ilvl w:val="0"/>
          <w:numId w:val="20"/>
        </w:numPr>
        <w:ind w:left="1440"/>
        <w:jc w:val="both"/>
      </w:pPr>
      <w:r w:rsidRPr="00B86F8E">
        <w:t>Internal services</w:t>
      </w:r>
      <w:r w:rsidR="00BD0C46">
        <w:t>:</w:t>
      </w:r>
    </w:p>
    <w:p w14:paraId="08909F07" w14:textId="77777777" w:rsidR="00BD0C46" w:rsidRDefault="00BD0C46" w:rsidP="00CA4267">
      <w:pPr>
        <w:pStyle w:val="ListParagraph"/>
        <w:numPr>
          <w:ilvl w:val="1"/>
          <w:numId w:val="20"/>
        </w:numPr>
        <w:ind w:left="2160"/>
        <w:contextualSpacing/>
      </w:pPr>
      <w:r>
        <w:t>A</w:t>
      </w:r>
      <w:r w:rsidRPr="00B86F8E">
        <w:t xml:space="preserve">ccounting, payroll, finance, </w:t>
      </w:r>
      <w:r>
        <w:t xml:space="preserve">and </w:t>
      </w:r>
      <w:r w:rsidRPr="00B86F8E">
        <w:t>procurement</w:t>
      </w:r>
      <w:r>
        <w:t>;</w:t>
      </w:r>
    </w:p>
    <w:p w14:paraId="04EB3F55" w14:textId="1B29A1C4" w:rsidR="00B86F8E" w:rsidRDefault="00B86F8E" w:rsidP="00CA4267">
      <w:pPr>
        <w:pStyle w:val="ListParagraph"/>
        <w:numPr>
          <w:ilvl w:val="1"/>
          <w:numId w:val="20"/>
        </w:numPr>
        <w:ind w:left="2160"/>
        <w:contextualSpacing/>
      </w:pPr>
      <w:r>
        <w:t>A</w:t>
      </w:r>
      <w:r w:rsidRPr="00B86F8E">
        <w:t>dministrative support</w:t>
      </w:r>
      <w:r>
        <w:t>;</w:t>
      </w:r>
    </w:p>
    <w:p w14:paraId="1BD07051" w14:textId="7390DB7C" w:rsidR="00BD0C46" w:rsidRDefault="00BD0C46" w:rsidP="00CA4267">
      <w:pPr>
        <w:pStyle w:val="ListParagraph"/>
        <w:numPr>
          <w:ilvl w:val="1"/>
          <w:numId w:val="20"/>
        </w:numPr>
        <w:ind w:left="2160"/>
        <w:contextualSpacing/>
      </w:pPr>
      <w:r>
        <w:t>H</w:t>
      </w:r>
      <w:r w:rsidRPr="00B86F8E">
        <w:t>uman resources support services</w:t>
      </w:r>
      <w:r>
        <w:t>;</w:t>
      </w:r>
    </w:p>
    <w:p w14:paraId="55A12603" w14:textId="16F787C5" w:rsidR="00B86F8E" w:rsidRDefault="00B86F8E" w:rsidP="00CA4267">
      <w:pPr>
        <w:pStyle w:val="ListParagraph"/>
        <w:numPr>
          <w:ilvl w:val="1"/>
          <w:numId w:val="20"/>
        </w:numPr>
        <w:ind w:left="2160"/>
        <w:contextualSpacing/>
      </w:pPr>
      <w:r>
        <w:t>I</w:t>
      </w:r>
      <w:r w:rsidRPr="00B86F8E">
        <w:t>nformation t</w:t>
      </w:r>
      <w:r w:rsidR="00BD0C46">
        <w:t>echnology support and services; and</w:t>
      </w:r>
    </w:p>
    <w:p w14:paraId="0646071E" w14:textId="7A5C52AB" w:rsidR="00172D38" w:rsidRDefault="00BD0C46" w:rsidP="00CA4267">
      <w:pPr>
        <w:pStyle w:val="ListParagraph"/>
        <w:numPr>
          <w:ilvl w:val="1"/>
          <w:numId w:val="20"/>
        </w:numPr>
        <w:ind w:left="2160"/>
        <w:jc w:val="both"/>
      </w:pPr>
      <w:r>
        <w:t>Project management.</w:t>
      </w:r>
    </w:p>
    <w:p w14:paraId="6F374CA9" w14:textId="7DADA76B" w:rsidR="001F1609" w:rsidRDefault="00B86F8E" w:rsidP="00172D38">
      <w:pPr>
        <w:pStyle w:val="ListParagraph"/>
        <w:numPr>
          <w:ilvl w:val="0"/>
          <w:numId w:val="20"/>
        </w:numPr>
        <w:ind w:left="1440"/>
        <w:jc w:val="both"/>
      </w:pPr>
      <w:r w:rsidRPr="00B86F8E">
        <w:t>External services</w:t>
      </w:r>
      <w:r w:rsidR="001F1609">
        <w:t>:</w:t>
      </w:r>
    </w:p>
    <w:p w14:paraId="424EADE8" w14:textId="77777777" w:rsidR="00BD0C46" w:rsidRPr="00B86F8E" w:rsidRDefault="00BD0C46" w:rsidP="00CA4267">
      <w:pPr>
        <w:pStyle w:val="ListParagraph"/>
        <w:numPr>
          <w:ilvl w:val="1"/>
          <w:numId w:val="20"/>
        </w:numPr>
        <w:ind w:left="2160"/>
        <w:contextualSpacing/>
      </w:pPr>
      <w:r>
        <w:t>C</w:t>
      </w:r>
      <w:r w:rsidRPr="00B86F8E">
        <w:t>ommunications and customer related services.</w:t>
      </w:r>
    </w:p>
    <w:p w14:paraId="4156DCE3" w14:textId="34F760C5" w:rsidR="00BD0C46" w:rsidRDefault="00BD0C46" w:rsidP="00CA4267">
      <w:pPr>
        <w:pStyle w:val="ListParagraph"/>
        <w:numPr>
          <w:ilvl w:val="1"/>
          <w:numId w:val="20"/>
        </w:numPr>
        <w:ind w:left="2160"/>
        <w:contextualSpacing/>
      </w:pPr>
      <w:r>
        <w:t>Real property management;</w:t>
      </w:r>
    </w:p>
    <w:p w14:paraId="187351CA" w14:textId="11484660" w:rsidR="00BD0C46" w:rsidRDefault="00BD0C46" w:rsidP="00CA4267">
      <w:pPr>
        <w:pStyle w:val="ListParagraph"/>
        <w:numPr>
          <w:ilvl w:val="1"/>
          <w:numId w:val="20"/>
        </w:numPr>
        <w:ind w:left="2160"/>
        <w:contextualSpacing/>
      </w:pPr>
      <w:r>
        <w:lastRenderedPageBreak/>
        <w:t>Recorder’s Office; and</w:t>
      </w:r>
    </w:p>
    <w:p w14:paraId="2159E900" w14:textId="08A08CC6" w:rsidR="001F1609" w:rsidRDefault="001F1609" w:rsidP="00CA4267">
      <w:pPr>
        <w:pStyle w:val="ListParagraph"/>
        <w:numPr>
          <w:ilvl w:val="1"/>
          <w:numId w:val="20"/>
        </w:numPr>
        <w:ind w:left="2160"/>
        <w:contextualSpacing/>
      </w:pPr>
      <w:r>
        <w:t>V</w:t>
      </w:r>
      <w:r w:rsidR="00B86F8E" w:rsidRPr="00B86F8E">
        <w:t>ehicle, marriage</w:t>
      </w:r>
      <w:r w:rsidR="00BD0C46">
        <w:t>, and taxi licensing.</w:t>
      </w:r>
    </w:p>
    <w:p w14:paraId="2F0B05E8" w14:textId="6556D26E" w:rsidR="00BD0C46" w:rsidRDefault="00BD0C46" w:rsidP="002765EA">
      <w:pPr>
        <w:spacing w:after="240"/>
        <w:jc w:val="both"/>
        <w:rPr>
          <w:rFonts w:ascii="Arial" w:hAnsi="Arial" w:cs="Arial"/>
        </w:rPr>
      </w:pPr>
      <w:r>
        <w:rPr>
          <w:rFonts w:ascii="Arial" w:hAnsi="Arial" w:cs="Arial"/>
        </w:rPr>
        <w:t>Their classifications are listed in Addenda A and B to the CBA (Att. 1-A).</w:t>
      </w:r>
    </w:p>
    <w:p w14:paraId="64DCF356" w14:textId="42CA275F" w:rsidR="002765EA" w:rsidRPr="002765EA" w:rsidRDefault="0040401E" w:rsidP="002765EA">
      <w:pPr>
        <w:spacing w:after="240"/>
        <w:jc w:val="both"/>
        <w:rPr>
          <w:rFonts w:ascii="Arial" w:hAnsi="Arial" w:cs="Arial"/>
        </w:rPr>
      </w:pPr>
      <w:r>
        <w:rPr>
          <w:rFonts w:ascii="Arial" w:hAnsi="Arial" w:cs="Arial"/>
        </w:rPr>
        <w:t xml:space="preserve">The new CBA is a </w:t>
      </w:r>
      <w:r w:rsidR="008A7C91">
        <w:rPr>
          <w:rFonts w:ascii="Arial" w:hAnsi="Arial" w:cs="Arial"/>
        </w:rPr>
        <w:t>23</w:t>
      </w:r>
      <w:r w:rsidR="007D0D5F">
        <w:rPr>
          <w:rFonts w:ascii="Arial" w:hAnsi="Arial" w:cs="Arial"/>
        </w:rPr>
        <w:t>-month</w:t>
      </w:r>
      <w:r w:rsidR="00733F42">
        <w:rPr>
          <w:rFonts w:ascii="Arial" w:hAnsi="Arial" w:cs="Arial"/>
        </w:rPr>
        <w:t xml:space="preserve"> </w:t>
      </w:r>
      <w:r>
        <w:rPr>
          <w:rFonts w:ascii="Arial" w:hAnsi="Arial" w:cs="Arial"/>
        </w:rPr>
        <w:t xml:space="preserve">continuation of the </w:t>
      </w:r>
      <w:r w:rsidR="003262A9">
        <w:rPr>
          <w:rFonts w:ascii="Arial" w:hAnsi="Arial" w:cs="Arial"/>
        </w:rPr>
        <w:t xml:space="preserve">current </w:t>
      </w:r>
      <w:r>
        <w:rPr>
          <w:rFonts w:ascii="Arial" w:hAnsi="Arial" w:cs="Arial"/>
        </w:rPr>
        <w:t xml:space="preserve">CBA, as modified by a memorandum of agreement (MOA) </w:t>
      </w:r>
      <w:r w:rsidR="00733F42">
        <w:rPr>
          <w:rFonts w:ascii="Arial" w:hAnsi="Arial" w:cs="Arial"/>
        </w:rPr>
        <w:t>(</w:t>
      </w:r>
      <w:r w:rsidR="007D0D5F">
        <w:rPr>
          <w:rFonts w:ascii="Arial" w:hAnsi="Arial" w:cs="Arial"/>
        </w:rPr>
        <w:t xml:space="preserve">Addendum </w:t>
      </w:r>
      <w:r w:rsidR="00BD0C46">
        <w:rPr>
          <w:rFonts w:ascii="Arial" w:hAnsi="Arial" w:cs="Arial"/>
        </w:rPr>
        <w:t>C</w:t>
      </w:r>
      <w:r w:rsidR="00733F42">
        <w:rPr>
          <w:rFonts w:ascii="Arial" w:hAnsi="Arial" w:cs="Arial"/>
        </w:rPr>
        <w:t xml:space="preserve"> to the CBA, Att. 1-A) </w:t>
      </w:r>
      <w:r w:rsidR="007D0D5F">
        <w:rPr>
          <w:rFonts w:ascii="Arial" w:hAnsi="Arial" w:cs="Arial"/>
        </w:rPr>
        <w:t xml:space="preserve">with the King County Coalition of Unions </w:t>
      </w:r>
      <w:r>
        <w:rPr>
          <w:rFonts w:ascii="Arial" w:hAnsi="Arial" w:cs="Arial"/>
        </w:rPr>
        <w:t xml:space="preserve">that the Council approved </w:t>
      </w:r>
      <w:r w:rsidR="007D0D5F">
        <w:rPr>
          <w:rFonts w:ascii="Arial" w:hAnsi="Arial" w:cs="Arial"/>
        </w:rPr>
        <w:t>in</w:t>
      </w:r>
      <w:r>
        <w:rPr>
          <w:rFonts w:ascii="Arial" w:hAnsi="Arial" w:cs="Arial"/>
        </w:rPr>
        <w:t xml:space="preserve"> November</w:t>
      </w:r>
      <w:r w:rsidR="00733F42">
        <w:rPr>
          <w:rFonts w:ascii="Arial" w:hAnsi="Arial" w:cs="Arial"/>
        </w:rPr>
        <w:t xml:space="preserve"> 2014</w:t>
      </w:r>
      <w:r w:rsidR="00433053">
        <w:rPr>
          <w:rFonts w:ascii="Arial" w:hAnsi="Arial" w:cs="Arial"/>
        </w:rPr>
        <w:t xml:space="preserve"> and with the other changes</w:t>
      </w:r>
      <w:r w:rsidR="007D0D5F">
        <w:rPr>
          <w:rFonts w:ascii="Arial" w:hAnsi="Arial" w:cs="Arial"/>
        </w:rPr>
        <w:t xml:space="preserve"> described below</w:t>
      </w:r>
      <w:r>
        <w:rPr>
          <w:rFonts w:ascii="Arial" w:hAnsi="Arial" w:cs="Arial"/>
        </w:rPr>
        <w:t xml:space="preserve">. </w:t>
      </w:r>
      <w:r>
        <w:rPr>
          <w:rFonts w:ascii="Arial" w:hAnsi="Arial" w:cs="Arial"/>
          <w:bCs/>
          <w:szCs w:val="22"/>
        </w:rPr>
        <w:t xml:space="preserve">The new CBA covers the </w:t>
      </w:r>
      <w:r w:rsidR="007D0D5F">
        <w:rPr>
          <w:rFonts w:ascii="Arial" w:hAnsi="Arial" w:cs="Arial"/>
          <w:bCs/>
          <w:szCs w:val="22"/>
        </w:rPr>
        <w:t>period from February 1, 201</w:t>
      </w:r>
      <w:r w:rsidR="008A7C91">
        <w:rPr>
          <w:rFonts w:ascii="Arial" w:hAnsi="Arial" w:cs="Arial"/>
          <w:bCs/>
          <w:szCs w:val="22"/>
        </w:rPr>
        <w:t>5</w:t>
      </w:r>
      <w:r w:rsidR="007D0D5F">
        <w:rPr>
          <w:rFonts w:ascii="Arial" w:hAnsi="Arial" w:cs="Arial"/>
          <w:bCs/>
          <w:szCs w:val="22"/>
        </w:rPr>
        <w:t>, through December</w:t>
      </w:r>
      <w:r>
        <w:rPr>
          <w:rFonts w:ascii="Arial" w:hAnsi="Arial" w:cs="Arial"/>
          <w:bCs/>
          <w:szCs w:val="22"/>
        </w:rPr>
        <w:t xml:space="preserve"> </w:t>
      </w:r>
      <w:r w:rsidR="007D0D5F">
        <w:rPr>
          <w:rFonts w:ascii="Arial" w:hAnsi="Arial" w:cs="Arial"/>
          <w:bCs/>
          <w:szCs w:val="22"/>
        </w:rPr>
        <w:t xml:space="preserve">31, </w:t>
      </w:r>
      <w:r>
        <w:rPr>
          <w:rFonts w:ascii="Arial" w:hAnsi="Arial" w:cs="Arial"/>
          <w:bCs/>
          <w:szCs w:val="22"/>
        </w:rPr>
        <w:t>2016.</w:t>
      </w:r>
    </w:p>
    <w:p w14:paraId="0B702368" w14:textId="77777777" w:rsidR="00EB1D6D" w:rsidRPr="009349D6" w:rsidRDefault="00EB1D6D" w:rsidP="00142B5D">
      <w:pPr>
        <w:jc w:val="both"/>
        <w:rPr>
          <w:rFonts w:ascii="Arial" w:hAnsi="Arial" w:cs="Arial"/>
          <w:b/>
          <w:u w:val="single"/>
        </w:rPr>
      </w:pPr>
      <w:r w:rsidRPr="009349D6">
        <w:rPr>
          <w:rFonts w:ascii="Arial" w:hAnsi="Arial" w:cs="Arial"/>
          <w:b/>
          <w:u w:val="single"/>
        </w:rPr>
        <w:t>BACKGROUND</w:t>
      </w:r>
    </w:p>
    <w:p w14:paraId="680AF53E" w14:textId="77777777" w:rsidR="006E2802" w:rsidRDefault="006E2802" w:rsidP="00142B5D">
      <w:pPr>
        <w:jc w:val="both"/>
        <w:rPr>
          <w:rFonts w:ascii="Arial" w:hAnsi="Arial" w:cs="Arial"/>
        </w:rPr>
      </w:pPr>
    </w:p>
    <w:p w14:paraId="076F28AA" w14:textId="1DAA17BF" w:rsidR="0040401E" w:rsidRDefault="002F715D" w:rsidP="00433053">
      <w:pPr>
        <w:jc w:val="both"/>
        <w:rPr>
          <w:rFonts w:ascii="Arial" w:hAnsi="Arial" w:cs="Arial"/>
        </w:rPr>
      </w:pPr>
      <w:r>
        <w:rPr>
          <w:rFonts w:ascii="Arial" w:hAnsi="Arial" w:cs="Arial"/>
        </w:rPr>
        <w:t>This bargaining unit’s previous CBA expired at the end of January 201</w:t>
      </w:r>
      <w:r w:rsidR="008A7C91">
        <w:rPr>
          <w:rFonts w:ascii="Arial" w:hAnsi="Arial" w:cs="Arial"/>
        </w:rPr>
        <w:t>5</w:t>
      </w:r>
      <w:r>
        <w:rPr>
          <w:rFonts w:ascii="Arial" w:hAnsi="Arial" w:cs="Arial"/>
        </w:rPr>
        <w:t xml:space="preserve">, but its terms continued </w:t>
      </w:r>
      <w:r w:rsidRPr="006B67F1">
        <w:rPr>
          <w:rFonts w:ascii="Arial" w:hAnsi="Arial" w:cs="Arial"/>
        </w:rPr>
        <w:t xml:space="preserve">in effect pursuant to RCW </w:t>
      </w:r>
      <w:r w:rsidRPr="006B67F1">
        <w:rPr>
          <w:rFonts w:ascii="Arial" w:hAnsi="Arial" w:cs="Arial"/>
          <w:bCs/>
        </w:rPr>
        <w:t>41.56.123</w:t>
      </w:r>
      <w:r>
        <w:rPr>
          <w:rFonts w:ascii="Arial" w:hAnsi="Arial" w:cs="Arial"/>
          <w:bCs/>
        </w:rPr>
        <w:t>(1),</w:t>
      </w:r>
      <w:r>
        <w:rPr>
          <w:rStyle w:val="FootnoteReference"/>
          <w:rFonts w:ascii="Arial" w:hAnsi="Arial" w:cs="Arial"/>
          <w:bCs/>
        </w:rPr>
        <w:footnoteReference w:id="1"/>
      </w:r>
      <w:r>
        <w:rPr>
          <w:rFonts w:ascii="Arial" w:hAnsi="Arial" w:cs="Arial"/>
          <w:bCs/>
        </w:rPr>
        <w:t xml:space="preserve"> except to the extent that they were modified by an MOA between the County and the King County Coalition of Unions that the Council approved on November 10, 2014, by Ordinance 17916. The Coalition MOA provided for </w:t>
      </w:r>
      <w:r>
        <w:rPr>
          <w:rFonts w:ascii="Arial" w:hAnsi="Arial" w:cs="Arial"/>
        </w:rPr>
        <w:t>cost-of-living adjustments (COLAs) of 2.00 percent for 2015 and 2.25 percent for 2016 and a $500-per-employee lump sum payment for 2014.</w:t>
      </w:r>
    </w:p>
    <w:p w14:paraId="4E77ACC4" w14:textId="77777777" w:rsidR="0040401E" w:rsidRDefault="0040401E" w:rsidP="0040401E">
      <w:pPr>
        <w:rPr>
          <w:rFonts w:ascii="Arial" w:hAnsi="Arial" w:cs="Arial"/>
        </w:rPr>
      </w:pPr>
    </w:p>
    <w:p w14:paraId="602BBF15" w14:textId="77777777" w:rsidR="0040401E" w:rsidRPr="00905A5E" w:rsidRDefault="0040401E" w:rsidP="0040401E">
      <w:pPr>
        <w:keepNext/>
        <w:rPr>
          <w:rFonts w:ascii="Arial" w:hAnsi="Arial" w:cs="Arial"/>
          <w:b/>
          <w:u w:val="single"/>
        </w:rPr>
      </w:pPr>
      <w:r>
        <w:rPr>
          <w:rFonts w:ascii="Arial" w:hAnsi="Arial" w:cs="Arial"/>
          <w:b/>
          <w:u w:val="single"/>
        </w:rPr>
        <w:t>ANALYSIS</w:t>
      </w:r>
    </w:p>
    <w:p w14:paraId="094E6758" w14:textId="77777777" w:rsidR="0040401E" w:rsidRDefault="0040401E" w:rsidP="0040401E">
      <w:pPr>
        <w:keepNext/>
        <w:rPr>
          <w:rFonts w:ascii="Arial" w:hAnsi="Arial" w:cs="Arial"/>
        </w:rPr>
      </w:pPr>
    </w:p>
    <w:p w14:paraId="751BAE01" w14:textId="5FA137F6" w:rsidR="00067B90" w:rsidRDefault="0040401E" w:rsidP="0040401E">
      <w:pPr>
        <w:spacing w:after="240"/>
        <w:rPr>
          <w:rFonts w:ascii="Arial" w:hAnsi="Arial" w:cs="Arial"/>
        </w:rPr>
      </w:pPr>
      <w:r>
        <w:rPr>
          <w:rFonts w:ascii="Arial" w:hAnsi="Arial" w:cs="Arial"/>
        </w:rPr>
        <w:t xml:space="preserve">The </w:t>
      </w:r>
      <w:r w:rsidR="00D12423">
        <w:rPr>
          <w:rFonts w:ascii="Arial" w:hAnsi="Arial" w:cs="Arial"/>
        </w:rPr>
        <w:t>most notable</w:t>
      </w:r>
      <w:r>
        <w:rPr>
          <w:rFonts w:ascii="Arial" w:hAnsi="Arial" w:cs="Arial"/>
        </w:rPr>
        <w:t xml:space="preserve"> changes in the new CBA are</w:t>
      </w:r>
      <w:r w:rsidR="00067B90">
        <w:rPr>
          <w:rFonts w:ascii="Arial" w:hAnsi="Arial" w:cs="Arial"/>
        </w:rPr>
        <w:t>:</w:t>
      </w:r>
    </w:p>
    <w:p w14:paraId="4239A16E" w14:textId="56C486CB" w:rsidR="00067B90" w:rsidRPr="00410E95" w:rsidRDefault="000D16F1" w:rsidP="00433053">
      <w:pPr>
        <w:pStyle w:val="ListParagraph"/>
        <w:numPr>
          <w:ilvl w:val="0"/>
          <w:numId w:val="23"/>
        </w:numPr>
        <w:jc w:val="both"/>
      </w:pPr>
      <w:r>
        <w:rPr>
          <w:u w:val="single"/>
        </w:rPr>
        <w:t>Effective Dates</w:t>
      </w:r>
      <w:r>
        <w:t xml:space="preserve">. </w:t>
      </w:r>
      <w:r w:rsidR="009C3BF5">
        <w:t>T</w:t>
      </w:r>
      <w:r w:rsidR="0040401E" w:rsidRPr="00410E95">
        <w:t>he new effective dates (</w:t>
      </w:r>
      <w:r w:rsidR="002F715D" w:rsidRPr="00410E95">
        <w:t>February</w:t>
      </w:r>
      <w:r w:rsidR="0040401E" w:rsidRPr="00410E95">
        <w:t xml:space="preserve"> 1</w:t>
      </w:r>
      <w:r w:rsidR="002F715D" w:rsidRPr="00410E95">
        <w:t>, 201</w:t>
      </w:r>
      <w:r w:rsidR="00D12423">
        <w:t>5</w:t>
      </w:r>
      <w:r w:rsidR="002F715D" w:rsidRPr="00410E95">
        <w:t>,</w:t>
      </w:r>
      <w:r w:rsidR="001D4384" w:rsidRPr="00410E95">
        <w:t xml:space="preserve"> through </w:t>
      </w:r>
      <w:r w:rsidR="0040401E" w:rsidRPr="00410E95">
        <w:t>December 31, 2016)</w:t>
      </w:r>
      <w:r w:rsidR="00BD0C46">
        <w:t xml:space="preserve"> (CBA Art. 21; Att. 1-A, p. 41)</w:t>
      </w:r>
      <w:r w:rsidR="00067B90" w:rsidRPr="00410E95">
        <w:t>;</w:t>
      </w:r>
    </w:p>
    <w:p w14:paraId="480074B9" w14:textId="2A02A7C3" w:rsidR="00067B90" w:rsidRPr="00410E95" w:rsidRDefault="00473DF2" w:rsidP="00433053">
      <w:pPr>
        <w:pStyle w:val="ListParagraph"/>
        <w:numPr>
          <w:ilvl w:val="0"/>
          <w:numId w:val="23"/>
        </w:numPr>
        <w:jc w:val="both"/>
      </w:pPr>
      <w:r>
        <w:rPr>
          <w:u w:val="single"/>
        </w:rPr>
        <w:t>COLAs</w:t>
      </w:r>
      <w:r>
        <w:t xml:space="preserve">. </w:t>
      </w:r>
      <w:r w:rsidR="009C3BF5">
        <w:t>T</w:t>
      </w:r>
      <w:r w:rsidR="0040401E" w:rsidRPr="00410E95">
        <w:t xml:space="preserve">he changes made by the </w:t>
      </w:r>
      <w:r w:rsidR="00067B90" w:rsidRPr="00410E95">
        <w:t xml:space="preserve">2014 </w:t>
      </w:r>
      <w:r w:rsidR="002F715D" w:rsidRPr="00410E95">
        <w:t xml:space="preserve">Coalition </w:t>
      </w:r>
      <w:r w:rsidR="0040401E" w:rsidRPr="00410E95">
        <w:t>MOA that the Council approved</w:t>
      </w:r>
      <w:r w:rsidR="00A9290E" w:rsidRPr="00410E95">
        <w:t xml:space="preserve"> </w:t>
      </w:r>
      <w:r w:rsidR="0040401E" w:rsidRPr="00410E95">
        <w:t>in November 2014, as described above</w:t>
      </w:r>
      <w:r w:rsidR="00BD0C46">
        <w:t xml:space="preserve"> (2.00% </w:t>
      </w:r>
      <w:r w:rsidR="00E8276E">
        <w:t xml:space="preserve">COLA </w:t>
      </w:r>
      <w:r w:rsidR="00BD0C46">
        <w:t>for 2015; 2.25% for 2016) (CBA § 8.6; Att. 1-A, p. 22)</w:t>
      </w:r>
      <w:r w:rsidR="008F6FF8">
        <w:t>;</w:t>
      </w:r>
    </w:p>
    <w:p w14:paraId="47DC671D" w14:textId="4630D4F9" w:rsidR="007A6920" w:rsidRDefault="00473DF2" w:rsidP="00433053">
      <w:pPr>
        <w:pStyle w:val="ListParagraph"/>
        <w:numPr>
          <w:ilvl w:val="0"/>
          <w:numId w:val="23"/>
        </w:numPr>
        <w:jc w:val="both"/>
      </w:pPr>
      <w:r>
        <w:rPr>
          <w:u w:val="single"/>
        </w:rPr>
        <w:t>Holiday and Vacation</w:t>
      </w:r>
      <w:r>
        <w:t xml:space="preserve">. </w:t>
      </w:r>
      <w:r w:rsidR="007A6920">
        <w:t>Clarification of the prorating of holiday leave</w:t>
      </w:r>
      <w:r w:rsidR="008F6FF8">
        <w:t xml:space="preserve"> and vacation accrual for part-time employees (CBA §§ 4.4(D), 5.8; Att. 1-A, p. </w:t>
      </w:r>
      <w:r w:rsidR="00BD0C46">
        <w:t>7</w:t>
      </w:r>
      <w:r w:rsidR="008F6FF8">
        <w:t>);</w:t>
      </w:r>
    </w:p>
    <w:p w14:paraId="2CDAC82F" w14:textId="0DDB2F8B" w:rsidR="008F6FF8" w:rsidRDefault="00473DF2" w:rsidP="00433053">
      <w:pPr>
        <w:pStyle w:val="ListParagraph"/>
        <w:numPr>
          <w:ilvl w:val="0"/>
          <w:numId w:val="23"/>
        </w:numPr>
        <w:jc w:val="both"/>
      </w:pPr>
      <w:r>
        <w:rPr>
          <w:u w:val="single"/>
        </w:rPr>
        <w:t>Sick Leave</w:t>
      </w:r>
      <w:r>
        <w:t xml:space="preserve">. </w:t>
      </w:r>
      <w:r w:rsidR="00D918E9">
        <w:t xml:space="preserve">Clarification of the use of sick leave and the conversion of </w:t>
      </w:r>
      <w:r w:rsidR="009552B4">
        <w:t>up to three days of sick leave into vacation each calendar year for employees who use no more than two days of sick leave during the year (CBA §§ 6.12(C), 6.13; Att. 1-A, p. </w:t>
      </w:r>
      <w:r w:rsidR="00E8276E">
        <w:t>15</w:t>
      </w:r>
      <w:r w:rsidR="009552B4">
        <w:t>);</w:t>
      </w:r>
    </w:p>
    <w:p w14:paraId="3E36AE3C" w14:textId="2193C190" w:rsidR="009552B4" w:rsidRDefault="00473DF2" w:rsidP="00433053">
      <w:pPr>
        <w:pStyle w:val="ListParagraph"/>
        <w:numPr>
          <w:ilvl w:val="0"/>
          <w:numId w:val="23"/>
        </w:numPr>
        <w:jc w:val="both"/>
      </w:pPr>
      <w:r>
        <w:rPr>
          <w:u w:val="single"/>
        </w:rPr>
        <w:t>Executive Leave</w:t>
      </w:r>
      <w:r>
        <w:t xml:space="preserve">. </w:t>
      </w:r>
      <w:r w:rsidR="00C420A1">
        <w:t>Clarification of the terms governing executive leave for salaried employees (CBA § 7</w:t>
      </w:r>
      <w:r w:rsidR="00E8276E">
        <w:t>.9</w:t>
      </w:r>
      <w:r w:rsidR="00C420A1">
        <w:t xml:space="preserve">(C); Att. 1-A, p. </w:t>
      </w:r>
      <w:r w:rsidR="00E8276E">
        <w:t>19</w:t>
      </w:r>
      <w:r w:rsidR="00C420A1">
        <w:t>);</w:t>
      </w:r>
    </w:p>
    <w:p w14:paraId="49024FC9" w14:textId="15400043" w:rsidR="00C420A1" w:rsidRPr="00136A22" w:rsidRDefault="002415D3" w:rsidP="00433053">
      <w:pPr>
        <w:pStyle w:val="ListParagraph"/>
        <w:numPr>
          <w:ilvl w:val="0"/>
          <w:numId w:val="23"/>
        </w:numPr>
        <w:jc w:val="both"/>
      </w:pPr>
      <w:r w:rsidRPr="00136A22">
        <w:rPr>
          <w:u w:val="single"/>
        </w:rPr>
        <w:lastRenderedPageBreak/>
        <w:t>Professional License and Certification Pay Premium</w:t>
      </w:r>
      <w:r w:rsidR="00585DEF" w:rsidRPr="00136A22">
        <w:t xml:space="preserve">. </w:t>
      </w:r>
      <w:r w:rsidR="00A952FF" w:rsidRPr="00136A22">
        <w:t>The new CBA includes premium pay of</w:t>
      </w:r>
      <w:r w:rsidR="00585DEF" w:rsidRPr="00136A22">
        <w:t xml:space="preserve"> $50 per month</w:t>
      </w:r>
      <w:r w:rsidR="00A952FF" w:rsidRPr="00136A22">
        <w:t xml:space="preserve"> for maintaining professional licenses or certifications under the following circumstances:</w:t>
      </w:r>
      <w:r w:rsidR="00552311" w:rsidRPr="00136A22">
        <w:t xml:space="preserve"> (a) </w:t>
      </w:r>
      <w:r w:rsidR="00E8276E" w:rsidRPr="00136A22">
        <w:t xml:space="preserve">the license or certification must be </w:t>
      </w:r>
      <w:r w:rsidR="00552311" w:rsidRPr="00136A22">
        <w:t xml:space="preserve">one of five specified licenses or certification, unless otherwise agreed to by the County; (b) </w:t>
      </w:r>
      <w:r w:rsidR="00E8276E" w:rsidRPr="00136A22">
        <w:t xml:space="preserve">it must be </w:t>
      </w:r>
      <w:r w:rsidR="00552311" w:rsidRPr="00136A22">
        <w:t xml:space="preserve">required for a specific position; and (c) </w:t>
      </w:r>
      <w:r w:rsidR="00E8276E" w:rsidRPr="00136A22">
        <w:t xml:space="preserve">it must </w:t>
      </w:r>
      <w:r w:rsidR="00552311" w:rsidRPr="00136A22">
        <w:t xml:space="preserve">not </w:t>
      </w:r>
      <w:r w:rsidR="00E8276E" w:rsidRPr="00136A22">
        <w:t xml:space="preserve">be </w:t>
      </w:r>
      <w:r w:rsidR="00552311" w:rsidRPr="00136A22">
        <w:t xml:space="preserve">required of all positions in the classification (CBA § </w:t>
      </w:r>
      <w:r w:rsidR="00057DD8" w:rsidRPr="00136A22">
        <w:t>8.8; Att. 1-A, p</w:t>
      </w:r>
      <w:r w:rsidR="00E8276E" w:rsidRPr="00136A22">
        <w:t>p</w:t>
      </w:r>
      <w:r w:rsidR="00057DD8" w:rsidRPr="00136A22">
        <w:t xml:space="preserve">. </w:t>
      </w:r>
      <w:r w:rsidR="00E8276E" w:rsidRPr="00136A22">
        <w:t>22-23</w:t>
      </w:r>
      <w:r w:rsidR="00057DD8" w:rsidRPr="00136A22">
        <w:t>)</w:t>
      </w:r>
      <w:r w:rsidR="00A952FF" w:rsidRPr="00136A22">
        <w:t xml:space="preserve">. </w:t>
      </w:r>
      <w:r w:rsidR="00E8276E" w:rsidRPr="00136A22">
        <w:t xml:space="preserve"> The fiscal impact </w:t>
      </w:r>
      <w:r w:rsidR="00A952FF" w:rsidRPr="00136A22">
        <w:t>of this premium pay is estimated to be about $6,300 per year, as indicated in the Fiscal Note (Att. 4).</w:t>
      </w:r>
    </w:p>
    <w:p w14:paraId="6BC650D6" w14:textId="4A76D474" w:rsidR="001F11B1" w:rsidRDefault="001F11B1" w:rsidP="00433053">
      <w:pPr>
        <w:pStyle w:val="ListParagraph"/>
        <w:numPr>
          <w:ilvl w:val="0"/>
          <w:numId w:val="23"/>
        </w:numPr>
        <w:jc w:val="both"/>
      </w:pPr>
      <w:r>
        <w:rPr>
          <w:u w:val="single"/>
        </w:rPr>
        <w:t>Voluntary Demotion</w:t>
      </w:r>
      <w:r>
        <w:t>. Clarification of the circumstances under which an employee can obtain voluntary demotion to a lower paid position</w:t>
      </w:r>
      <w:r w:rsidR="00CC3ECF">
        <w:t xml:space="preserve"> “in the best interests of the County” (CBA § </w:t>
      </w:r>
      <w:r w:rsidR="000521C4">
        <w:t xml:space="preserve">12.11; Att. 1-A, p. </w:t>
      </w:r>
      <w:r w:rsidR="00A952FF">
        <w:t>29).</w:t>
      </w:r>
    </w:p>
    <w:p w14:paraId="088E5627" w14:textId="3ECA1294" w:rsidR="000521C4" w:rsidRDefault="001B790B" w:rsidP="00433053">
      <w:pPr>
        <w:pStyle w:val="ListParagraph"/>
        <w:numPr>
          <w:ilvl w:val="0"/>
          <w:numId w:val="23"/>
        </w:numPr>
        <w:jc w:val="both"/>
      </w:pPr>
      <w:r>
        <w:rPr>
          <w:u w:val="single"/>
        </w:rPr>
        <w:t>Travel Time</w:t>
      </w:r>
      <w:r>
        <w:t>. Compensation for travel time between work locations</w:t>
      </w:r>
      <w:r w:rsidR="00563E5E">
        <w:t xml:space="preserve"> </w:t>
      </w:r>
      <w:r>
        <w:t>for e</w:t>
      </w:r>
      <w:r w:rsidR="00563E5E">
        <w:t xml:space="preserve">mployees using </w:t>
      </w:r>
      <w:r w:rsidRPr="00923B3D">
        <w:t>their own vehicle</w:t>
      </w:r>
      <w:r w:rsidR="00563E5E">
        <w:t>, as required by the federal Fair Labor Standards Act (CBA § 12.12; Att. 1-A, p.</w:t>
      </w:r>
      <w:r w:rsidR="00E8276E">
        <w:t xml:space="preserve"> 29</w:t>
      </w:r>
      <w:r w:rsidR="00563E5E">
        <w:t>);</w:t>
      </w:r>
    </w:p>
    <w:p w14:paraId="0742853C" w14:textId="70F0A9D6" w:rsidR="00726504" w:rsidRDefault="00726504" w:rsidP="00433053">
      <w:pPr>
        <w:pStyle w:val="ListParagraph"/>
        <w:numPr>
          <w:ilvl w:val="0"/>
          <w:numId w:val="23"/>
        </w:numPr>
        <w:jc w:val="both"/>
      </w:pPr>
      <w:r>
        <w:rPr>
          <w:u w:val="single"/>
        </w:rPr>
        <w:t>Filling Vacant Positions</w:t>
      </w:r>
      <w:r>
        <w:t>. Clarification of the process for filling vacant, regular bargaining unit positions (CBA § 19.1(F); Att. 1-A, p</w:t>
      </w:r>
      <w:r w:rsidR="00E8276E">
        <w:t>p</w:t>
      </w:r>
      <w:r>
        <w:t xml:space="preserve">. </w:t>
      </w:r>
      <w:r w:rsidR="00E8276E">
        <w:t>39-40</w:t>
      </w:r>
      <w:r>
        <w:t>);</w:t>
      </w:r>
    </w:p>
    <w:p w14:paraId="1FDF3EDD" w14:textId="4BA24593" w:rsidR="0040401E" w:rsidRPr="00410E95" w:rsidRDefault="009C3BF5" w:rsidP="00433053">
      <w:pPr>
        <w:pStyle w:val="ListParagraph"/>
        <w:numPr>
          <w:ilvl w:val="0"/>
          <w:numId w:val="23"/>
        </w:numPr>
        <w:jc w:val="both"/>
      </w:pPr>
      <w:r w:rsidRPr="00473DF2">
        <w:rPr>
          <w:u w:val="single"/>
        </w:rPr>
        <w:t>H</w:t>
      </w:r>
      <w:r w:rsidR="00067B90" w:rsidRPr="00473DF2">
        <w:rPr>
          <w:u w:val="single"/>
        </w:rPr>
        <w:t>ousekeeping changes</w:t>
      </w:r>
      <w:r w:rsidR="00067B90" w:rsidRPr="00410E95">
        <w:t>, such as</w:t>
      </w:r>
      <w:r w:rsidR="00410E95">
        <w:t xml:space="preserve"> the</w:t>
      </w:r>
      <w:r w:rsidR="00067B90" w:rsidRPr="00410E95">
        <w:t xml:space="preserve"> </w:t>
      </w:r>
      <w:r w:rsidR="00410E95" w:rsidRPr="00410E95">
        <w:t xml:space="preserve">clarification and </w:t>
      </w:r>
      <w:r w:rsidR="00067B90" w:rsidRPr="00410E95">
        <w:t xml:space="preserve">standardization </w:t>
      </w:r>
      <w:r w:rsidR="00410E95" w:rsidRPr="00410E95">
        <w:t>of terms</w:t>
      </w:r>
      <w:r w:rsidR="00756B26">
        <w:t xml:space="preserve"> and the elimination of obsolete provisions</w:t>
      </w:r>
      <w:r w:rsidR="002415D3">
        <w:t>.</w:t>
      </w:r>
    </w:p>
    <w:p w14:paraId="527B57FC" w14:textId="77777777" w:rsidR="0040401E" w:rsidRDefault="0040401E" w:rsidP="00433053">
      <w:pPr>
        <w:spacing w:after="240"/>
        <w:jc w:val="both"/>
        <w:rPr>
          <w:rFonts w:ascii="Arial" w:hAnsi="Arial" w:cs="Arial"/>
          <w:b/>
          <w:u w:val="single"/>
        </w:rPr>
      </w:pPr>
      <w:r>
        <w:rPr>
          <w:rFonts w:ascii="Arial" w:hAnsi="Arial" w:cs="Arial"/>
          <w:b/>
          <w:u w:val="single"/>
        </w:rPr>
        <w:t>FISCAL IMPACT</w:t>
      </w:r>
    </w:p>
    <w:p w14:paraId="60EB451F" w14:textId="53CBDBDF" w:rsidR="0040401E" w:rsidRDefault="0040401E" w:rsidP="00433053">
      <w:pPr>
        <w:spacing w:after="240"/>
        <w:jc w:val="both"/>
        <w:rPr>
          <w:rFonts w:ascii="Arial" w:hAnsi="Arial" w:cs="Arial"/>
        </w:rPr>
      </w:pPr>
      <w:r w:rsidRPr="00136A22">
        <w:rPr>
          <w:rFonts w:ascii="Arial" w:hAnsi="Arial" w:cs="Arial"/>
        </w:rPr>
        <w:t xml:space="preserve">The </w:t>
      </w:r>
      <w:r w:rsidR="00541CA1" w:rsidRPr="00136A22">
        <w:rPr>
          <w:rFonts w:ascii="Arial" w:hAnsi="Arial" w:cs="Arial"/>
        </w:rPr>
        <w:t xml:space="preserve">only fiscal impact of the </w:t>
      </w:r>
      <w:r w:rsidRPr="00136A22">
        <w:rPr>
          <w:rFonts w:ascii="Arial" w:hAnsi="Arial" w:cs="Arial"/>
        </w:rPr>
        <w:t xml:space="preserve">proposed new CBA </w:t>
      </w:r>
      <w:r w:rsidR="00541CA1" w:rsidRPr="00136A22">
        <w:rPr>
          <w:rFonts w:ascii="Arial" w:hAnsi="Arial" w:cs="Arial"/>
        </w:rPr>
        <w:t xml:space="preserve">is the $6,300 annual cost of the new premium pay described in Section 6 above. The other amounts listed in the Fiscal Note (Att. 4) </w:t>
      </w:r>
      <w:r w:rsidRPr="00136A22">
        <w:rPr>
          <w:rFonts w:ascii="Arial" w:hAnsi="Arial" w:cs="Arial"/>
        </w:rPr>
        <w:t xml:space="preserve">are attributable to </w:t>
      </w:r>
      <w:r w:rsidR="00541CA1" w:rsidRPr="00136A22">
        <w:rPr>
          <w:rFonts w:ascii="Arial" w:hAnsi="Arial" w:cs="Arial"/>
        </w:rPr>
        <w:t>the Coalition MOA that the Council approved in November 2014</w:t>
      </w:r>
      <w:r w:rsidRPr="00136A22">
        <w:rPr>
          <w:rFonts w:ascii="Arial" w:hAnsi="Arial" w:cs="Arial"/>
        </w:rPr>
        <w:t>, not the new CBA.</w:t>
      </w:r>
    </w:p>
    <w:p w14:paraId="3CC7A9A7" w14:textId="77777777" w:rsidR="0040401E" w:rsidRDefault="0040401E" w:rsidP="0040401E">
      <w:pPr>
        <w:spacing w:line="240" w:lineRule="atLeast"/>
        <w:rPr>
          <w:rFonts w:ascii="Arial" w:hAnsi="Arial" w:cs="Arial"/>
          <w:b/>
          <w:bCs/>
          <w:u w:val="single"/>
        </w:rPr>
      </w:pPr>
      <w:r>
        <w:rPr>
          <w:rFonts w:ascii="Arial" w:hAnsi="Arial" w:cs="Arial"/>
          <w:b/>
          <w:bCs/>
          <w:u w:val="single"/>
        </w:rPr>
        <w:t>INVITED</w:t>
      </w:r>
    </w:p>
    <w:p w14:paraId="52C43B04" w14:textId="77777777" w:rsidR="0040401E" w:rsidRDefault="0040401E" w:rsidP="0040401E">
      <w:pPr>
        <w:spacing w:line="240" w:lineRule="atLeast"/>
        <w:rPr>
          <w:rFonts w:ascii="Arial" w:hAnsi="Arial" w:cs="Arial"/>
          <w:b/>
          <w:bCs/>
          <w:u w:val="single"/>
        </w:rPr>
      </w:pPr>
    </w:p>
    <w:p w14:paraId="4D18F001" w14:textId="73F5E152" w:rsidR="0040401E" w:rsidRDefault="008A7C91" w:rsidP="0040401E">
      <w:pPr>
        <w:spacing w:line="240" w:lineRule="atLeast"/>
        <w:rPr>
          <w:rFonts w:ascii="Arial" w:hAnsi="Arial" w:cs="Arial"/>
          <w:bCs/>
        </w:rPr>
      </w:pPr>
      <w:r>
        <w:rPr>
          <w:rFonts w:ascii="Arial" w:hAnsi="Arial" w:cs="Arial"/>
          <w:bCs/>
        </w:rPr>
        <w:t>Andre Chevalier</w:t>
      </w:r>
      <w:r w:rsidR="0040401E">
        <w:rPr>
          <w:rFonts w:ascii="Arial" w:hAnsi="Arial" w:cs="Arial"/>
          <w:bCs/>
        </w:rPr>
        <w:t xml:space="preserve">, Labor </w:t>
      </w:r>
      <w:r>
        <w:rPr>
          <w:rFonts w:ascii="Arial" w:hAnsi="Arial" w:cs="Arial"/>
          <w:bCs/>
        </w:rPr>
        <w:t>Negotiator</w:t>
      </w:r>
      <w:r w:rsidR="0040401E" w:rsidRPr="00B366B6">
        <w:rPr>
          <w:rFonts w:ascii="Arial" w:hAnsi="Arial" w:cs="Arial"/>
          <w:bCs/>
        </w:rPr>
        <w:t>, Office of Labor Relations</w:t>
      </w:r>
    </w:p>
    <w:p w14:paraId="50BC3140" w14:textId="04E62E17" w:rsidR="0040401E" w:rsidRPr="000651A6" w:rsidRDefault="00D3486E" w:rsidP="0040401E">
      <w:pPr>
        <w:spacing w:line="240" w:lineRule="atLeast"/>
        <w:rPr>
          <w:rFonts w:ascii="Arial" w:hAnsi="Arial" w:cs="Arial"/>
          <w:b/>
          <w:bCs/>
          <w:u w:val="single"/>
        </w:rPr>
      </w:pPr>
      <w:r w:rsidRPr="00136A22">
        <w:rPr>
          <w:rFonts w:ascii="Arial" w:hAnsi="Arial" w:cs="Arial"/>
          <w:bCs/>
        </w:rPr>
        <w:t>John Scearcy, Secretary-Treasurer</w:t>
      </w:r>
      <w:r w:rsidR="00410E95" w:rsidRPr="00136A22">
        <w:rPr>
          <w:rFonts w:ascii="Arial" w:hAnsi="Arial" w:cs="Arial"/>
          <w:bCs/>
        </w:rPr>
        <w:t>, Teamsters Local 117</w:t>
      </w:r>
    </w:p>
    <w:p w14:paraId="5EBA4AC0" w14:textId="77777777" w:rsidR="0040401E" w:rsidRPr="001C4B19" w:rsidRDefault="0040401E" w:rsidP="0040401E">
      <w:pPr>
        <w:rPr>
          <w:rFonts w:ascii="Arial" w:hAnsi="Arial" w:cs="Arial"/>
        </w:rPr>
      </w:pPr>
    </w:p>
    <w:p w14:paraId="2BD2942C" w14:textId="77777777" w:rsidR="0040401E" w:rsidRPr="001C4B19" w:rsidRDefault="0040401E" w:rsidP="0040401E">
      <w:pPr>
        <w:pStyle w:val="BodyText"/>
        <w:rPr>
          <w:rFonts w:ascii="Arial" w:hAnsi="Arial" w:cs="Arial"/>
          <w:i w:val="0"/>
          <w:szCs w:val="24"/>
        </w:rPr>
      </w:pPr>
      <w:r w:rsidRPr="001C4B19">
        <w:rPr>
          <w:rFonts w:ascii="Arial" w:hAnsi="Arial" w:cs="Arial"/>
          <w:b/>
          <w:i w:val="0"/>
          <w:szCs w:val="24"/>
          <w:u w:val="single"/>
        </w:rPr>
        <w:t>ATTACHMENTS</w:t>
      </w:r>
    </w:p>
    <w:p w14:paraId="488B2F74" w14:textId="77777777" w:rsidR="0040401E" w:rsidRPr="001C4B19" w:rsidRDefault="0040401E" w:rsidP="0040401E">
      <w:pPr>
        <w:pStyle w:val="BodyText"/>
        <w:rPr>
          <w:rFonts w:ascii="Arial" w:hAnsi="Arial" w:cs="Arial"/>
          <w:i w:val="0"/>
          <w:szCs w:val="24"/>
        </w:rPr>
      </w:pPr>
    </w:p>
    <w:p w14:paraId="1EA85C52" w14:textId="479979D9" w:rsidR="0040401E" w:rsidRDefault="0040401E" w:rsidP="000F242C">
      <w:pPr>
        <w:pStyle w:val="BodyText"/>
        <w:numPr>
          <w:ilvl w:val="0"/>
          <w:numId w:val="17"/>
        </w:numPr>
        <w:ind w:left="360"/>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2015-0</w:t>
      </w:r>
      <w:r w:rsidR="00D3486E">
        <w:rPr>
          <w:rFonts w:ascii="Arial" w:hAnsi="Arial" w:cs="Arial"/>
          <w:i w:val="0"/>
          <w:szCs w:val="24"/>
        </w:rPr>
        <w:t>340</w:t>
      </w:r>
    </w:p>
    <w:p w14:paraId="3BEA6DD6" w14:textId="77777777" w:rsidR="0040401E" w:rsidRPr="001C4B19" w:rsidRDefault="0040401E" w:rsidP="000F242C">
      <w:pPr>
        <w:pStyle w:val="BodyText"/>
        <w:ind w:left="720"/>
        <w:rPr>
          <w:rFonts w:ascii="Arial" w:hAnsi="Arial" w:cs="Arial"/>
          <w:i w:val="0"/>
          <w:szCs w:val="24"/>
        </w:rPr>
      </w:pPr>
      <w:r>
        <w:rPr>
          <w:rFonts w:ascii="Arial" w:hAnsi="Arial" w:cs="Arial"/>
          <w:i w:val="0"/>
          <w:szCs w:val="24"/>
        </w:rPr>
        <w:t>Att. A</w:t>
      </w:r>
      <w:r w:rsidRPr="001C4B19">
        <w:rPr>
          <w:rFonts w:ascii="Arial" w:hAnsi="Arial" w:cs="Arial"/>
          <w:i w:val="0"/>
          <w:szCs w:val="24"/>
        </w:rPr>
        <w:t xml:space="preserve"> (</w:t>
      </w:r>
      <w:r>
        <w:rPr>
          <w:rFonts w:ascii="Arial" w:hAnsi="Arial" w:cs="Arial"/>
          <w:i w:val="0"/>
          <w:szCs w:val="24"/>
        </w:rPr>
        <w:t>Collective Bargaining Agreement)</w:t>
      </w:r>
    </w:p>
    <w:p w14:paraId="151BA299" w14:textId="77777777" w:rsidR="0040401E" w:rsidRDefault="0040401E" w:rsidP="000F242C">
      <w:pPr>
        <w:pStyle w:val="BodyText"/>
        <w:numPr>
          <w:ilvl w:val="0"/>
          <w:numId w:val="17"/>
        </w:numPr>
        <w:ind w:left="360"/>
        <w:rPr>
          <w:rFonts w:ascii="Arial" w:hAnsi="Arial" w:cs="Arial"/>
          <w:i w:val="0"/>
          <w:szCs w:val="24"/>
        </w:rPr>
      </w:pPr>
      <w:r>
        <w:rPr>
          <w:rFonts w:ascii="Arial" w:hAnsi="Arial" w:cs="Arial"/>
          <w:i w:val="0"/>
          <w:szCs w:val="24"/>
        </w:rPr>
        <w:t>Checklist and Summary of Changes</w:t>
      </w:r>
      <w:r w:rsidR="009F11F7">
        <w:rPr>
          <w:rFonts w:ascii="Arial" w:hAnsi="Arial" w:cs="Arial"/>
          <w:i w:val="0"/>
          <w:szCs w:val="24"/>
        </w:rPr>
        <w:t xml:space="preserve"> (prepared by executive staff)</w:t>
      </w:r>
    </w:p>
    <w:p w14:paraId="6039864C" w14:textId="77777777" w:rsidR="0040401E" w:rsidRPr="001C4B19" w:rsidRDefault="0040401E" w:rsidP="000F242C">
      <w:pPr>
        <w:pStyle w:val="BodyText"/>
        <w:numPr>
          <w:ilvl w:val="0"/>
          <w:numId w:val="17"/>
        </w:numPr>
        <w:ind w:left="360"/>
        <w:rPr>
          <w:rFonts w:ascii="Arial" w:hAnsi="Arial" w:cs="Arial"/>
          <w:i w:val="0"/>
          <w:szCs w:val="24"/>
        </w:rPr>
      </w:pPr>
      <w:r w:rsidRPr="001C4B19">
        <w:rPr>
          <w:rFonts w:ascii="Arial" w:hAnsi="Arial" w:cs="Arial"/>
          <w:i w:val="0"/>
          <w:szCs w:val="24"/>
        </w:rPr>
        <w:t>Transmittal Letter</w:t>
      </w:r>
    </w:p>
    <w:p w14:paraId="19E1ECBA" w14:textId="77777777" w:rsidR="0040401E" w:rsidRPr="001C4B19" w:rsidRDefault="0040401E" w:rsidP="000F242C">
      <w:pPr>
        <w:pStyle w:val="BodyText"/>
        <w:numPr>
          <w:ilvl w:val="0"/>
          <w:numId w:val="17"/>
        </w:numPr>
        <w:ind w:left="360"/>
        <w:rPr>
          <w:rFonts w:ascii="Arial" w:hAnsi="Arial" w:cs="Arial"/>
          <w:i w:val="0"/>
          <w:szCs w:val="24"/>
        </w:rPr>
      </w:pPr>
      <w:r w:rsidRPr="001C4B19">
        <w:rPr>
          <w:rFonts w:ascii="Arial" w:hAnsi="Arial" w:cs="Arial"/>
          <w:i w:val="0"/>
          <w:szCs w:val="24"/>
        </w:rPr>
        <w:t>Fiscal Note</w:t>
      </w:r>
    </w:p>
    <w:sectPr w:rsidR="0040401E" w:rsidRPr="001C4B19" w:rsidSect="001A3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542C7" w14:textId="77777777" w:rsidR="00B53F59" w:rsidRDefault="00B53F59">
      <w:r>
        <w:separator/>
      </w:r>
    </w:p>
  </w:endnote>
  <w:endnote w:type="continuationSeparator" w:id="0">
    <w:p w14:paraId="3D105616" w14:textId="77777777" w:rsidR="00B53F59" w:rsidRDefault="00B5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CD05B" w14:textId="77777777" w:rsidR="00D3486E" w:rsidRDefault="00D34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AC11" w14:textId="77777777" w:rsidR="00D3486E" w:rsidRPr="00446E0F" w:rsidRDefault="00D3486E"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433053">
      <w:rPr>
        <w:rStyle w:val="PageNumber"/>
        <w:rFonts w:ascii="Arial" w:hAnsi="Arial" w:cs="Arial"/>
        <w:noProof/>
        <w:sz w:val="20"/>
        <w:szCs w:val="20"/>
      </w:rPr>
      <w:t>2</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433053">
      <w:rPr>
        <w:rStyle w:val="PageNumber"/>
        <w:rFonts w:ascii="Arial" w:hAnsi="Arial" w:cs="Arial"/>
        <w:noProof/>
        <w:sz w:val="20"/>
        <w:szCs w:val="20"/>
      </w:rPr>
      <w:t>3</w:t>
    </w:r>
    <w:r w:rsidRPr="00446E0F">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1678" w14:textId="77777777" w:rsidR="00D3486E" w:rsidRPr="00446E0F" w:rsidRDefault="00D3486E"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433053">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433053">
      <w:rPr>
        <w:rStyle w:val="PageNumber"/>
        <w:rFonts w:ascii="Arial" w:hAnsi="Arial" w:cs="Arial"/>
        <w:noProof/>
        <w:sz w:val="20"/>
        <w:szCs w:val="20"/>
      </w:rPr>
      <w:t>3</w:t>
    </w:r>
    <w:r w:rsidRPr="00446E0F">
      <w:rPr>
        <w:rStyle w:val="PageNumber"/>
        <w:rFonts w:ascii="Arial" w:hAnsi="Arial" w:cs="Arial"/>
        <w:sz w:val="20"/>
        <w:szCs w:val="20"/>
      </w:rPr>
      <w:fldChar w:fldCharType="end"/>
    </w:r>
  </w:p>
  <w:p w14:paraId="7AF8B6CF" w14:textId="77777777" w:rsidR="00D3486E" w:rsidRDefault="00D3486E"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0669B" w14:textId="77777777" w:rsidR="00B53F59" w:rsidRDefault="00B53F59">
      <w:r>
        <w:separator/>
      </w:r>
    </w:p>
  </w:footnote>
  <w:footnote w:type="continuationSeparator" w:id="0">
    <w:p w14:paraId="2C38DEB3" w14:textId="77777777" w:rsidR="00B53F59" w:rsidRDefault="00B53F59">
      <w:r>
        <w:continuationSeparator/>
      </w:r>
    </w:p>
  </w:footnote>
  <w:footnote w:id="1">
    <w:p w14:paraId="703AA0B1" w14:textId="77777777" w:rsidR="00D3486E" w:rsidRPr="006B67F1" w:rsidRDefault="00D3486E" w:rsidP="002F715D">
      <w:pPr>
        <w:pStyle w:val="FootnoteText"/>
        <w:rPr>
          <w:rFonts w:ascii="Arial" w:hAnsi="Arial" w:cs="Arial"/>
        </w:rPr>
      </w:pPr>
      <w:r w:rsidRPr="006B67F1">
        <w:rPr>
          <w:rStyle w:val="FootnoteReference"/>
          <w:rFonts w:ascii="Arial" w:hAnsi="Arial" w:cs="Arial"/>
        </w:rPr>
        <w:footnoteRef/>
      </w:r>
      <w:r w:rsidRPr="006B67F1">
        <w:rPr>
          <w:rFonts w:ascii="Arial" w:hAnsi="Arial" w:cs="Arial"/>
        </w:rPr>
        <w:t xml:space="preserve"> RCW </w:t>
      </w:r>
      <w:r w:rsidRPr="006B67F1">
        <w:rPr>
          <w:rFonts w:ascii="Arial" w:hAnsi="Arial" w:cs="Arial"/>
          <w:bCs/>
        </w:rPr>
        <w:t>41.56.123</w:t>
      </w:r>
      <w:r>
        <w:rPr>
          <w:rFonts w:ascii="Arial" w:hAnsi="Arial" w:cs="Arial"/>
          <w:bCs/>
        </w:rPr>
        <w:t>(1) provides: “</w:t>
      </w:r>
      <w:r w:rsidRPr="006B67F1">
        <w:rPr>
          <w:rFonts w:ascii="Arial" w:hAnsi="Arial" w:cs="Arial"/>
          <w:bCs/>
        </w:rPr>
        <w:t>After the termination date of a collective bargaining agreement, all of the terms and conditions specified in the collective bargaining agreement shall remain in effect until the effective date of a subsequent agreement, not to exceed one year from the termination date stated in the agreement. Thereafter, the employer may unilaterally implement according to law.</w:t>
      </w:r>
      <w:r>
        <w:rPr>
          <w:rFonts w:ascii="Arial" w:hAnsi="Arial" w:cs="Arial"/>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C258" w14:textId="7F16ECDE" w:rsidR="00D3486E" w:rsidRDefault="00D34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51E1" w14:textId="2D89F098" w:rsidR="00D3486E" w:rsidRDefault="00D34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BE89E" w14:textId="5AD3815E" w:rsidR="00D3486E" w:rsidRDefault="00D3486E" w:rsidP="006436CB">
    <w:pPr>
      <w:jc w:val="center"/>
    </w:pPr>
    <w:r>
      <w:rPr>
        <w:noProof/>
      </w:rPr>
      <w:drawing>
        <wp:inline distT="0" distB="0" distL="0" distR="0" wp14:anchorId="5A2AF6DD" wp14:editId="3D4D5E4B">
          <wp:extent cx="1005205" cy="715010"/>
          <wp:effectExtent l="0" t="0" r="1079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14:paraId="1287CAF8" w14:textId="77777777" w:rsidR="00D3486E" w:rsidRPr="00683BD4" w:rsidRDefault="00D3486E" w:rsidP="001A3425">
    <w:pPr>
      <w:jc w:val="center"/>
      <w:rPr>
        <w:rFonts w:ascii="Arial" w:hAnsi="Arial"/>
        <w:b/>
        <w:sz w:val="28"/>
        <w:szCs w:val="22"/>
      </w:rPr>
    </w:pPr>
    <w:r w:rsidRPr="00683BD4">
      <w:rPr>
        <w:rFonts w:ascii="Arial" w:hAnsi="Arial"/>
        <w:b/>
        <w:sz w:val="28"/>
        <w:szCs w:val="22"/>
      </w:rPr>
      <w:t>Metropolitan King County Council</w:t>
    </w:r>
  </w:p>
  <w:p w14:paraId="7E825033" w14:textId="7BC00E47" w:rsidR="00D3486E" w:rsidRPr="00683BD4" w:rsidRDefault="00D3486E" w:rsidP="001A3425">
    <w:pPr>
      <w:jc w:val="center"/>
      <w:rPr>
        <w:rFonts w:ascii="Arial" w:hAnsi="Arial" w:cs="Arial"/>
        <w:b/>
        <w:sz w:val="26"/>
        <w:szCs w:val="26"/>
      </w:rPr>
    </w:pPr>
    <w:r>
      <w:rPr>
        <w:rFonts w:ascii="Arial" w:hAnsi="Arial" w:cs="Arial"/>
        <w:b/>
        <w:sz w:val="26"/>
        <w:szCs w:val="26"/>
      </w:rPr>
      <w:t>Government Accountability and Oversight</w:t>
    </w:r>
    <w:r w:rsidRPr="00683BD4">
      <w:rPr>
        <w:rFonts w:ascii="Arial" w:hAnsi="Arial" w:cs="Arial"/>
        <w:b/>
        <w:sz w:val="26"/>
        <w:szCs w:val="26"/>
      </w:rPr>
      <w:t xml:space="preserve"> Committee</w:t>
    </w:r>
  </w:p>
  <w:p w14:paraId="684BB900" w14:textId="77777777" w:rsidR="00D3486E" w:rsidRDefault="00D34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4A0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7187E"/>
    <w:multiLevelType w:val="hybridMultilevel"/>
    <w:tmpl w:val="F67ED09C"/>
    <w:lvl w:ilvl="0" w:tplc="9C109F58">
      <w:start w:val="1"/>
      <w:numFmt w:val="bullet"/>
      <w:pStyle w:val="ListParagraph"/>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2EBC2F63"/>
    <w:multiLevelType w:val="hybridMultilevel"/>
    <w:tmpl w:val="2D16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ED20B27"/>
    <w:multiLevelType w:val="hybridMultilevel"/>
    <w:tmpl w:val="3222BD76"/>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7577458"/>
    <w:multiLevelType w:val="hybridMultilevel"/>
    <w:tmpl w:val="3FA88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DA0C25"/>
    <w:multiLevelType w:val="hybridMultilevel"/>
    <w:tmpl w:val="48F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9"/>
  </w:num>
  <w:num w:numId="4">
    <w:abstractNumId w:val="2"/>
  </w:num>
  <w:num w:numId="5">
    <w:abstractNumId w:val="13"/>
  </w:num>
  <w:num w:numId="6">
    <w:abstractNumId w:val="7"/>
  </w:num>
  <w:num w:numId="7">
    <w:abstractNumId w:val="1"/>
  </w:num>
  <w:num w:numId="8">
    <w:abstractNumId w:val="17"/>
  </w:num>
  <w:num w:numId="9">
    <w:abstractNumId w:val="16"/>
  </w:num>
  <w:num w:numId="10">
    <w:abstractNumId w:val="15"/>
  </w:num>
  <w:num w:numId="11">
    <w:abstractNumId w:val="9"/>
  </w:num>
  <w:num w:numId="12">
    <w:abstractNumId w:val="5"/>
  </w:num>
  <w:num w:numId="13">
    <w:abstractNumId w:val="10"/>
  </w:num>
  <w:num w:numId="14">
    <w:abstractNumId w:val="20"/>
  </w:num>
  <w:num w:numId="15">
    <w:abstractNumId w:val="0"/>
  </w:num>
  <w:num w:numId="16">
    <w:abstractNumId w:val="18"/>
  </w:num>
  <w:num w:numId="17">
    <w:abstractNumId w:val="3"/>
  </w:num>
  <w:num w:numId="18">
    <w:abstractNumId w:val="6"/>
  </w:num>
  <w:num w:numId="19">
    <w:abstractNumId w:val="8"/>
  </w:num>
  <w:num w:numId="20">
    <w:abstractNumId w:val="14"/>
  </w:num>
  <w:num w:numId="21">
    <w:abstractNumId w:val="6"/>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EA"/>
    <w:rsid w:val="000129BA"/>
    <w:rsid w:val="00017B2B"/>
    <w:rsid w:val="00030820"/>
    <w:rsid w:val="00051233"/>
    <w:rsid w:val="000521C4"/>
    <w:rsid w:val="00053A14"/>
    <w:rsid w:val="000543A9"/>
    <w:rsid w:val="00056D0D"/>
    <w:rsid w:val="00057DD8"/>
    <w:rsid w:val="00067B90"/>
    <w:rsid w:val="0007054F"/>
    <w:rsid w:val="00083A03"/>
    <w:rsid w:val="00096937"/>
    <w:rsid w:val="000B53F7"/>
    <w:rsid w:val="000D16F1"/>
    <w:rsid w:val="000D23F4"/>
    <w:rsid w:val="000D2B56"/>
    <w:rsid w:val="000F242C"/>
    <w:rsid w:val="000F2DCE"/>
    <w:rsid w:val="001171C0"/>
    <w:rsid w:val="00117912"/>
    <w:rsid w:val="001342D1"/>
    <w:rsid w:val="00136A22"/>
    <w:rsid w:val="00142B5D"/>
    <w:rsid w:val="00150E8D"/>
    <w:rsid w:val="00162DAC"/>
    <w:rsid w:val="00172D38"/>
    <w:rsid w:val="00183725"/>
    <w:rsid w:val="001A3425"/>
    <w:rsid w:val="001B4C49"/>
    <w:rsid w:val="001B60C1"/>
    <w:rsid w:val="001B790B"/>
    <w:rsid w:val="001D233E"/>
    <w:rsid w:val="001D2515"/>
    <w:rsid w:val="001D4384"/>
    <w:rsid w:val="001E0DD1"/>
    <w:rsid w:val="001E2B99"/>
    <w:rsid w:val="001F11B1"/>
    <w:rsid w:val="001F1609"/>
    <w:rsid w:val="001F38EA"/>
    <w:rsid w:val="00203E1D"/>
    <w:rsid w:val="00216242"/>
    <w:rsid w:val="002179AE"/>
    <w:rsid w:val="0023567A"/>
    <w:rsid w:val="002415D3"/>
    <w:rsid w:val="002431DE"/>
    <w:rsid w:val="00250B0D"/>
    <w:rsid w:val="0025556F"/>
    <w:rsid w:val="00267AEB"/>
    <w:rsid w:val="0027310B"/>
    <w:rsid w:val="002765EA"/>
    <w:rsid w:val="002B3E8F"/>
    <w:rsid w:val="002B5CB2"/>
    <w:rsid w:val="002F715D"/>
    <w:rsid w:val="00305C4B"/>
    <w:rsid w:val="00310C27"/>
    <w:rsid w:val="003132D6"/>
    <w:rsid w:val="003262A9"/>
    <w:rsid w:val="00341518"/>
    <w:rsid w:val="00343576"/>
    <w:rsid w:val="003442DB"/>
    <w:rsid w:val="0034482A"/>
    <w:rsid w:val="003A428B"/>
    <w:rsid w:val="003A71B4"/>
    <w:rsid w:val="003B03EF"/>
    <w:rsid w:val="003F73AA"/>
    <w:rsid w:val="0040401E"/>
    <w:rsid w:val="00410E95"/>
    <w:rsid w:val="00416748"/>
    <w:rsid w:val="00426934"/>
    <w:rsid w:val="00433053"/>
    <w:rsid w:val="00434E0C"/>
    <w:rsid w:val="0044217E"/>
    <w:rsid w:val="00473DF2"/>
    <w:rsid w:val="0049547E"/>
    <w:rsid w:val="004961C7"/>
    <w:rsid w:val="004A01EA"/>
    <w:rsid w:val="004A1D48"/>
    <w:rsid w:val="004C05E9"/>
    <w:rsid w:val="004F2D27"/>
    <w:rsid w:val="004F314A"/>
    <w:rsid w:val="004F42FB"/>
    <w:rsid w:val="00503725"/>
    <w:rsid w:val="0053261F"/>
    <w:rsid w:val="005340AC"/>
    <w:rsid w:val="00541CA1"/>
    <w:rsid w:val="005429CE"/>
    <w:rsid w:val="00552311"/>
    <w:rsid w:val="00563E5E"/>
    <w:rsid w:val="00585DEF"/>
    <w:rsid w:val="00586472"/>
    <w:rsid w:val="00597492"/>
    <w:rsid w:val="005A03BD"/>
    <w:rsid w:val="005A259F"/>
    <w:rsid w:val="005C0BC1"/>
    <w:rsid w:val="005D1A3E"/>
    <w:rsid w:val="005E214F"/>
    <w:rsid w:val="005F61B2"/>
    <w:rsid w:val="00603199"/>
    <w:rsid w:val="006360E5"/>
    <w:rsid w:val="006436CB"/>
    <w:rsid w:val="00654F0F"/>
    <w:rsid w:val="006554CC"/>
    <w:rsid w:val="00656751"/>
    <w:rsid w:val="00671BC0"/>
    <w:rsid w:val="00682895"/>
    <w:rsid w:val="00683A66"/>
    <w:rsid w:val="00683BD4"/>
    <w:rsid w:val="00684FA9"/>
    <w:rsid w:val="00694F0E"/>
    <w:rsid w:val="00697F6F"/>
    <w:rsid w:val="006A26AA"/>
    <w:rsid w:val="006C3BCC"/>
    <w:rsid w:val="006D2EE4"/>
    <w:rsid w:val="006E2802"/>
    <w:rsid w:val="006F7237"/>
    <w:rsid w:val="0071516D"/>
    <w:rsid w:val="00721D3F"/>
    <w:rsid w:val="00726504"/>
    <w:rsid w:val="00730BB8"/>
    <w:rsid w:val="00733F42"/>
    <w:rsid w:val="00733F5D"/>
    <w:rsid w:val="00735C4E"/>
    <w:rsid w:val="0075084A"/>
    <w:rsid w:val="00756B26"/>
    <w:rsid w:val="00756F7D"/>
    <w:rsid w:val="00765B0D"/>
    <w:rsid w:val="00785AC4"/>
    <w:rsid w:val="007A6920"/>
    <w:rsid w:val="007A6C0E"/>
    <w:rsid w:val="007B376B"/>
    <w:rsid w:val="007D078B"/>
    <w:rsid w:val="007D0D5F"/>
    <w:rsid w:val="007D2AD1"/>
    <w:rsid w:val="007D5F35"/>
    <w:rsid w:val="007E7426"/>
    <w:rsid w:val="007F6E58"/>
    <w:rsid w:val="00805FB6"/>
    <w:rsid w:val="00826F1D"/>
    <w:rsid w:val="00847E28"/>
    <w:rsid w:val="0088160A"/>
    <w:rsid w:val="008857D1"/>
    <w:rsid w:val="008A39A2"/>
    <w:rsid w:val="008A7C91"/>
    <w:rsid w:val="008D3A80"/>
    <w:rsid w:val="008D6FC5"/>
    <w:rsid w:val="008E29FE"/>
    <w:rsid w:val="008F6FF8"/>
    <w:rsid w:val="00902DE6"/>
    <w:rsid w:val="00920908"/>
    <w:rsid w:val="00923794"/>
    <w:rsid w:val="0092762F"/>
    <w:rsid w:val="00927B71"/>
    <w:rsid w:val="00932C1D"/>
    <w:rsid w:val="009349D6"/>
    <w:rsid w:val="009402E7"/>
    <w:rsid w:val="009552B4"/>
    <w:rsid w:val="0095659E"/>
    <w:rsid w:val="009628B3"/>
    <w:rsid w:val="00985AB8"/>
    <w:rsid w:val="009A2CA5"/>
    <w:rsid w:val="009B3FB1"/>
    <w:rsid w:val="009C3BF5"/>
    <w:rsid w:val="009C3C44"/>
    <w:rsid w:val="009C50F3"/>
    <w:rsid w:val="009F11F7"/>
    <w:rsid w:val="009F4B5B"/>
    <w:rsid w:val="00A0592A"/>
    <w:rsid w:val="00A10AA6"/>
    <w:rsid w:val="00A1288E"/>
    <w:rsid w:val="00A22C93"/>
    <w:rsid w:val="00A401C0"/>
    <w:rsid w:val="00A428D9"/>
    <w:rsid w:val="00A53C9D"/>
    <w:rsid w:val="00A6291C"/>
    <w:rsid w:val="00A63559"/>
    <w:rsid w:val="00A9290E"/>
    <w:rsid w:val="00A952FF"/>
    <w:rsid w:val="00A9795F"/>
    <w:rsid w:val="00AC4CB4"/>
    <w:rsid w:val="00AF0AA2"/>
    <w:rsid w:val="00AF7A0E"/>
    <w:rsid w:val="00B14969"/>
    <w:rsid w:val="00B32636"/>
    <w:rsid w:val="00B34BA1"/>
    <w:rsid w:val="00B53F59"/>
    <w:rsid w:val="00B541A0"/>
    <w:rsid w:val="00B8447E"/>
    <w:rsid w:val="00B84926"/>
    <w:rsid w:val="00B86F8E"/>
    <w:rsid w:val="00B97142"/>
    <w:rsid w:val="00B977F3"/>
    <w:rsid w:val="00BA0366"/>
    <w:rsid w:val="00BB2E2D"/>
    <w:rsid w:val="00BD0C46"/>
    <w:rsid w:val="00BD6C5C"/>
    <w:rsid w:val="00BF0B90"/>
    <w:rsid w:val="00C02ED1"/>
    <w:rsid w:val="00C11AC6"/>
    <w:rsid w:val="00C14CB7"/>
    <w:rsid w:val="00C25EB9"/>
    <w:rsid w:val="00C276BF"/>
    <w:rsid w:val="00C30B80"/>
    <w:rsid w:val="00C34FB4"/>
    <w:rsid w:val="00C420A1"/>
    <w:rsid w:val="00C42FC8"/>
    <w:rsid w:val="00C453F5"/>
    <w:rsid w:val="00C50599"/>
    <w:rsid w:val="00C65457"/>
    <w:rsid w:val="00C72519"/>
    <w:rsid w:val="00C817FF"/>
    <w:rsid w:val="00C936DB"/>
    <w:rsid w:val="00CA4267"/>
    <w:rsid w:val="00CC3ECF"/>
    <w:rsid w:val="00CE0C5B"/>
    <w:rsid w:val="00CE47EF"/>
    <w:rsid w:val="00CF361C"/>
    <w:rsid w:val="00D12423"/>
    <w:rsid w:val="00D17FBB"/>
    <w:rsid w:val="00D25723"/>
    <w:rsid w:val="00D3486E"/>
    <w:rsid w:val="00D762B7"/>
    <w:rsid w:val="00D84BDA"/>
    <w:rsid w:val="00D918E9"/>
    <w:rsid w:val="00DD0DC0"/>
    <w:rsid w:val="00DD42CA"/>
    <w:rsid w:val="00DF062C"/>
    <w:rsid w:val="00DF1091"/>
    <w:rsid w:val="00DF1F78"/>
    <w:rsid w:val="00DF5B80"/>
    <w:rsid w:val="00E178B3"/>
    <w:rsid w:val="00E201AA"/>
    <w:rsid w:val="00E2622A"/>
    <w:rsid w:val="00E27FE7"/>
    <w:rsid w:val="00E57509"/>
    <w:rsid w:val="00E62672"/>
    <w:rsid w:val="00E65DBA"/>
    <w:rsid w:val="00E8276E"/>
    <w:rsid w:val="00EB1D6D"/>
    <w:rsid w:val="00EB696F"/>
    <w:rsid w:val="00EC1095"/>
    <w:rsid w:val="00EC7DD0"/>
    <w:rsid w:val="00ED4528"/>
    <w:rsid w:val="00ED6C65"/>
    <w:rsid w:val="00F05233"/>
    <w:rsid w:val="00F063FE"/>
    <w:rsid w:val="00F12B71"/>
    <w:rsid w:val="00F3508D"/>
    <w:rsid w:val="00F4194D"/>
    <w:rsid w:val="00F85377"/>
    <w:rsid w:val="00F96981"/>
    <w:rsid w:val="00FB6633"/>
    <w:rsid w:val="00FD259C"/>
    <w:rsid w:val="00FD484F"/>
    <w:rsid w:val="00FE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A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410E95"/>
    <w:pPr>
      <w:numPr>
        <w:numId w:val="18"/>
      </w:numPr>
      <w:spacing w:after="240"/>
    </w:pPr>
    <w:rPr>
      <w:rFonts w:ascii="Arial" w:eastAsia="Calibri" w:hAnsi="Arial" w:cs="Arial"/>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2F7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410E95"/>
    <w:pPr>
      <w:numPr>
        <w:numId w:val="18"/>
      </w:numPr>
      <w:spacing w:after="240"/>
    </w:pPr>
    <w:rPr>
      <w:rFonts w:ascii="Arial" w:eastAsia="Calibri" w:hAnsi="Arial" w:cs="Arial"/>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2F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CFE4-4A0C-4A65-AFC1-96DA3B5E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Nick Wagner</dc:creator>
  <cp:lastModifiedBy>Nick Wagner</cp:lastModifiedBy>
  <cp:revision>14</cp:revision>
  <cp:lastPrinted>2013-03-06T18:56:00Z</cp:lastPrinted>
  <dcterms:created xsi:type="dcterms:W3CDTF">2015-10-21T02:25:00Z</dcterms:created>
  <dcterms:modified xsi:type="dcterms:W3CDTF">2015-10-22T22:58:00Z</dcterms:modified>
</cp:coreProperties>
</file>