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322"/>
        <w:gridCol w:w="2700"/>
        <w:gridCol w:w="1800"/>
        <w:gridCol w:w="2250"/>
      </w:tblGrid>
      <w:tr w:rsidR="007A0C3D" w:rsidRPr="00CC0E21" w:rsidTr="00CB03A0">
        <w:tc>
          <w:tcPr>
            <w:tcW w:w="2322" w:type="dxa"/>
            <w:vAlign w:val="center"/>
          </w:tcPr>
          <w:p w:rsidR="007A0C3D" w:rsidRPr="00CC0E21" w:rsidRDefault="007A0C3D">
            <w:pPr>
              <w:snapToGrid w:val="0"/>
              <w:spacing w:before="20" w:after="20"/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CC0E21">
              <w:rPr>
                <w:rFonts w:ascii="Arial" w:hAnsi="Arial" w:cs="Arial"/>
                <w:b/>
                <w:sz w:val="22"/>
                <w:szCs w:val="22"/>
              </w:rPr>
              <w:t>Agenda Item No.:</w:t>
            </w:r>
          </w:p>
        </w:tc>
        <w:tc>
          <w:tcPr>
            <w:tcW w:w="2700" w:type="dxa"/>
            <w:vAlign w:val="center"/>
          </w:tcPr>
          <w:p w:rsidR="007A0C3D" w:rsidRPr="00CC0E21" w:rsidRDefault="0037056D">
            <w:pPr>
              <w:snapToGrid w:val="0"/>
              <w:spacing w:before="20" w:after="20"/>
              <w:ind w:left="-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7A0C3D" w:rsidRPr="00CC0E21" w:rsidRDefault="007A0C3D">
            <w:pPr>
              <w:snapToGrid w:val="0"/>
              <w:spacing w:before="20" w:after="20"/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CC0E2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250" w:type="dxa"/>
            <w:vAlign w:val="center"/>
          </w:tcPr>
          <w:p w:rsidR="007A0C3D" w:rsidRPr="00CC0E21" w:rsidRDefault="00BB2E00" w:rsidP="00373F13">
            <w:pPr>
              <w:snapToGrid w:val="0"/>
              <w:spacing w:before="20" w:after="20"/>
              <w:ind w:left="-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Sept. 1, 2015</w:t>
            </w:r>
          </w:p>
        </w:tc>
      </w:tr>
      <w:tr w:rsidR="007A0C3D" w:rsidRPr="00CC0E21" w:rsidTr="00CB03A0">
        <w:tc>
          <w:tcPr>
            <w:tcW w:w="2322" w:type="dxa"/>
          </w:tcPr>
          <w:p w:rsidR="007A0C3D" w:rsidRPr="00CC0E21" w:rsidRDefault="00E2358A" w:rsidP="00CC2C91">
            <w:pPr>
              <w:snapToGrid w:val="0"/>
              <w:spacing w:before="20" w:after="20"/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CC0E21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7A0C3D" w:rsidRPr="00CC0E21">
              <w:rPr>
                <w:rFonts w:ascii="Arial" w:hAnsi="Arial" w:cs="Arial"/>
                <w:b/>
                <w:sz w:val="22"/>
                <w:szCs w:val="22"/>
              </w:rPr>
              <w:t>No.:</w:t>
            </w:r>
          </w:p>
        </w:tc>
        <w:tc>
          <w:tcPr>
            <w:tcW w:w="2700" w:type="dxa"/>
          </w:tcPr>
          <w:p w:rsidR="007A0C3D" w:rsidRPr="00CC0E21" w:rsidRDefault="00270175" w:rsidP="00BB2E00">
            <w:pPr>
              <w:tabs>
                <w:tab w:val="right" w:pos="2556"/>
              </w:tabs>
              <w:snapToGrid w:val="0"/>
              <w:spacing w:before="20" w:after="20"/>
              <w:ind w:left="-3"/>
              <w:rPr>
                <w:rFonts w:ascii="Arial" w:hAnsi="Arial" w:cs="Arial"/>
                <w:sz w:val="22"/>
                <w:szCs w:val="22"/>
              </w:rPr>
            </w:pPr>
            <w:r w:rsidRPr="00CC0E21">
              <w:rPr>
                <w:rFonts w:ascii="Arial" w:hAnsi="Arial" w:cs="Arial"/>
                <w:sz w:val="22"/>
                <w:szCs w:val="22"/>
              </w:rPr>
              <w:t>201</w:t>
            </w:r>
            <w:r w:rsidR="00BB2E00">
              <w:rPr>
                <w:rFonts w:ascii="Arial" w:hAnsi="Arial" w:cs="Arial"/>
                <w:sz w:val="22"/>
                <w:szCs w:val="22"/>
              </w:rPr>
              <w:t>5-0309</w:t>
            </w:r>
            <w:r w:rsidR="00CD2047" w:rsidRPr="00CC0E2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7A0C3D" w:rsidRPr="00CC0E21" w:rsidRDefault="007A0C3D">
            <w:pPr>
              <w:snapToGrid w:val="0"/>
              <w:spacing w:before="20" w:after="20"/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CC0E21">
              <w:rPr>
                <w:rFonts w:ascii="Arial" w:hAnsi="Arial" w:cs="Arial"/>
                <w:b/>
                <w:sz w:val="22"/>
                <w:szCs w:val="22"/>
              </w:rPr>
              <w:t>Prepared by:</w:t>
            </w:r>
          </w:p>
        </w:tc>
        <w:tc>
          <w:tcPr>
            <w:tcW w:w="2250" w:type="dxa"/>
          </w:tcPr>
          <w:p w:rsidR="007A0C3D" w:rsidRPr="00CC0E21" w:rsidRDefault="007A0C3D">
            <w:pPr>
              <w:snapToGrid w:val="0"/>
              <w:spacing w:before="20" w:after="20"/>
              <w:ind w:left="-3"/>
              <w:rPr>
                <w:rFonts w:ascii="Arial" w:hAnsi="Arial" w:cs="Arial"/>
                <w:sz w:val="22"/>
                <w:szCs w:val="22"/>
              </w:rPr>
            </w:pPr>
            <w:r w:rsidRPr="00CC0E21">
              <w:rPr>
                <w:rFonts w:ascii="Arial" w:hAnsi="Arial" w:cs="Arial"/>
                <w:sz w:val="22"/>
                <w:szCs w:val="22"/>
              </w:rPr>
              <w:t>Nick Wagner</w:t>
            </w:r>
          </w:p>
        </w:tc>
      </w:tr>
    </w:tbl>
    <w:p w:rsidR="007A0C3D" w:rsidRPr="004C7887" w:rsidRDefault="007A0C3D" w:rsidP="0091218E">
      <w:pPr>
        <w:spacing w:after="240"/>
        <w:jc w:val="center"/>
        <w:rPr>
          <w:rFonts w:ascii="Arial" w:hAnsi="Arial" w:cs="Arial"/>
        </w:rPr>
      </w:pPr>
    </w:p>
    <w:p w:rsidR="00860EA0" w:rsidRPr="00823CF0" w:rsidRDefault="00860EA0" w:rsidP="0091218E">
      <w:pPr>
        <w:tabs>
          <w:tab w:val="left" w:pos="360"/>
        </w:tabs>
        <w:spacing w:after="240"/>
        <w:rPr>
          <w:rFonts w:ascii="Arial" w:hAnsi="Arial" w:cs="Arial"/>
          <w:b/>
          <w:caps/>
          <w:color w:val="000000"/>
          <w:sz w:val="22"/>
          <w:szCs w:val="22"/>
        </w:rPr>
      </w:pPr>
      <w:r w:rsidRPr="00823CF0">
        <w:rPr>
          <w:rFonts w:ascii="Arial" w:hAnsi="Arial" w:cs="Arial"/>
          <w:b/>
          <w:caps/>
          <w:color w:val="000000"/>
          <w:sz w:val="22"/>
          <w:szCs w:val="22"/>
          <w:u w:val="single"/>
        </w:rPr>
        <w:t>SUBJECT</w:t>
      </w:r>
    </w:p>
    <w:p w:rsidR="00860EA0" w:rsidRPr="00E96CDD" w:rsidRDefault="00860EA0" w:rsidP="00E96CDD">
      <w:p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23CF0">
        <w:rPr>
          <w:rFonts w:ascii="Arial" w:hAnsi="Arial" w:cs="Arial"/>
          <w:color w:val="000000"/>
          <w:sz w:val="22"/>
          <w:szCs w:val="22"/>
        </w:rPr>
        <w:t>An ordinance approving a collective bargaining agreement</w:t>
      </w:r>
      <w:r w:rsidR="008701F1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373F1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838C9">
        <w:rPr>
          <w:rFonts w:ascii="Arial" w:hAnsi="Arial" w:cs="Arial"/>
          <w:color w:val="000000"/>
          <w:sz w:val="22"/>
          <w:szCs w:val="22"/>
        </w:rPr>
        <w:t>International Association of Fire Fighters, Local 2595</w:t>
      </w:r>
      <w:r w:rsidR="00373F13">
        <w:rPr>
          <w:rFonts w:ascii="Arial" w:hAnsi="Arial" w:cs="Arial"/>
          <w:color w:val="000000"/>
          <w:sz w:val="22"/>
          <w:szCs w:val="22"/>
        </w:rPr>
        <w:t>,</w:t>
      </w:r>
      <w:r w:rsidRPr="00823CF0">
        <w:rPr>
          <w:rFonts w:ascii="Arial" w:hAnsi="Arial" w:cs="Arial"/>
          <w:color w:val="000000"/>
          <w:sz w:val="22"/>
          <w:szCs w:val="22"/>
        </w:rPr>
        <w:t xml:space="preserve"> </w:t>
      </w:r>
      <w:r w:rsidR="008701F1">
        <w:rPr>
          <w:rFonts w:ascii="Arial" w:hAnsi="Arial" w:cs="Arial"/>
          <w:color w:val="000000"/>
          <w:sz w:val="22"/>
          <w:szCs w:val="22"/>
        </w:rPr>
        <w:t xml:space="preserve">covering </w:t>
      </w:r>
      <w:r w:rsidR="00A3104E">
        <w:rPr>
          <w:rFonts w:ascii="Arial" w:hAnsi="Arial" w:cs="Arial"/>
          <w:color w:val="000000"/>
          <w:sz w:val="22"/>
          <w:szCs w:val="22"/>
        </w:rPr>
        <w:t xml:space="preserve">about </w:t>
      </w:r>
      <w:r w:rsidR="007838C9">
        <w:rPr>
          <w:rFonts w:ascii="Arial" w:hAnsi="Arial" w:cs="Arial"/>
          <w:color w:val="000000"/>
          <w:sz w:val="22"/>
          <w:szCs w:val="22"/>
        </w:rPr>
        <w:t>7</w:t>
      </w:r>
      <w:r w:rsidR="00BB2E00">
        <w:rPr>
          <w:rFonts w:ascii="Arial" w:hAnsi="Arial" w:cs="Arial"/>
          <w:color w:val="000000"/>
          <w:sz w:val="22"/>
          <w:szCs w:val="22"/>
        </w:rPr>
        <w:t>0</w:t>
      </w:r>
      <w:r w:rsidR="00A3104E">
        <w:rPr>
          <w:rFonts w:ascii="Arial" w:hAnsi="Arial" w:cs="Arial"/>
          <w:color w:val="000000"/>
          <w:sz w:val="22"/>
          <w:szCs w:val="22"/>
        </w:rPr>
        <w:t xml:space="preserve"> </w:t>
      </w:r>
      <w:r w:rsidR="002A78A2">
        <w:rPr>
          <w:rFonts w:ascii="Arial" w:hAnsi="Arial" w:cs="Arial"/>
          <w:color w:val="000000"/>
          <w:sz w:val="22"/>
          <w:szCs w:val="22"/>
        </w:rPr>
        <w:t>employees</w:t>
      </w:r>
      <w:r w:rsidR="008701F1">
        <w:rPr>
          <w:rFonts w:ascii="Arial" w:hAnsi="Arial" w:cs="Arial"/>
          <w:color w:val="000000"/>
          <w:sz w:val="22"/>
          <w:szCs w:val="22"/>
        </w:rPr>
        <w:t xml:space="preserve"> </w:t>
      </w:r>
      <w:r w:rsidR="0057580D">
        <w:rPr>
          <w:rFonts w:ascii="Arial" w:hAnsi="Arial" w:cs="Arial"/>
          <w:color w:val="000000"/>
          <w:sz w:val="22"/>
          <w:szCs w:val="22"/>
        </w:rPr>
        <w:t xml:space="preserve">working in </w:t>
      </w:r>
      <w:r w:rsidR="002A78A2">
        <w:rPr>
          <w:rFonts w:ascii="Arial" w:hAnsi="Arial" w:cs="Arial"/>
          <w:color w:val="000000"/>
          <w:sz w:val="22"/>
          <w:szCs w:val="22"/>
        </w:rPr>
        <w:t xml:space="preserve">King County Medic One </w:t>
      </w:r>
      <w:r w:rsidR="008701F1">
        <w:rPr>
          <w:rFonts w:ascii="Arial" w:hAnsi="Arial" w:cs="Arial"/>
          <w:color w:val="000000"/>
          <w:sz w:val="22"/>
          <w:szCs w:val="22"/>
        </w:rPr>
        <w:t>in the</w:t>
      </w:r>
      <w:r w:rsidR="004A7EC1">
        <w:rPr>
          <w:rFonts w:ascii="Arial" w:hAnsi="Arial" w:cs="Arial"/>
          <w:color w:val="000000"/>
          <w:sz w:val="22"/>
          <w:szCs w:val="22"/>
        </w:rPr>
        <w:t xml:space="preserve"> Department of Public Health</w:t>
      </w:r>
      <w:r w:rsidR="008701F1">
        <w:rPr>
          <w:rFonts w:ascii="Arial" w:hAnsi="Arial" w:cs="Arial"/>
          <w:color w:val="000000"/>
          <w:sz w:val="22"/>
          <w:szCs w:val="22"/>
        </w:rPr>
        <w:t>.</w:t>
      </w:r>
    </w:p>
    <w:p w:rsidR="004C7887" w:rsidRPr="00823CF0" w:rsidRDefault="004C7887" w:rsidP="0091218E">
      <w:pPr>
        <w:tabs>
          <w:tab w:val="left" w:pos="360"/>
        </w:tabs>
        <w:spacing w:after="240"/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 w:rsidRPr="00823CF0">
        <w:rPr>
          <w:rFonts w:ascii="Arial" w:hAnsi="Arial" w:cs="Arial"/>
          <w:b/>
          <w:caps/>
          <w:color w:val="000000"/>
          <w:sz w:val="22"/>
          <w:szCs w:val="22"/>
          <w:u w:val="single"/>
        </w:rPr>
        <w:t>SUMMARY</w:t>
      </w:r>
    </w:p>
    <w:p w:rsidR="00D308D6" w:rsidRDefault="004C7887" w:rsidP="0091218E">
      <w:p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23CF0">
        <w:rPr>
          <w:rFonts w:ascii="Arial" w:hAnsi="Arial" w:cs="Arial"/>
          <w:color w:val="000000"/>
          <w:sz w:val="22"/>
          <w:szCs w:val="22"/>
        </w:rPr>
        <w:t xml:space="preserve">Proposed Ordinance </w:t>
      </w:r>
      <w:r w:rsidR="00860EA0" w:rsidRPr="00823CF0">
        <w:rPr>
          <w:rFonts w:ascii="Arial" w:hAnsi="Arial" w:cs="Arial"/>
          <w:color w:val="000000"/>
          <w:sz w:val="22"/>
          <w:szCs w:val="22"/>
        </w:rPr>
        <w:t>201</w:t>
      </w:r>
      <w:r w:rsidR="002378E7">
        <w:rPr>
          <w:rFonts w:ascii="Arial" w:hAnsi="Arial" w:cs="Arial"/>
          <w:color w:val="000000"/>
          <w:sz w:val="22"/>
          <w:szCs w:val="22"/>
        </w:rPr>
        <w:t>5-0309</w:t>
      </w:r>
      <w:r w:rsidRPr="00823CF0">
        <w:rPr>
          <w:rFonts w:ascii="Arial" w:hAnsi="Arial" w:cs="Arial"/>
          <w:color w:val="000000"/>
          <w:sz w:val="22"/>
          <w:szCs w:val="22"/>
        </w:rPr>
        <w:t xml:space="preserve"> (</w:t>
      </w:r>
      <w:r w:rsidR="00860EA0" w:rsidRPr="00823CF0">
        <w:rPr>
          <w:rFonts w:ascii="Arial" w:hAnsi="Arial" w:cs="Arial"/>
          <w:color w:val="000000"/>
          <w:sz w:val="22"/>
          <w:szCs w:val="22"/>
        </w:rPr>
        <w:t>Att. 1</w:t>
      </w:r>
      <w:r w:rsidRPr="00823CF0">
        <w:rPr>
          <w:rFonts w:ascii="Arial" w:hAnsi="Arial" w:cs="Arial"/>
          <w:color w:val="000000"/>
          <w:sz w:val="22"/>
          <w:szCs w:val="22"/>
        </w:rPr>
        <w:t xml:space="preserve">) would approve a collective bargaining agreement (CBA) between King County and </w:t>
      </w:r>
      <w:r w:rsidR="00860EA0" w:rsidRPr="00823CF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838C9" w:rsidRPr="007838C9">
        <w:rPr>
          <w:rFonts w:ascii="Arial" w:hAnsi="Arial" w:cs="Arial"/>
          <w:color w:val="000000"/>
          <w:sz w:val="22"/>
          <w:szCs w:val="22"/>
        </w:rPr>
        <w:t>International Association of Fire Fighters</w:t>
      </w:r>
      <w:r w:rsidR="00C86B8B">
        <w:rPr>
          <w:rFonts w:ascii="Arial" w:hAnsi="Arial" w:cs="Arial"/>
          <w:color w:val="000000"/>
          <w:sz w:val="22"/>
          <w:szCs w:val="22"/>
        </w:rPr>
        <w:t xml:space="preserve"> (IAFF)</w:t>
      </w:r>
      <w:r w:rsidR="007838C9" w:rsidRPr="007838C9">
        <w:rPr>
          <w:rFonts w:ascii="Arial" w:hAnsi="Arial" w:cs="Arial"/>
          <w:color w:val="000000"/>
          <w:sz w:val="22"/>
          <w:szCs w:val="22"/>
        </w:rPr>
        <w:t>, Local 2595</w:t>
      </w:r>
      <w:r w:rsidR="00E20738">
        <w:rPr>
          <w:rFonts w:ascii="Arial" w:hAnsi="Arial" w:cs="Arial"/>
          <w:color w:val="000000"/>
          <w:sz w:val="22"/>
          <w:szCs w:val="22"/>
        </w:rPr>
        <w:t>.</w:t>
      </w:r>
      <w:r w:rsidRPr="00823CF0">
        <w:rPr>
          <w:rFonts w:ascii="Arial" w:hAnsi="Arial" w:cs="Arial"/>
          <w:color w:val="000000"/>
          <w:sz w:val="22"/>
          <w:szCs w:val="22"/>
        </w:rPr>
        <w:t xml:space="preserve"> The CBA (</w:t>
      </w:r>
      <w:r w:rsidR="0006233A" w:rsidRPr="00823CF0">
        <w:rPr>
          <w:rFonts w:ascii="Arial" w:hAnsi="Arial" w:cs="Arial"/>
          <w:color w:val="000000"/>
          <w:sz w:val="22"/>
          <w:szCs w:val="22"/>
        </w:rPr>
        <w:t>Att. 1-A</w:t>
      </w:r>
      <w:r w:rsidR="00860EA0" w:rsidRPr="00823CF0">
        <w:rPr>
          <w:rFonts w:ascii="Arial" w:hAnsi="Arial" w:cs="Arial"/>
          <w:color w:val="000000"/>
          <w:sz w:val="22"/>
          <w:szCs w:val="22"/>
        </w:rPr>
        <w:t xml:space="preserve">) covers </w:t>
      </w:r>
      <w:r w:rsidR="004A7EC1">
        <w:rPr>
          <w:rFonts w:ascii="Arial" w:hAnsi="Arial" w:cs="Arial"/>
          <w:color w:val="000000"/>
          <w:sz w:val="22"/>
          <w:szCs w:val="22"/>
        </w:rPr>
        <w:t xml:space="preserve">about </w:t>
      </w:r>
      <w:r w:rsidR="007838C9">
        <w:rPr>
          <w:rFonts w:ascii="Arial" w:hAnsi="Arial" w:cs="Arial"/>
          <w:color w:val="000000"/>
          <w:sz w:val="22"/>
          <w:szCs w:val="22"/>
        </w:rPr>
        <w:t>7</w:t>
      </w:r>
      <w:r w:rsidR="00BB2E00">
        <w:rPr>
          <w:rFonts w:ascii="Arial" w:hAnsi="Arial" w:cs="Arial"/>
          <w:color w:val="000000"/>
          <w:sz w:val="22"/>
          <w:szCs w:val="22"/>
        </w:rPr>
        <w:t>0</w:t>
      </w:r>
      <w:r w:rsidR="007838C9">
        <w:rPr>
          <w:rFonts w:ascii="Arial" w:hAnsi="Arial" w:cs="Arial"/>
          <w:color w:val="000000"/>
          <w:sz w:val="22"/>
          <w:szCs w:val="22"/>
        </w:rPr>
        <w:t xml:space="preserve"> </w:t>
      </w:r>
      <w:r w:rsidR="00D308D6">
        <w:rPr>
          <w:rFonts w:ascii="Arial" w:hAnsi="Arial" w:cs="Arial"/>
          <w:color w:val="000000"/>
          <w:sz w:val="22"/>
          <w:szCs w:val="22"/>
        </w:rPr>
        <w:t xml:space="preserve">Paramedics, Paramedic Supervisors, and Paramedic Interns </w:t>
      </w:r>
      <w:r w:rsidR="00D23810">
        <w:rPr>
          <w:rFonts w:ascii="Arial" w:hAnsi="Arial" w:cs="Arial"/>
          <w:color w:val="000000"/>
          <w:sz w:val="22"/>
          <w:szCs w:val="22"/>
        </w:rPr>
        <w:t xml:space="preserve">in King County Medic One, </w:t>
      </w:r>
      <w:r w:rsidR="002A78A2" w:rsidRPr="002A78A2">
        <w:rPr>
          <w:rFonts w:ascii="Arial" w:hAnsi="Arial" w:cs="Arial"/>
          <w:color w:val="000000"/>
          <w:sz w:val="22"/>
          <w:szCs w:val="22"/>
        </w:rPr>
        <w:t>which is a part of King County Emergency Medical Services (EMS), a division of the Department of Public Health</w:t>
      </w:r>
      <w:r w:rsidR="00E96CDD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D308D6" w:rsidRPr="004D0214">
        <w:rPr>
          <w:rFonts w:ascii="Arial" w:hAnsi="Arial" w:cs="Arial"/>
          <w:color w:val="000000"/>
          <w:sz w:val="22"/>
          <w:szCs w:val="22"/>
        </w:rPr>
        <w:t xml:space="preserve">covers the </w:t>
      </w:r>
      <w:r w:rsidR="00D308D6">
        <w:rPr>
          <w:rFonts w:ascii="Arial" w:hAnsi="Arial" w:cs="Arial"/>
          <w:color w:val="000000"/>
          <w:sz w:val="22"/>
          <w:szCs w:val="22"/>
        </w:rPr>
        <w:t>three</w:t>
      </w:r>
      <w:r w:rsidR="00D308D6" w:rsidRPr="004D0214">
        <w:rPr>
          <w:rFonts w:ascii="Arial" w:hAnsi="Arial" w:cs="Arial"/>
          <w:color w:val="000000"/>
          <w:sz w:val="22"/>
          <w:szCs w:val="22"/>
        </w:rPr>
        <w:t xml:space="preserve">-year period from </w:t>
      </w:r>
      <w:r w:rsidR="00D308D6">
        <w:rPr>
          <w:rFonts w:ascii="Arial" w:hAnsi="Arial" w:cs="Arial"/>
          <w:color w:val="000000"/>
          <w:sz w:val="22"/>
          <w:szCs w:val="22"/>
        </w:rPr>
        <w:t xml:space="preserve">January </w:t>
      </w:r>
      <w:r w:rsidR="002378E7">
        <w:rPr>
          <w:rFonts w:ascii="Arial" w:hAnsi="Arial" w:cs="Arial"/>
          <w:color w:val="000000"/>
          <w:sz w:val="22"/>
          <w:szCs w:val="22"/>
        </w:rPr>
        <w:t xml:space="preserve">1, </w:t>
      </w:r>
      <w:r w:rsidR="00D308D6">
        <w:rPr>
          <w:rFonts w:ascii="Arial" w:hAnsi="Arial" w:cs="Arial"/>
          <w:color w:val="000000"/>
          <w:sz w:val="22"/>
          <w:szCs w:val="22"/>
        </w:rPr>
        <w:t>2015</w:t>
      </w:r>
      <w:r w:rsidR="002378E7">
        <w:rPr>
          <w:rFonts w:ascii="Arial" w:hAnsi="Arial" w:cs="Arial"/>
          <w:color w:val="000000"/>
          <w:sz w:val="22"/>
          <w:szCs w:val="22"/>
        </w:rPr>
        <w:t>,</w:t>
      </w:r>
      <w:r w:rsidR="00D308D6" w:rsidRPr="004D0214">
        <w:rPr>
          <w:rFonts w:ascii="Arial" w:hAnsi="Arial" w:cs="Arial"/>
          <w:color w:val="000000"/>
          <w:sz w:val="22"/>
          <w:szCs w:val="22"/>
        </w:rPr>
        <w:t xml:space="preserve"> through </w:t>
      </w:r>
      <w:r w:rsidR="00D308D6">
        <w:rPr>
          <w:rFonts w:ascii="Arial" w:hAnsi="Arial" w:cs="Arial"/>
          <w:color w:val="000000"/>
          <w:sz w:val="22"/>
          <w:szCs w:val="22"/>
        </w:rPr>
        <w:t xml:space="preserve">December </w:t>
      </w:r>
      <w:r w:rsidR="002378E7">
        <w:rPr>
          <w:rFonts w:ascii="Arial" w:hAnsi="Arial" w:cs="Arial"/>
          <w:color w:val="000000"/>
          <w:sz w:val="22"/>
          <w:szCs w:val="22"/>
        </w:rPr>
        <w:t xml:space="preserve">31, </w:t>
      </w:r>
      <w:r w:rsidR="00D308D6">
        <w:rPr>
          <w:rFonts w:ascii="Arial" w:hAnsi="Arial" w:cs="Arial"/>
          <w:color w:val="000000"/>
          <w:sz w:val="22"/>
          <w:szCs w:val="22"/>
        </w:rPr>
        <w:t>2017 (Article 2</w:t>
      </w:r>
      <w:r w:rsidR="000F6BC4">
        <w:rPr>
          <w:rFonts w:ascii="Arial" w:hAnsi="Arial" w:cs="Arial"/>
          <w:color w:val="000000"/>
          <w:sz w:val="22"/>
          <w:szCs w:val="22"/>
        </w:rPr>
        <w:t>5</w:t>
      </w:r>
      <w:r w:rsidR="00D308D6">
        <w:rPr>
          <w:rFonts w:ascii="Arial" w:hAnsi="Arial" w:cs="Arial"/>
          <w:color w:val="000000"/>
          <w:sz w:val="22"/>
          <w:szCs w:val="22"/>
        </w:rPr>
        <w:t>, Att. 1-A, p. 44).</w:t>
      </w:r>
      <w:r w:rsidR="00D308D6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1"/>
      </w:r>
    </w:p>
    <w:p w:rsidR="00D308D6" w:rsidRDefault="0091218E" w:rsidP="0091218E">
      <w:p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most notable provisions of the new CBA are:</w:t>
      </w:r>
    </w:p>
    <w:p w:rsidR="00B424FD" w:rsidRDefault="00E96CDD" w:rsidP="0091218E">
      <w:pPr>
        <w:pStyle w:val="ListParagraph"/>
        <w:numPr>
          <w:ilvl w:val="0"/>
          <w:numId w:val="43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Wage increases of</w:t>
      </w:r>
      <w:r w:rsidR="00B424FD">
        <w:rPr>
          <w:rFonts w:ascii="Arial" w:hAnsi="Arial" w:cs="Arial"/>
          <w:color w:val="000000"/>
          <w:sz w:val="22"/>
          <w:szCs w:val="22"/>
        </w:rPr>
        <w:t>:</w:t>
      </w:r>
    </w:p>
    <w:p w:rsidR="00454DB6" w:rsidRDefault="00454DB6" w:rsidP="00454DB6">
      <w:pPr>
        <w:pStyle w:val="ListParagraph"/>
        <w:numPr>
          <w:ilvl w:val="1"/>
          <w:numId w:val="43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5.00% for 2015 (effective January 1, 2015), </w:t>
      </w:r>
    </w:p>
    <w:p w:rsidR="00454DB6" w:rsidRDefault="00454DB6" w:rsidP="00454DB6">
      <w:pPr>
        <w:pStyle w:val="ListParagraph"/>
        <w:numPr>
          <w:ilvl w:val="1"/>
          <w:numId w:val="43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1.08% for 2016 (the increase in the CPI-W for Seattle-Tacoma-Bremerton between June 2014 and June 2015); and </w:t>
      </w:r>
    </w:p>
    <w:p w:rsidR="00454DB6" w:rsidRDefault="00454DB6" w:rsidP="00454DB6">
      <w:pPr>
        <w:pStyle w:val="ListParagraph"/>
        <w:numPr>
          <w:ilvl w:val="1"/>
          <w:numId w:val="43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1.86% for 2017 (the projected increase in the CPI-W between June 2015 and June 2016);</w:t>
      </w:r>
    </w:p>
    <w:p w:rsidR="00E96CDD" w:rsidRDefault="00E96CDD" w:rsidP="0091218E">
      <w:pPr>
        <w:pStyle w:val="ListParagraph"/>
        <w:numPr>
          <w:ilvl w:val="0"/>
          <w:numId w:val="43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Additional furlough days</w:t>
      </w:r>
      <w:r w:rsidR="00C86B8B">
        <w:rPr>
          <w:rFonts w:ascii="Arial" w:hAnsi="Arial" w:cs="Arial"/>
          <w:color w:val="000000"/>
          <w:sz w:val="22"/>
          <w:szCs w:val="22"/>
        </w:rPr>
        <w:t>;</w:t>
      </w:r>
    </w:p>
    <w:p w:rsidR="00E96CDD" w:rsidRDefault="00E96CDD" w:rsidP="0091218E">
      <w:pPr>
        <w:pStyle w:val="ListParagraph"/>
        <w:numPr>
          <w:ilvl w:val="0"/>
          <w:numId w:val="43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Additional holidays</w:t>
      </w:r>
      <w:r w:rsidR="00C86B8B">
        <w:rPr>
          <w:rFonts w:ascii="Arial" w:hAnsi="Arial" w:cs="Arial"/>
          <w:color w:val="000000"/>
          <w:sz w:val="22"/>
          <w:szCs w:val="22"/>
        </w:rPr>
        <w:t>;</w:t>
      </w:r>
    </w:p>
    <w:p w:rsidR="00E96CDD" w:rsidRDefault="00767489" w:rsidP="0091218E">
      <w:pPr>
        <w:pStyle w:val="ListParagraph"/>
        <w:numPr>
          <w:ilvl w:val="0"/>
          <w:numId w:val="43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Revision of the procedures for promotion to supervisory positions</w:t>
      </w:r>
      <w:r w:rsidR="00C86B8B">
        <w:rPr>
          <w:rFonts w:ascii="Arial" w:hAnsi="Arial" w:cs="Arial"/>
          <w:color w:val="000000"/>
          <w:sz w:val="22"/>
          <w:szCs w:val="22"/>
        </w:rPr>
        <w:t>;</w:t>
      </w:r>
    </w:p>
    <w:p w:rsidR="00A14B88" w:rsidRDefault="00A14B88" w:rsidP="00A14B88">
      <w:pPr>
        <w:pStyle w:val="ListParagraph"/>
        <w:numPr>
          <w:ilvl w:val="0"/>
          <w:numId w:val="43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new program for providing paramedics for the King County Sheriff’s Air Support Unit; and</w:t>
      </w:r>
    </w:p>
    <w:p w:rsidR="00767489" w:rsidRPr="0091218E" w:rsidRDefault="00C86B8B" w:rsidP="0091218E">
      <w:pPr>
        <w:pStyle w:val="ListParagraph"/>
        <w:numPr>
          <w:ilvl w:val="0"/>
          <w:numId w:val="43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memorandum of agreement (MOA) “identifying and clarifying those impacts [of an Ebola case being identified in King County] that may affect the hours, wages, and working conditions of IAFF 2595 bargaining unit members.”</w:t>
      </w:r>
    </w:p>
    <w:p w:rsidR="00D308D6" w:rsidRPr="00D308D6" w:rsidRDefault="00D308D6" w:rsidP="0091218E">
      <w:pPr>
        <w:spacing w:before="240"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308D6">
        <w:rPr>
          <w:rFonts w:ascii="Arial" w:hAnsi="Arial" w:cs="Arial"/>
          <w:b/>
          <w:color w:val="000000"/>
          <w:sz w:val="22"/>
          <w:szCs w:val="22"/>
          <w:u w:val="single"/>
        </w:rPr>
        <w:t>BACKGROUND</w:t>
      </w:r>
    </w:p>
    <w:p w:rsidR="008F5CC3" w:rsidRDefault="00D308D6" w:rsidP="0091218E">
      <w:p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Medic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C3EF0">
        <w:rPr>
          <w:rFonts w:ascii="Arial" w:hAnsi="Arial" w:cs="Arial"/>
          <w:color w:val="000000"/>
          <w:sz w:val="22"/>
          <w:szCs w:val="22"/>
        </w:rPr>
        <w:t>is widely acclaimed as one of the best emergency medical services programs in the world</w:t>
      </w:r>
      <w:r w:rsidR="002A78A2">
        <w:rPr>
          <w:rFonts w:ascii="Arial" w:hAnsi="Arial" w:cs="Arial"/>
          <w:color w:val="000000"/>
          <w:sz w:val="22"/>
          <w:szCs w:val="22"/>
        </w:rPr>
        <w:t>.</w:t>
      </w:r>
      <w:r w:rsidR="00AC3EF0">
        <w:rPr>
          <w:rFonts w:ascii="Arial" w:hAnsi="Arial" w:cs="Arial"/>
          <w:color w:val="000000"/>
          <w:sz w:val="22"/>
          <w:szCs w:val="22"/>
        </w:rPr>
        <w:t xml:space="preserve"> </w:t>
      </w:r>
      <w:r w:rsidR="008F5CC3">
        <w:rPr>
          <w:rFonts w:ascii="Arial" w:hAnsi="Arial" w:cs="Arial"/>
          <w:color w:val="000000"/>
          <w:sz w:val="22"/>
          <w:szCs w:val="22"/>
        </w:rPr>
        <w:t>According to the Executive’s transmittal letter</w:t>
      </w:r>
      <w:r w:rsidR="00DF2F35">
        <w:rPr>
          <w:rFonts w:ascii="Arial" w:hAnsi="Arial" w:cs="Arial"/>
          <w:color w:val="000000"/>
          <w:sz w:val="22"/>
          <w:szCs w:val="22"/>
        </w:rPr>
        <w:t xml:space="preserve"> (Att. 4)</w:t>
      </w:r>
      <w:r w:rsidR="008F5CC3">
        <w:rPr>
          <w:rFonts w:ascii="Arial" w:hAnsi="Arial" w:cs="Arial"/>
          <w:color w:val="000000"/>
          <w:sz w:val="22"/>
          <w:szCs w:val="22"/>
        </w:rPr>
        <w:t>:</w:t>
      </w:r>
    </w:p>
    <w:p w:rsidR="008F5CC3" w:rsidRDefault="00BB2E00" w:rsidP="0091218E">
      <w:pPr>
        <w:spacing w:before="240" w:after="24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B2E00">
        <w:rPr>
          <w:rFonts w:ascii="Arial" w:hAnsi="Arial" w:cs="Arial"/>
          <w:color w:val="000000"/>
          <w:sz w:val="22"/>
          <w:szCs w:val="22"/>
        </w:rPr>
        <w:lastRenderedPageBreak/>
        <w:t xml:space="preserve">King County Medic One Paramedics cover the largest geographical area of any provider in the region, and handle </w:t>
      </w:r>
      <w:r w:rsidR="00F23AD3">
        <w:rPr>
          <w:rFonts w:ascii="Arial" w:hAnsi="Arial" w:cs="Arial"/>
          <w:color w:val="000000"/>
          <w:sz w:val="22"/>
          <w:szCs w:val="22"/>
        </w:rPr>
        <w:t xml:space="preserve">[more than </w:t>
      </w:r>
      <w:r w:rsidR="00FC51E6">
        <w:rPr>
          <w:rFonts w:ascii="Arial" w:hAnsi="Arial" w:cs="Arial"/>
          <w:color w:val="000000"/>
          <w:sz w:val="22"/>
          <w:szCs w:val="22"/>
        </w:rPr>
        <w:t>46</w:t>
      </w:r>
      <w:r w:rsidRPr="00FC51E6">
        <w:rPr>
          <w:rFonts w:ascii="Arial" w:hAnsi="Arial" w:cs="Arial"/>
          <w:color w:val="000000"/>
          <w:sz w:val="22"/>
          <w:szCs w:val="22"/>
        </w:rPr>
        <w:t>,000</w:t>
      </w:r>
      <w:r w:rsidR="00FC51E6">
        <w:rPr>
          <w:rFonts w:ascii="Arial" w:hAnsi="Arial" w:cs="Arial"/>
          <w:color w:val="000000"/>
          <w:sz w:val="22"/>
          <w:szCs w:val="22"/>
        </w:rPr>
        <w:t>]</w:t>
      </w:r>
      <w:r w:rsidRPr="00BB2E00">
        <w:rPr>
          <w:rFonts w:ascii="Arial" w:hAnsi="Arial" w:cs="Arial"/>
          <w:color w:val="000000"/>
          <w:sz w:val="22"/>
          <w:szCs w:val="22"/>
        </w:rPr>
        <w:t xml:space="preserve"> calls per year, a figure which places King County Paramedics as a regional leader in call volume while doing so with the fewest number of Paramedics per medic unit.  King County Medic One is a recognized leader in clinical pre-hospital medical care and often sets the standard for pre-hospital medical care nationwide.</w:t>
      </w:r>
    </w:p>
    <w:p w:rsidR="004C7887" w:rsidRDefault="00AC3EF0" w:rsidP="0091218E">
      <w:p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According to </w:t>
      </w:r>
      <w:r w:rsidR="007B62F5">
        <w:rPr>
          <w:rFonts w:ascii="Arial" w:hAnsi="Arial" w:cs="Arial"/>
          <w:color w:val="000000"/>
          <w:sz w:val="22"/>
          <w:szCs w:val="22"/>
        </w:rPr>
        <w:t>the EMS</w:t>
      </w:r>
      <w:r>
        <w:rPr>
          <w:rFonts w:ascii="Arial" w:hAnsi="Arial" w:cs="Arial"/>
          <w:color w:val="000000"/>
          <w:sz w:val="22"/>
          <w:szCs w:val="22"/>
        </w:rPr>
        <w:t xml:space="preserve"> 201</w:t>
      </w:r>
      <w:r w:rsidR="00BB2E00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Annual Report</w:t>
      </w:r>
      <w:r w:rsidR="002651CF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2651CF" w:rsidRPr="002651CF" w:rsidRDefault="002651CF" w:rsidP="002651CF">
      <w:pPr>
        <w:pStyle w:val="ListParagraph"/>
        <w:keepNext/>
        <w:numPr>
          <w:ilvl w:val="0"/>
          <w:numId w:val="40"/>
        </w:numPr>
        <w:spacing w:before="240" w:after="24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2651CF">
        <w:rPr>
          <w:rFonts w:ascii="Arial" w:hAnsi="Arial" w:cs="Arial"/>
          <w:color w:val="000000"/>
          <w:sz w:val="22"/>
          <w:szCs w:val="22"/>
        </w:rPr>
        <w:t>Medic One/Emergency Medical Services (EMS) serves nearly 2 million people in King County 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651CF">
        <w:rPr>
          <w:rFonts w:ascii="Arial" w:hAnsi="Arial" w:cs="Arial"/>
          <w:color w:val="000000"/>
          <w:sz w:val="22"/>
          <w:szCs w:val="22"/>
        </w:rPr>
        <w:t>provides life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651CF">
        <w:rPr>
          <w:rFonts w:ascii="Arial" w:hAnsi="Arial" w:cs="Arial"/>
          <w:color w:val="000000"/>
          <w:sz w:val="22"/>
          <w:szCs w:val="22"/>
        </w:rPr>
        <w:t>saving services on average every 3 minutes.</w:t>
      </w:r>
    </w:p>
    <w:p w:rsidR="002651CF" w:rsidRPr="002651CF" w:rsidRDefault="002651CF" w:rsidP="002651CF">
      <w:pPr>
        <w:pStyle w:val="ListParagraph"/>
        <w:keepNext/>
        <w:numPr>
          <w:ilvl w:val="0"/>
          <w:numId w:val="40"/>
        </w:numPr>
        <w:spacing w:before="240" w:after="24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2651CF">
        <w:rPr>
          <w:rFonts w:ascii="Arial" w:hAnsi="Arial" w:cs="Arial"/>
          <w:color w:val="000000"/>
          <w:sz w:val="22"/>
          <w:szCs w:val="22"/>
        </w:rPr>
        <w:t xml:space="preserve">Each year, approximately 1 out of 10 of </w:t>
      </w:r>
      <w:r w:rsidR="00D430CD">
        <w:rPr>
          <w:rFonts w:ascii="Arial" w:hAnsi="Arial" w:cs="Arial"/>
          <w:color w:val="000000"/>
          <w:sz w:val="22"/>
          <w:szCs w:val="22"/>
        </w:rPr>
        <w:t>King County</w:t>
      </w:r>
      <w:r w:rsidRPr="002651CF">
        <w:rPr>
          <w:rFonts w:ascii="Arial" w:hAnsi="Arial" w:cs="Arial"/>
          <w:color w:val="000000"/>
          <w:sz w:val="22"/>
          <w:szCs w:val="22"/>
        </w:rPr>
        <w:t xml:space="preserve"> residents will use </w:t>
      </w:r>
      <w:r w:rsidR="00D430CD">
        <w:rPr>
          <w:rFonts w:ascii="Arial" w:hAnsi="Arial" w:cs="Arial"/>
          <w:color w:val="000000"/>
          <w:sz w:val="22"/>
          <w:szCs w:val="22"/>
        </w:rPr>
        <w:t>the</w:t>
      </w:r>
      <w:r w:rsidRPr="002651CF">
        <w:rPr>
          <w:rFonts w:ascii="Arial" w:hAnsi="Arial" w:cs="Arial"/>
          <w:color w:val="000000"/>
          <w:sz w:val="22"/>
          <w:szCs w:val="22"/>
        </w:rPr>
        <w:t xml:space="preserve"> Medic One/EMS system.</w:t>
      </w:r>
    </w:p>
    <w:p w:rsidR="002651CF" w:rsidRPr="002651CF" w:rsidRDefault="002651CF" w:rsidP="002651CF">
      <w:pPr>
        <w:pStyle w:val="ListParagraph"/>
        <w:keepNext/>
        <w:numPr>
          <w:ilvl w:val="0"/>
          <w:numId w:val="40"/>
        </w:numPr>
        <w:spacing w:before="240" w:after="24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2651CF">
        <w:rPr>
          <w:rFonts w:ascii="Arial" w:hAnsi="Arial" w:cs="Arial"/>
          <w:color w:val="000000"/>
          <w:sz w:val="22"/>
          <w:szCs w:val="22"/>
        </w:rPr>
        <w:t>Every year the Medic One/EMS System saves thousands of lives:</w:t>
      </w:r>
    </w:p>
    <w:p w:rsidR="002651CF" w:rsidRPr="002651CF" w:rsidRDefault="002651CF" w:rsidP="002651CF">
      <w:pPr>
        <w:pStyle w:val="ListParagraph"/>
        <w:keepNext/>
        <w:numPr>
          <w:ilvl w:val="1"/>
          <w:numId w:val="40"/>
        </w:numPr>
        <w:spacing w:before="240" w:after="24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2651CF">
        <w:rPr>
          <w:rFonts w:ascii="Arial" w:hAnsi="Arial" w:cs="Arial"/>
          <w:color w:val="000000"/>
          <w:sz w:val="22"/>
          <w:szCs w:val="22"/>
        </w:rPr>
        <w:t>In 2013 firefighters responded to more than 172,000 calls in King County.</w:t>
      </w:r>
    </w:p>
    <w:p w:rsidR="002651CF" w:rsidRPr="002651CF" w:rsidRDefault="002651CF" w:rsidP="002651CF">
      <w:pPr>
        <w:pStyle w:val="ListParagraph"/>
        <w:keepNext/>
        <w:numPr>
          <w:ilvl w:val="1"/>
          <w:numId w:val="40"/>
        </w:numPr>
        <w:spacing w:before="240" w:after="24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C51E6">
        <w:rPr>
          <w:rFonts w:ascii="Arial" w:hAnsi="Arial" w:cs="Arial"/>
          <w:color w:val="000000"/>
          <w:sz w:val="22"/>
          <w:szCs w:val="22"/>
        </w:rPr>
        <w:t>In 2013 paramedics responded to more than 46,000 calls for advanced life</w:t>
      </w:r>
      <w:r w:rsidRPr="002651CF">
        <w:rPr>
          <w:rFonts w:ascii="Arial" w:hAnsi="Arial" w:cs="Arial"/>
          <w:color w:val="000000"/>
          <w:sz w:val="22"/>
          <w:szCs w:val="22"/>
        </w:rPr>
        <w:t xml:space="preserve"> support in King County.</w:t>
      </w:r>
    </w:p>
    <w:p w:rsidR="00AC3EF0" w:rsidRPr="00AC3EF0" w:rsidRDefault="00AC3EF0" w:rsidP="0091218E">
      <w:pPr>
        <w:pStyle w:val="ListParagraph"/>
        <w:keepNext/>
        <w:numPr>
          <w:ilvl w:val="0"/>
          <w:numId w:val="40"/>
        </w:numPr>
        <w:spacing w:before="240" w:after="24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AC3EF0">
        <w:rPr>
          <w:rFonts w:ascii="Arial" w:hAnsi="Arial" w:cs="Arial"/>
          <w:color w:val="000000"/>
          <w:sz w:val="22"/>
          <w:szCs w:val="22"/>
        </w:rPr>
        <w:t xml:space="preserve">Compared </w:t>
      </w:r>
      <w:r w:rsidR="00D430CD">
        <w:rPr>
          <w:rFonts w:ascii="Arial" w:hAnsi="Arial" w:cs="Arial"/>
          <w:color w:val="000000"/>
          <w:sz w:val="22"/>
          <w:szCs w:val="22"/>
        </w:rPr>
        <w:t>with</w:t>
      </w:r>
      <w:r w:rsidRPr="00AC3EF0">
        <w:rPr>
          <w:rFonts w:ascii="Arial" w:hAnsi="Arial" w:cs="Arial"/>
          <w:color w:val="000000"/>
          <w:sz w:val="22"/>
          <w:szCs w:val="22"/>
        </w:rPr>
        <w:t xml:space="preserve"> other cities, cardiac arrest victims </w:t>
      </w:r>
      <w:r w:rsidR="008F5CC3">
        <w:rPr>
          <w:rFonts w:ascii="Arial" w:hAnsi="Arial" w:cs="Arial"/>
          <w:color w:val="000000"/>
          <w:sz w:val="22"/>
          <w:szCs w:val="22"/>
        </w:rPr>
        <w:t xml:space="preserve">[in Seattle </w:t>
      </w:r>
      <w:r w:rsidR="006076F2">
        <w:rPr>
          <w:rFonts w:ascii="Arial" w:hAnsi="Arial" w:cs="Arial"/>
          <w:color w:val="000000"/>
          <w:sz w:val="22"/>
          <w:szCs w:val="22"/>
        </w:rPr>
        <w:t>&amp;</w:t>
      </w:r>
      <w:r w:rsidR="008F5CC3">
        <w:rPr>
          <w:rFonts w:ascii="Arial" w:hAnsi="Arial" w:cs="Arial"/>
          <w:color w:val="000000"/>
          <w:sz w:val="22"/>
          <w:szCs w:val="22"/>
        </w:rPr>
        <w:t xml:space="preserve"> King County] </w:t>
      </w:r>
      <w:r w:rsidRPr="00AC3EF0">
        <w:rPr>
          <w:rFonts w:ascii="Arial" w:hAnsi="Arial" w:cs="Arial"/>
          <w:color w:val="000000"/>
          <w:sz w:val="22"/>
          <w:szCs w:val="22"/>
        </w:rPr>
        <w:t xml:space="preserve">are 4 to 5 times more likely to survive. </w:t>
      </w:r>
    </w:p>
    <w:p w:rsidR="00AC3EF0" w:rsidRPr="002651CF" w:rsidRDefault="00AC3EF0" w:rsidP="0091218E">
      <w:pPr>
        <w:pStyle w:val="ListParagraph"/>
        <w:numPr>
          <w:ilvl w:val="0"/>
          <w:numId w:val="40"/>
        </w:numPr>
        <w:spacing w:before="240" w:after="24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651CF">
        <w:rPr>
          <w:rFonts w:ascii="Arial" w:hAnsi="Arial" w:cs="Arial"/>
          <w:color w:val="000000"/>
          <w:sz w:val="22"/>
          <w:szCs w:val="22"/>
        </w:rPr>
        <w:t>In 201</w:t>
      </w:r>
      <w:r w:rsidR="00484E62" w:rsidRPr="002651CF">
        <w:rPr>
          <w:rFonts w:ascii="Arial" w:hAnsi="Arial" w:cs="Arial"/>
          <w:color w:val="000000"/>
          <w:sz w:val="22"/>
          <w:szCs w:val="22"/>
        </w:rPr>
        <w:t>3</w:t>
      </w:r>
      <w:r w:rsidRPr="002651CF">
        <w:rPr>
          <w:rFonts w:ascii="Arial" w:hAnsi="Arial" w:cs="Arial"/>
          <w:color w:val="000000"/>
          <w:sz w:val="22"/>
          <w:szCs w:val="22"/>
        </w:rPr>
        <w:t xml:space="preserve"> Seattle </w:t>
      </w:r>
      <w:r w:rsidR="00E07E95">
        <w:rPr>
          <w:rFonts w:ascii="Arial" w:hAnsi="Arial" w:cs="Arial"/>
          <w:color w:val="000000"/>
          <w:sz w:val="22"/>
          <w:szCs w:val="22"/>
        </w:rPr>
        <w:t>and</w:t>
      </w:r>
      <w:r w:rsidRPr="002651CF">
        <w:rPr>
          <w:rFonts w:ascii="Arial" w:hAnsi="Arial" w:cs="Arial"/>
          <w:color w:val="000000"/>
          <w:sz w:val="22"/>
          <w:szCs w:val="22"/>
        </w:rPr>
        <w:t xml:space="preserve"> King County achieved a </w:t>
      </w:r>
      <w:r w:rsidR="00484E62" w:rsidRPr="002651CF">
        <w:rPr>
          <w:rFonts w:ascii="Arial" w:hAnsi="Arial" w:cs="Arial"/>
          <w:color w:val="000000"/>
          <w:sz w:val="22"/>
          <w:szCs w:val="22"/>
        </w:rPr>
        <w:t>62</w:t>
      </w:r>
      <w:r w:rsidRPr="002651CF">
        <w:rPr>
          <w:rFonts w:ascii="Arial" w:hAnsi="Arial" w:cs="Arial"/>
          <w:color w:val="000000"/>
          <w:sz w:val="22"/>
          <w:szCs w:val="22"/>
        </w:rPr>
        <w:t>% survival rate for c</w:t>
      </w:r>
      <w:r w:rsidR="007B62F5" w:rsidRPr="002651CF">
        <w:rPr>
          <w:rFonts w:ascii="Arial" w:hAnsi="Arial" w:cs="Arial"/>
          <w:color w:val="000000"/>
          <w:sz w:val="22"/>
          <w:szCs w:val="22"/>
        </w:rPr>
        <w:t>ardiac arrest.</w:t>
      </w:r>
      <w:r w:rsidR="002651CF" w:rsidRPr="002651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51CF">
        <w:rPr>
          <w:rFonts w:ascii="Arial" w:hAnsi="Arial" w:cs="Arial"/>
          <w:color w:val="000000"/>
          <w:sz w:val="22"/>
          <w:szCs w:val="22"/>
        </w:rPr>
        <w:t xml:space="preserve">This is </w:t>
      </w:r>
      <w:r w:rsidR="00484E62" w:rsidRPr="002651CF">
        <w:rPr>
          <w:rFonts w:ascii="Arial" w:hAnsi="Arial" w:cs="Arial"/>
          <w:color w:val="000000"/>
          <w:sz w:val="22"/>
          <w:szCs w:val="22"/>
        </w:rPr>
        <w:t xml:space="preserve">currently among </w:t>
      </w:r>
      <w:r w:rsidRPr="002651CF">
        <w:rPr>
          <w:rFonts w:ascii="Arial" w:hAnsi="Arial" w:cs="Arial"/>
          <w:color w:val="000000"/>
          <w:sz w:val="22"/>
          <w:szCs w:val="22"/>
        </w:rPr>
        <w:t>the highest reported survival rate</w:t>
      </w:r>
      <w:r w:rsidR="00484E62" w:rsidRPr="002651CF">
        <w:rPr>
          <w:rFonts w:ascii="Arial" w:hAnsi="Arial" w:cs="Arial"/>
          <w:color w:val="000000"/>
          <w:sz w:val="22"/>
          <w:szCs w:val="22"/>
        </w:rPr>
        <w:t>s</w:t>
      </w:r>
      <w:r w:rsidRPr="002651CF">
        <w:rPr>
          <w:rFonts w:ascii="Arial" w:hAnsi="Arial" w:cs="Arial"/>
          <w:color w:val="000000"/>
          <w:sz w:val="22"/>
          <w:szCs w:val="22"/>
        </w:rPr>
        <w:t>.</w:t>
      </w:r>
    </w:p>
    <w:p w:rsidR="004C7887" w:rsidRPr="00823CF0" w:rsidRDefault="007055EF" w:rsidP="0091218E">
      <w:pPr>
        <w:keepNext/>
        <w:tabs>
          <w:tab w:val="left" w:pos="360"/>
        </w:tabs>
        <w:spacing w:before="240" w:after="240"/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aps/>
          <w:color w:val="000000"/>
          <w:sz w:val="22"/>
          <w:szCs w:val="22"/>
          <w:u w:val="single"/>
        </w:rPr>
        <w:t xml:space="preserve">CHANGED </w:t>
      </w:r>
      <w:r w:rsidR="006874B2">
        <w:rPr>
          <w:rFonts w:ascii="Arial" w:hAnsi="Arial" w:cs="Arial"/>
          <w:b/>
          <w:caps/>
          <w:color w:val="000000"/>
          <w:sz w:val="22"/>
          <w:szCs w:val="22"/>
          <w:u w:val="single"/>
        </w:rPr>
        <w:t>CONTRACT</w:t>
      </w:r>
      <w:r>
        <w:rPr>
          <w:rFonts w:ascii="Arial" w:hAnsi="Arial" w:cs="Arial"/>
          <w:b/>
          <w:caps/>
          <w:color w:val="000000"/>
          <w:sz w:val="22"/>
          <w:szCs w:val="22"/>
          <w:u w:val="single"/>
        </w:rPr>
        <w:t xml:space="preserve"> PROVISIONS</w:t>
      </w:r>
    </w:p>
    <w:p w:rsidR="0035501F" w:rsidRPr="00823CF0" w:rsidRDefault="0035501F" w:rsidP="0091218E">
      <w:pPr>
        <w:pStyle w:val="BodyText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23CF0">
        <w:rPr>
          <w:rFonts w:ascii="Arial" w:hAnsi="Arial" w:cs="Arial"/>
          <w:color w:val="000000"/>
          <w:sz w:val="22"/>
          <w:szCs w:val="22"/>
        </w:rPr>
        <w:t>The most notable changes in the proposed new CBA are described below.</w:t>
      </w:r>
    </w:p>
    <w:p w:rsidR="005C6FDB" w:rsidRDefault="007F63CA" w:rsidP="0091218E">
      <w:pPr>
        <w:pStyle w:val="BodyText"/>
        <w:numPr>
          <w:ilvl w:val="0"/>
          <w:numId w:val="32"/>
        </w:numPr>
        <w:spacing w:before="240"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Increase</w:t>
      </w:r>
      <w:r w:rsidR="002651CF">
        <w:rPr>
          <w:rFonts w:ascii="Arial" w:hAnsi="Arial" w:cs="Arial"/>
          <w:b/>
          <w:color w:val="000000"/>
          <w:sz w:val="22"/>
          <w:szCs w:val="22"/>
        </w:rPr>
        <w:t>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in wages, furloughs, and holidays</w:t>
      </w:r>
    </w:p>
    <w:p w:rsidR="005C6FDB" w:rsidRDefault="001C2E83" w:rsidP="0091218E">
      <w:pPr>
        <w:pStyle w:val="BodyText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Article 7 of t</w:t>
      </w:r>
      <w:r w:rsidR="00650170">
        <w:rPr>
          <w:rFonts w:ascii="Arial" w:hAnsi="Arial" w:cs="Arial"/>
          <w:color w:val="000000"/>
          <w:sz w:val="22"/>
          <w:szCs w:val="22"/>
        </w:rPr>
        <w:t xml:space="preserve">he </w:t>
      </w:r>
      <w:r w:rsidR="002651CF">
        <w:rPr>
          <w:rFonts w:ascii="Arial" w:hAnsi="Arial" w:cs="Arial"/>
          <w:color w:val="000000"/>
          <w:sz w:val="22"/>
          <w:szCs w:val="22"/>
        </w:rPr>
        <w:t xml:space="preserve">new CBA </w:t>
      </w:r>
      <w:r>
        <w:rPr>
          <w:rFonts w:ascii="Arial" w:hAnsi="Arial" w:cs="Arial"/>
          <w:color w:val="000000"/>
          <w:sz w:val="22"/>
          <w:szCs w:val="22"/>
        </w:rPr>
        <w:t xml:space="preserve">(Att. 1-A, pp. </w:t>
      </w:r>
      <w:r w:rsidR="00E07E95">
        <w:rPr>
          <w:rFonts w:ascii="Arial" w:hAnsi="Arial" w:cs="Arial"/>
          <w:color w:val="000000"/>
          <w:sz w:val="22"/>
          <w:szCs w:val="22"/>
        </w:rPr>
        <w:t>16-19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2651CF">
        <w:rPr>
          <w:rFonts w:ascii="Arial" w:hAnsi="Arial" w:cs="Arial"/>
          <w:color w:val="000000"/>
          <w:sz w:val="22"/>
          <w:szCs w:val="22"/>
        </w:rPr>
        <w:t>provides for wage increases of:</w:t>
      </w:r>
    </w:p>
    <w:p w:rsidR="002651CF" w:rsidRDefault="002651CF" w:rsidP="00454DB6">
      <w:pPr>
        <w:pStyle w:val="ListParagraph"/>
        <w:numPr>
          <w:ilvl w:val="1"/>
          <w:numId w:val="43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5.00% for 2015</w:t>
      </w:r>
      <w:r w:rsidR="0050320B">
        <w:rPr>
          <w:rFonts w:ascii="Arial" w:hAnsi="Arial" w:cs="Arial"/>
          <w:color w:val="000000"/>
          <w:sz w:val="22"/>
          <w:szCs w:val="22"/>
        </w:rPr>
        <w:t xml:space="preserve"> (effective January 1, 2015)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2651CF" w:rsidRDefault="00454DB6" w:rsidP="00454DB6">
      <w:pPr>
        <w:pStyle w:val="ListParagraph"/>
        <w:numPr>
          <w:ilvl w:val="1"/>
          <w:numId w:val="43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1.08% </w:t>
      </w:r>
      <w:r w:rsidR="002651CF">
        <w:rPr>
          <w:rFonts w:ascii="Arial" w:hAnsi="Arial" w:cs="Arial"/>
          <w:color w:val="000000"/>
          <w:sz w:val="22"/>
          <w:szCs w:val="22"/>
        </w:rPr>
        <w:t>for 2016</w:t>
      </w:r>
      <w:r>
        <w:rPr>
          <w:rFonts w:ascii="Arial" w:hAnsi="Arial" w:cs="Arial"/>
          <w:color w:val="000000"/>
          <w:sz w:val="22"/>
          <w:szCs w:val="22"/>
        </w:rPr>
        <w:t xml:space="preserve"> (the increase in the CPI-W for Seattle-Tacoma-Bremerton between June 2014 and June 2015); </w:t>
      </w:r>
      <w:r w:rsidR="002651CF">
        <w:rPr>
          <w:rFonts w:ascii="Arial" w:hAnsi="Arial" w:cs="Arial"/>
          <w:color w:val="000000"/>
          <w:sz w:val="22"/>
          <w:szCs w:val="22"/>
        </w:rPr>
        <w:t xml:space="preserve">and </w:t>
      </w:r>
    </w:p>
    <w:p w:rsidR="002651CF" w:rsidRDefault="00454DB6" w:rsidP="00454DB6">
      <w:pPr>
        <w:pStyle w:val="ListParagraph"/>
        <w:numPr>
          <w:ilvl w:val="1"/>
          <w:numId w:val="43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1.86</w:t>
      </w:r>
      <w:r w:rsidR="002651CF">
        <w:rPr>
          <w:rFonts w:ascii="Arial" w:hAnsi="Arial" w:cs="Arial"/>
          <w:color w:val="000000"/>
          <w:sz w:val="22"/>
          <w:szCs w:val="22"/>
        </w:rPr>
        <w:t>% for 2017</w:t>
      </w:r>
      <w:r>
        <w:rPr>
          <w:rFonts w:ascii="Arial" w:hAnsi="Arial" w:cs="Arial"/>
          <w:color w:val="000000"/>
          <w:sz w:val="22"/>
          <w:szCs w:val="22"/>
        </w:rPr>
        <w:t xml:space="preserve"> (the projected increase in the CPI-W between June 2015 and June 2016)</w:t>
      </w:r>
      <w:r w:rsidR="002651CF">
        <w:rPr>
          <w:rFonts w:ascii="Arial" w:hAnsi="Arial" w:cs="Arial"/>
          <w:color w:val="000000"/>
          <w:sz w:val="22"/>
          <w:szCs w:val="22"/>
        </w:rPr>
        <w:t>;</w:t>
      </w:r>
    </w:p>
    <w:p w:rsidR="006560E1" w:rsidRDefault="001C2E83" w:rsidP="0091218E">
      <w:pPr>
        <w:pStyle w:val="BodyText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Article 4 </w:t>
      </w:r>
      <w:r w:rsidR="00E07E95">
        <w:rPr>
          <w:rFonts w:ascii="Arial" w:hAnsi="Arial" w:cs="Arial"/>
          <w:color w:val="000000"/>
          <w:sz w:val="22"/>
          <w:szCs w:val="22"/>
        </w:rPr>
        <w:t xml:space="preserve">(Att. 1-A, pp. 5-10) </w:t>
      </w:r>
      <w:r>
        <w:rPr>
          <w:rFonts w:ascii="Arial" w:hAnsi="Arial" w:cs="Arial"/>
          <w:color w:val="000000"/>
          <w:sz w:val="22"/>
          <w:szCs w:val="22"/>
        </w:rPr>
        <w:t>provides for</w:t>
      </w:r>
      <w:r w:rsidR="006560E1">
        <w:rPr>
          <w:rFonts w:ascii="Arial" w:hAnsi="Arial" w:cs="Arial"/>
          <w:color w:val="000000"/>
          <w:sz w:val="22"/>
          <w:szCs w:val="22"/>
        </w:rPr>
        <w:t>:</w:t>
      </w:r>
    </w:p>
    <w:p w:rsidR="00FC51E6" w:rsidRPr="00FC51E6" w:rsidRDefault="001C2E83" w:rsidP="006560E1">
      <w:pPr>
        <w:pStyle w:val="BodyText"/>
        <w:numPr>
          <w:ilvl w:val="0"/>
          <w:numId w:val="44"/>
        </w:numPr>
        <w:spacing w:before="240" w:after="24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 additional 24</w:t>
      </w:r>
      <w:r w:rsidR="00FC51E6">
        <w:rPr>
          <w:rFonts w:ascii="Arial" w:hAnsi="Arial" w:cs="Arial"/>
          <w:color w:val="000000"/>
          <w:sz w:val="22"/>
          <w:szCs w:val="22"/>
        </w:rPr>
        <w:t xml:space="preserve"> to 48</w:t>
      </w:r>
      <w:r>
        <w:rPr>
          <w:rFonts w:ascii="Arial" w:hAnsi="Arial" w:cs="Arial"/>
          <w:color w:val="000000"/>
          <w:sz w:val="22"/>
          <w:szCs w:val="22"/>
        </w:rPr>
        <w:t xml:space="preserve"> paid furlough hours per year </w:t>
      </w:r>
      <w:r w:rsidR="006560E1">
        <w:rPr>
          <w:rFonts w:ascii="Arial" w:hAnsi="Arial" w:cs="Arial"/>
          <w:color w:val="000000"/>
          <w:sz w:val="22"/>
          <w:szCs w:val="22"/>
        </w:rPr>
        <w:t xml:space="preserve">for </w:t>
      </w:r>
      <w:r w:rsidR="00FC51E6">
        <w:rPr>
          <w:rFonts w:ascii="Arial" w:hAnsi="Arial" w:cs="Arial"/>
          <w:color w:val="000000"/>
          <w:sz w:val="22"/>
          <w:szCs w:val="22"/>
        </w:rPr>
        <w:t>paramedics assigned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1E6">
        <w:rPr>
          <w:rFonts w:ascii="Arial" w:hAnsi="Arial" w:cs="Arial"/>
          <w:color w:val="000000"/>
          <w:sz w:val="22"/>
          <w:szCs w:val="22"/>
        </w:rPr>
        <w:t>24-hour shifts</w:t>
      </w:r>
      <w:r w:rsidR="00FC51E6" w:rsidRPr="00FC51E6">
        <w:rPr>
          <w:rFonts w:ascii="Arial" w:hAnsi="Arial" w:cs="Arial"/>
          <w:color w:val="000000"/>
          <w:sz w:val="22"/>
          <w:szCs w:val="22"/>
        </w:rPr>
        <w:t>,</w:t>
      </w:r>
      <w:r w:rsidRPr="00FC51E6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3"/>
      </w:r>
      <w:r w:rsidR="00FC51E6" w:rsidRPr="00FC51E6">
        <w:rPr>
          <w:rFonts w:ascii="Arial" w:hAnsi="Arial" w:cs="Arial"/>
          <w:color w:val="000000"/>
          <w:sz w:val="22"/>
          <w:szCs w:val="22"/>
        </w:rPr>
        <w:t xml:space="preserve"> depending on the number of years of continuous service in the bargaining unit;</w:t>
      </w:r>
    </w:p>
    <w:p w:rsidR="002651CF" w:rsidRPr="00FC51E6" w:rsidRDefault="006560E1" w:rsidP="006560E1">
      <w:pPr>
        <w:pStyle w:val="BodyText"/>
        <w:numPr>
          <w:ilvl w:val="0"/>
          <w:numId w:val="44"/>
        </w:numPr>
        <w:spacing w:before="240" w:after="24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FC51E6">
        <w:rPr>
          <w:rFonts w:ascii="Arial" w:hAnsi="Arial" w:cs="Arial"/>
          <w:color w:val="000000"/>
          <w:sz w:val="22"/>
          <w:szCs w:val="22"/>
        </w:rPr>
        <w:lastRenderedPageBreak/>
        <w:t>a modifi</w:t>
      </w:r>
      <w:r w:rsidR="00FC51E6" w:rsidRPr="00FC51E6">
        <w:rPr>
          <w:rFonts w:ascii="Arial" w:hAnsi="Arial" w:cs="Arial"/>
          <w:color w:val="000000"/>
          <w:sz w:val="22"/>
          <w:szCs w:val="22"/>
        </w:rPr>
        <w:t xml:space="preserve">ed paid furlough day accrual for paramedics assigned to 40-hour work weeks, </w:t>
      </w:r>
      <w:r w:rsidRPr="00FC51E6">
        <w:rPr>
          <w:rFonts w:ascii="Arial" w:hAnsi="Arial" w:cs="Arial"/>
          <w:color w:val="000000"/>
          <w:sz w:val="22"/>
          <w:szCs w:val="22"/>
        </w:rPr>
        <w:t xml:space="preserve">ranging from a decrease of 2.5 days to an increase of 5 days, depending on </w:t>
      </w:r>
      <w:r w:rsidR="00552768" w:rsidRPr="00FC51E6">
        <w:rPr>
          <w:rFonts w:ascii="Arial" w:hAnsi="Arial" w:cs="Arial"/>
          <w:color w:val="000000"/>
          <w:sz w:val="22"/>
          <w:szCs w:val="22"/>
        </w:rPr>
        <w:t xml:space="preserve">the number of </w:t>
      </w:r>
      <w:r w:rsidRPr="00FC51E6">
        <w:rPr>
          <w:rFonts w:ascii="Arial" w:hAnsi="Arial" w:cs="Arial"/>
          <w:color w:val="000000"/>
          <w:sz w:val="22"/>
          <w:szCs w:val="22"/>
        </w:rPr>
        <w:t>years of continuous service in the bargaining unit;</w:t>
      </w:r>
      <w:r w:rsidR="00552768" w:rsidRPr="00FC51E6">
        <w:rPr>
          <w:rFonts w:ascii="Arial" w:hAnsi="Arial" w:cs="Arial"/>
          <w:color w:val="000000"/>
          <w:sz w:val="22"/>
          <w:szCs w:val="22"/>
        </w:rPr>
        <w:t xml:space="preserve"> and</w:t>
      </w:r>
    </w:p>
    <w:p w:rsidR="00552768" w:rsidRDefault="00552768" w:rsidP="00FC51E6">
      <w:pPr>
        <w:pStyle w:val="BodyText"/>
        <w:numPr>
          <w:ilvl w:val="0"/>
          <w:numId w:val="44"/>
        </w:numPr>
        <w:spacing w:before="240" w:after="24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three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additional holidays (Martin Luther King Jr’s Birthday, Veterans’ Day, and the Day after Thanksgiving), bringing the total to 10 plus two personal leave days</w:t>
      </w:r>
      <w:r w:rsidR="00E07E95">
        <w:rPr>
          <w:rFonts w:ascii="Arial" w:hAnsi="Arial" w:cs="Arial"/>
          <w:color w:val="000000"/>
          <w:sz w:val="22"/>
          <w:szCs w:val="22"/>
        </w:rPr>
        <w:t xml:space="preserve"> (like most county employees)</w:t>
      </w:r>
      <w:r>
        <w:rPr>
          <w:rFonts w:ascii="Arial" w:hAnsi="Arial" w:cs="Arial"/>
          <w:color w:val="000000"/>
          <w:sz w:val="22"/>
          <w:szCs w:val="22"/>
        </w:rPr>
        <w:t>, for those working 40-hour work weeks.</w:t>
      </w:r>
    </w:p>
    <w:p w:rsidR="006560E1" w:rsidRDefault="00552768" w:rsidP="00552768">
      <w:pPr>
        <w:pStyle w:val="BodyText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increased cost of the additional furloughs and holidays is equivalent to an additional wage increase of 1.78% in 2015, bringing the total increase </w:t>
      </w:r>
      <w:r w:rsidR="00D430CD">
        <w:rPr>
          <w:rFonts w:ascii="Arial" w:hAnsi="Arial" w:cs="Arial"/>
          <w:color w:val="000000"/>
          <w:sz w:val="22"/>
          <w:szCs w:val="22"/>
        </w:rPr>
        <w:t xml:space="preserve">in compensation </w:t>
      </w:r>
      <w:r>
        <w:rPr>
          <w:rFonts w:ascii="Arial" w:hAnsi="Arial" w:cs="Arial"/>
          <w:color w:val="000000"/>
          <w:sz w:val="22"/>
          <w:szCs w:val="22"/>
        </w:rPr>
        <w:t>for 2015 to 6.78%.</w:t>
      </w:r>
    </w:p>
    <w:p w:rsidR="00552768" w:rsidRDefault="00552768" w:rsidP="00552768">
      <w:pPr>
        <w:pStyle w:val="BodyText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FC51E6">
        <w:rPr>
          <w:rFonts w:ascii="Arial" w:hAnsi="Arial" w:cs="Arial"/>
          <w:color w:val="000000"/>
          <w:sz w:val="22"/>
          <w:szCs w:val="22"/>
        </w:rPr>
        <w:t>According to executive staff, the wage, furlough, and holiday increases are intended to bring the bargaining unit’s compensation</w:t>
      </w:r>
      <w:r w:rsidR="0050320B" w:rsidRPr="00FC51E6">
        <w:rPr>
          <w:rFonts w:ascii="Arial" w:hAnsi="Arial" w:cs="Arial"/>
          <w:color w:val="000000"/>
          <w:sz w:val="22"/>
          <w:szCs w:val="22"/>
        </w:rPr>
        <w:t xml:space="preserve"> into alignment with the applicable labor market. According to the parties’ </w:t>
      </w:r>
      <w:r w:rsidR="00645507">
        <w:rPr>
          <w:rFonts w:ascii="Arial" w:hAnsi="Arial" w:cs="Arial"/>
          <w:color w:val="000000"/>
          <w:sz w:val="22"/>
          <w:szCs w:val="22"/>
        </w:rPr>
        <w:t>joint market survey data</w:t>
      </w:r>
      <w:r w:rsidR="0050320B" w:rsidRPr="00FC51E6">
        <w:rPr>
          <w:rFonts w:ascii="Arial" w:hAnsi="Arial" w:cs="Arial"/>
          <w:color w:val="000000"/>
          <w:sz w:val="22"/>
          <w:szCs w:val="22"/>
        </w:rPr>
        <w:t xml:space="preserve"> (Att. 2), the proposed changes will leave the bargaining unit members at about </w:t>
      </w:r>
      <w:r w:rsidR="00FC51E6" w:rsidRPr="00FC51E6">
        <w:rPr>
          <w:rFonts w:ascii="Arial" w:hAnsi="Arial" w:cs="Arial"/>
          <w:color w:val="000000"/>
          <w:sz w:val="22"/>
          <w:szCs w:val="22"/>
        </w:rPr>
        <w:t>2.99</w:t>
      </w:r>
      <w:r w:rsidR="0050320B" w:rsidRPr="00FC51E6">
        <w:rPr>
          <w:rFonts w:ascii="Arial" w:hAnsi="Arial" w:cs="Arial"/>
          <w:color w:val="000000"/>
          <w:sz w:val="22"/>
          <w:szCs w:val="22"/>
        </w:rPr>
        <w:t xml:space="preserve">% over market as of January 1, 2015. According to executive staff, the market analysis does not include the additional holiday pay, the cost of which is about one-third </w:t>
      </w:r>
      <w:r w:rsidR="00D430CD">
        <w:rPr>
          <w:rFonts w:ascii="Arial" w:hAnsi="Arial" w:cs="Arial"/>
          <w:color w:val="000000"/>
          <w:sz w:val="22"/>
          <w:szCs w:val="22"/>
        </w:rPr>
        <w:t>the cost</w:t>
      </w:r>
      <w:r w:rsidR="0050320B" w:rsidRPr="00FC51E6">
        <w:rPr>
          <w:rFonts w:ascii="Arial" w:hAnsi="Arial" w:cs="Arial"/>
          <w:color w:val="000000"/>
          <w:sz w:val="22"/>
          <w:szCs w:val="22"/>
        </w:rPr>
        <w:t xml:space="preserve"> of the additional furlough pay.</w:t>
      </w:r>
    </w:p>
    <w:p w:rsidR="000F6BC4" w:rsidRDefault="000F6BC4" w:rsidP="000F6BC4">
      <w:pPr>
        <w:pStyle w:val="BodyText"/>
        <w:numPr>
          <w:ilvl w:val="0"/>
          <w:numId w:val="32"/>
        </w:numPr>
        <w:spacing w:before="240"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Pr="000F6BC4">
        <w:rPr>
          <w:rFonts w:ascii="Arial" w:hAnsi="Arial" w:cs="Arial"/>
          <w:b/>
          <w:color w:val="000000"/>
          <w:sz w:val="22"/>
          <w:szCs w:val="22"/>
        </w:rPr>
        <w:t>romotion to supervisory positions</w:t>
      </w:r>
    </w:p>
    <w:p w:rsidR="000F6BC4" w:rsidRPr="000F6BC4" w:rsidRDefault="000F6BC4" w:rsidP="000F6BC4">
      <w:pPr>
        <w:pStyle w:val="BodyText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Article 10 of the CBA (Att. 1-A, pp. </w:t>
      </w:r>
      <w:r w:rsidR="00E07E95">
        <w:rPr>
          <w:rFonts w:ascii="Arial" w:hAnsi="Arial" w:cs="Arial"/>
          <w:color w:val="000000"/>
          <w:sz w:val="22"/>
          <w:szCs w:val="22"/>
        </w:rPr>
        <w:t>26-31</w:t>
      </w:r>
      <w:r>
        <w:rPr>
          <w:rFonts w:ascii="Arial" w:hAnsi="Arial" w:cs="Arial"/>
          <w:color w:val="000000"/>
          <w:sz w:val="22"/>
          <w:szCs w:val="22"/>
        </w:rPr>
        <w:t>), which includes the procedures for promotion of bargaining unit members to supervisory positions, has been extensively revised.</w:t>
      </w:r>
    </w:p>
    <w:p w:rsidR="000F6BC4" w:rsidRDefault="000F6BC4" w:rsidP="000F6BC4">
      <w:pPr>
        <w:pStyle w:val="BodyText"/>
        <w:numPr>
          <w:ilvl w:val="0"/>
          <w:numId w:val="32"/>
        </w:numPr>
        <w:spacing w:before="240"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Support</w:t>
      </w:r>
      <w:r w:rsidRPr="000F6BC4">
        <w:rPr>
          <w:rFonts w:ascii="Arial" w:hAnsi="Arial" w:cs="Arial"/>
          <w:b/>
          <w:color w:val="000000"/>
          <w:sz w:val="22"/>
          <w:szCs w:val="22"/>
        </w:rPr>
        <w:t xml:space="preserve"> for Air Support Unit</w:t>
      </w:r>
    </w:p>
    <w:p w:rsidR="000F6BC4" w:rsidRPr="000F6BC4" w:rsidRDefault="000F6BC4" w:rsidP="000F6BC4">
      <w:pPr>
        <w:pStyle w:val="BodyText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New Article 24 (Att. 1-A, pp. </w:t>
      </w:r>
      <w:r w:rsidR="00E07E95">
        <w:rPr>
          <w:rFonts w:ascii="Arial" w:hAnsi="Arial" w:cs="Arial"/>
          <w:color w:val="000000"/>
          <w:sz w:val="22"/>
          <w:szCs w:val="22"/>
        </w:rPr>
        <w:t>41-43</w:t>
      </w:r>
      <w:r>
        <w:rPr>
          <w:rFonts w:ascii="Arial" w:hAnsi="Arial" w:cs="Arial"/>
          <w:color w:val="000000"/>
          <w:sz w:val="22"/>
          <w:szCs w:val="22"/>
        </w:rPr>
        <w:t xml:space="preserve">) establishes a program to provide paramedics on helicopters of the King County </w:t>
      </w:r>
      <w:r w:rsidR="002378E7">
        <w:rPr>
          <w:rFonts w:ascii="Arial" w:hAnsi="Arial" w:cs="Arial"/>
          <w:color w:val="000000"/>
          <w:sz w:val="22"/>
          <w:szCs w:val="22"/>
        </w:rPr>
        <w:t xml:space="preserve">Sheriff’s </w:t>
      </w:r>
      <w:r>
        <w:rPr>
          <w:rFonts w:ascii="Arial" w:hAnsi="Arial" w:cs="Arial"/>
          <w:color w:val="000000"/>
          <w:sz w:val="22"/>
          <w:szCs w:val="22"/>
        </w:rPr>
        <w:t>Air Support Unit.</w:t>
      </w:r>
    </w:p>
    <w:p w:rsidR="000F6BC4" w:rsidRDefault="000F6BC4" w:rsidP="000F6BC4">
      <w:pPr>
        <w:pStyle w:val="BodyText"/>
        <w:numPr>
          <w:ilvl w:val="0"/>
          <w:numId w:val="32"/>
        </w:numPr>
        <w:spacing w:before="240"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Ebola MOA</w:t>
      </w:r>
    </w:p>
    <w:p w:rsidR="000F6BC4" w:rsidRPr="000F6BC4" w:rsidRDefault="002378E7" w:rsidP="000F6BC4">
      <w:pPr>
        <w:pStyle w:val="BodyText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 attachment to the CBA </w:t>
      </w:r>
      <w:r w:rsidR="00645507">
        <w:rPr>
          <w:rFonts w:ascii="Arial" w:hAnsi="Arial" w:cs="Arial"/>
          <w:color w:val="000000"/>
          <w:sz w:val="22"/>
          <w:szCs w:val="22"/>
        </w:rPr>
        <w:t xml:space="preserve">(Att. 1-A) </w:t>
      </w:r>
      <w:r>
        <w:rPr>
          <w:rFonts w:ascii="Arial" w:hAnsi="Arial" w:cs="Arial"/>
          <w:color w:val="000000"/>
          <w:sz w:val="22"/>
          <w:szCs w:val="22"/>
        </w:rPr>
        <w:t>is a</w:t>
      </w:r>
      <w:r w:rsidR="000F6BC4" w:rsidRPr="000F6BC4">
        <w:rPr>
          <w:rFonts w:ascii="Arial" w:hAnsi="Arial" w:cs="Arial"/>
          <w:color w:val="000000"/>
          <w:sz w:val="22"/>
          <w:szCs w:val="22"/>
        </w:rPr>
        <w:t xml:space="preserve"> memorandum of agreement (MOA) </w:t>
      </w:r>
      <w:r>
        <w:rPr>
          <w:rFonts w:ascii="Arial" w:hAnsi="Arial" w:cs="Arial"/>
          <w:color w:val="000000"/>
          <w:sz w:val="22"/>
          <w:szCs w:val="22"/>
        </w:rPr>
        <w:t xml:space="preserve">addressing the possibility and consequences of an Ebola case being identified in King County, </w:t>
      </w:r>
      <w:r w:rsidR="000F6BC4" w:rsidRPr="000F6BC4">
        <w:rPr>
          <w:rFonts w:ascii="Arial" w:hAnsi="Arial" w:cs="Arial"/>
          <w:color w:val="000000"/>
          <w:sz w:val="22"/>
          <w:szCs w:val="22"/>
        </w:rPr>
        <w:t>“identifying and clarifying those impacts that may affect the hours, wages, and working conditions of IAFF 2595 bargaining unit members.”</w:t>
      </w:r>
    </w:p>
    <w:p w:rsidR="004C7887" w:rsidRPr="00EE45BC" w:rsidRDefault="004C7887" w:rsidP="004C7887">
      <w:pPr>
        <w:pStyle w:val="BodyText"/>
        <w:keepNext/>
        <w:spacing w:before="240"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E45BC">
        <w:rPr>
          <w:rFonts w:ascii="Arial" w:hAnsi="Arial" w:cs="Arial"/>
          <w:b/>
          <w:color w:val="000000"/>
          <w:sz w:val="22"/>
          <w:szCs w:val="22"/>
          <w:u w:val="single"/>
        </w:rPr>
        <w:t>FISCAL IMPACT</w:t>
      </w:r>
    </w:p>
    <w:p w:rsidR="005A69B6" w:rsidRPr="00EE45BC" w:rsidRDefault="0092749B" w:rsidP="00F11B97">
      <w:pPr>
        <w:pStyle w:val="BodyText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EE45BC">
        <w:rPr>
          <w:rFonts w:ascii="Arial" w:hAnsi="Arial" w:cs="Arial"/>
          <w:color w:val="000000"/>
          <w:sz w:val="22"/>
          <w:szCs w:val="22"/>
        </w:rPr>
        <w:t xml:space="preserve">The fiscal impact of the CBA is detailed in the Fiscal Note (Att. </w:t>
      </w:r>
      <w:r w:rsidR="00EE45BC" w:rsidRPr="00EE45BC">
        <w:rPr>
          <w:rFonts w:ascii="Arial" w:hAnsi="Arial" w:cs="Arial"/>
          <w:color w:val="000000"/>
          <w:sz w:val="22"/>
          <w:szCs w:val="22"/>
        </w:rPr>
        <w:t>5</w:t>
      </w:r>
      <w:r w:rsidRPr="00EE45BC">
        <w:rPr>
          <w:rFonts w:ascii="Arial" w:hAnsi="Arial" w:cs="Arial"/>
          <w:color w:val="000000"/>
          <w:sz w:val="22"/>
          <w:szCs w:val="22"/>
        </w:rPr>
        <w:t>) and is summarized in the table below.</w:t>
      </w:r>
    </w:p>
    <w:tbl>
      <w:tblPr>
        <w:tblW w:w="6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1398"/>
        <w:gridCol w:w="1398"/>
        <w:gridCol w:w="1398"/>
      </w:tblGrid>
      <w:tr w:rsidR="007F63CA" w:rsidRPr="00A3104E" w:rsidTr="00FA7515">
        <w:trPr>
          <w:jc w:val="center"/>
        </w:trPr>
        <w:tc>
          <w:tcPr>
            <w:tcW w:w="2155" w:type="dxa"/>
            <w:shd w:val="clear" w:color="auto" w:fill="D9D9D9"/>
            <w:vAlign w:val="center"/>
          </w:tcPr>
          <w:p w:rsidR="007F63CA" w:rsidRPr="00A3104E" w:rsidRDefault="007F63CA" w:rsidP="007A15CE">
            <w:pPr>
              <w:pStyle w:val="BodyText"/>
              <w:keepNext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D9D9D9"/>
          </w:tcPr>
          <w:p w:rsidR="007F63CA" w:rsidRPr="00A3104E" w:rsidRDefault="007F63CA" w:rsidP="007F63CA">
            <w:pPr>
              <w:pStyle w:val="BodyText"/>
              <w:keepNext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98" w:type="dxa"/>
            <w:shd w:val="clear" w:color="auto" w:fill="D9D9D9"/>
          </w:tcPr>
          <w:p w:rsidR="007F63CA" w:rsidRPr="00A3104E" w:rsidRDefault="007F63CA" w:rsidP="007F63CA">
            <w:pPr>
              <w:pStyle w:val="BodyText"/>
              <w:keepNext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104E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" w:type="dxa"/>
            <w:shd w:val="clear" w:color="auto" w:fill="D9D9D9"/>
            <w:vAlign w:val="center"/>
          </w:tcPr>
          <w:p w:rsidR="007F63CA" w:rsidRPr="00A3104E" w:rsidRDefault="007F63CA" w:rsidP="007F63CA">
            <w:pPr>
              <w:pStyle w:val="BodyText"/>
              <w:keepNext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104E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454DB6" w:rsidRPr="00D31489" w:rsidTr="00454DB6">
        <w:trPr>
          <w:jc w:val="center"/>
        </w:trPr>
        <w:tc>
          <w:tcPr>
            <w:tcW w:w="2155" w:type="dxa"/>
            <w:shd w:val="clear" w:color="auto" w:fill="D9D9D9"/>
            <w:vAlign w:val="center"/>
          </w:tcPr>
          <w:p w:rsidR="00454DB6" w:rsidRPr="00D31489" w:rsidRDefault="00454DB6" w:rsidP="007A15CE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89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Increase over previous year</w:t>
            </w:r>
          </w:p>
        </w:tc>
        <w:tc>
          <w:tcPr>
            <w:tcW w:w="1398" w:type="dxa"/>
            <w:vAlign w:val="center"/>
          </w:tcPr>
          <w:p w:rsidR="00454DB6" w:rsidRPr="00454DB6" w:rsidRDefault="00454DB6" w:rsidP="00454DB6">
            <w:pPr>
              <w:tabs>
                <w:tab w:val="right" w:pos="173"/>
                <w:tab w:val="right" w:pos="1196"/>
              </w:tabs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454DB6">
              <w:rPr>
                <w:rFonts w:ascii="Arial" w:eastAsia="Arial Unicode MS" w:hAnsi="Arial" w:cs="Arial"/>
                <w:color w:val="000000"/>
              </w:rPr>
              <w:t>$</w:t>
            </w:r>
            <w:r w:rsidRPr="00454DB6">
              <w:rPr>
                <w:rFonts w:ascii="Arial" w:eastAsia="Arial Unicode MS" w:hAnsi="Arial" w:cs="Arial"/>
                <w:color w:val="000000"/>
              </w:rPr>
              <w:tab/>
              <w:t>714,638</w:t>
            </w:r>
          </w:p>
        </w:tc>
        <w:tc>
          <w:tcPr>
            <w:tcW w:w="1398" w:type="dxa"/>
            <w:vAlign w:val="center"/>
          </w:tcPr>
          <w:p w:rsidR="00454DB6" w:rsidRPr="00454DB6" w:rsidRDefault="00454DB6" w:rsidP="00454DB6">
            <w:pPr>
              <w:tabs>
                <w:tab w:val="right" w:pos="274"/>
                <w:tab w:val="right" w:pos="1512"/>
              </w:tabs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454DB6">
              <w:rPr>
                <w:rFonts w:ascii="Arial" w:eastAsia="Arial Unicode MS" w:hAnsi="Arial" w:cs="Arial"/>
                <w:bCs/>
                <w:color w:val="000000"/>
              </w:rPr>
              <w:t>$121,634</w:t>
            </w:r>
          </w:p>
        </w:tc>
        <w:tc>
          <w:tcPr>
            <w:tcW w:w="1398" w:type="dxa"/>
            <w:vAlign w:val="center"/>
          </w:tcPr>
          <w:p w:rsidR="00454DB6" w:rsidRPr="00454DB6" w:rsidRDefault="00454DB6" w:rsidP="00454DB6">
            <w:pPr>
              <w:tabs>
                <w:tab w:val="right" w:pos="274"/>
                <w:tab w:val="right" w:pos="1512"/>
              </w:tabs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454DB6">
              <w:rPr>
                <w:rFonts w:ascii="Arial" w:eastAsia="Arial Unicode MS" w:hAnsi="Arial" w:cs="Arial"/>
                <w:bCs/>
                <w:color w:val="000000"/>
              </w:rPr>
              <w:t>$211,743</w:t>
            </w:r>
          </w:p>
        </w:tc>
      </w:tr>
      <w:tr w:rsidR="00454DB6" w:rsidRPr="00D31489" w:rsidTr="00454DB6">
        <w:trPr>
          <w:jc w:val="center"/>
        </w:trPr>
        <w:tc>
          <w:tcPr>
            <w:tcW w:w="2155" w:type="dxa"/>
            <w:shd w:val="clear" w:color="auto" w:fill="D9D9D9"/>
            <w:vAlign w:val="center"/>
          </w:tcPr>
          <w:p w:rsidR="00454DB6" w:rsidRPr="00D31489" w:rsidRDefault="00454DB6" w:rsidP="007F63CA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89">
              <w:rPr>
                <w:rFonts w:ascii="Arial" w:hAnsi="Arial" w:cs="Arial"/>
                <w:b/>
                <w:color w:val="000000"/>
                <w:sz w:val="22"/>
                <w:szCs w:val="22"/>
              </w:rPr>
              <w:t>Cumulative increase over 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454DB6" w:rsidRPr="00454DB6" w:rsidRDefault="00454DB6" w:rsidP="00454DB6">
            <w:pPr>
              <w:tabs>
                <w:tab w:val="right" w:pos="173"/>
                <w:tab w:val="right" w:pos="1196"/>
              </w:tabs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398" w:type="dxa"/>
            <w:vAlign w:val="center"/>
          </w:tcPr>
          <w:p w:rsidR="00454DB6" w:rsidRPr="00454DB6" w:rsidRDefault="00454DB6" w:rsidP="00454DB6">
            <w:pPr>
              <w:tabs>
                <w:tab w:val="right" w:pos="274"/>
                <w:tab w:val="right" w:pos="1512"/>
              </w:tabs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454DB6">
              <w:rPr>
                <w:rFonts w:ascii="Arial" w:eastAsia="Arial Unicode MS" w:hAnsi="Arial" w:cs="Arial"/>
                <w:bCs/>
                <w:color w:val="000000"/>
              </w:rPr>
              <w:t>$836,272</w:t>
            </w:r>
          </w:p>
        </w:tc>
        <w:tc>
          <w:tcPr>
            <w:tcW w:w="1398" w:type="dxa"/>
            <w:vAlign w:val="center"/>
          </w:tcPr>
          <w:p w:rsidR="00454DB6" w:rsidRPr="00454DB6" w:rsidRDefault="00454DB6" w:rsidP="00454DB6">
            <w:pPr>
              <w:tabs>
                <w:tab w:val="right" w:pos="274"/>
                <w:tab w:val="right" w:pos="1512"/>
              </w:tabs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454DB6">
              <w:rPr>
                <w:rFonts w:ascii="Arial" w:eastAsia="Arial Unicode MS" w:hAnsi="Arial" w:cs="Arial"/>
                <w:bCs/>
                <w:color w:val="000000"/>
              </w:rPr>
              <w:t>$1,048,015</w:t>
            </w:r>
          </w:p>
        </w:tc>
      </w:tr>
    </w:tbl>
    <w:p w:rsidR="000F6BC4" w:rsidRPr="00B64F38" w:rsidRDefault="002378E7" w:rsidP="00454DB6">
      <w:pPr>
        <w:pStyle w:val="BodyText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The $714,638 amount for 2015 includes $127,195 for additional furlough days and $38,689 for additional holidays.</w:t>
      </w:r>
    </w:p>
    <w:p w:rsidR="00CD2047" w:rsidRPr="00823CF0" w:rsidRDefault="00823CF0" w:rsidP="003A762B">
      <w:pPr>
        <w:pStyle w:val="BodyText"/>
        <w:keepNext/>
        <w:spacing w:before="240"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3CF0">
        <w:rPr>
          <w:rFonts w:ascii="Arial" w:hAnsi="Arial" w:cs="Arial"/>
          <w:b/>
          <w:color w:val="000000"/>
          <w:sz w:val="22"/>
          <w:szCs w:val="22"/>
          <w:u w:val="single"/>
        </w:rPr>
        <w:t>INVITED</w:t>
      </w:r>
    </w:p>
    <w:p w:rsidR="00823CF0" w:rsidRDefault="007F63CA" w:rsidP="003A762B">
      <w:pPr>
        <w:pStyle w:val="ListParagraph"/>
        <w:keepNext/>
        <w:numPr>
          <w:ilvl w:val="0"/>
          <w:numId w:val="35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 Chevalier</w:t>
      </w:r>
      <w:r w:rsidR="00823CF0" w:rsidRPr="00B05C59">
        <w:rPr>
          <w:rFonts w:ascii="Arial" w:hAnsi="Arial" w:cs="Arial"/>
          <w:sz w:val="22"/>
          <w:szCs w:val="22"/>
        </w:rPr>
        <w:t xml:space="preserve">, Labor Negotiator, </w:t>
      </w:r>
      <w:r w:rsidR="007C6BB5">
        <w:rPr>
          <w:rFonts w:ascii="Arial" w:hAnsi="Arial" w:cs="Arial"/>
          <w:sz w:val="22"/>
          <w:szCs w:val="22"/>
        </w:rPr>
        <w:t xml:space="preserve">King County </w:t>
      </w:r>
      <w:r w:rsidR="00823CF0" w:rsidRPr="00B05C59">
        <w:rPr>
          <w:rFonts w:ascii="Arial" w:hAnsi="Arial" w:cs="Arial"/>
          <w:sz w:val="22"/>
          <w:szCs w:val="22"/>
        </w:rPr>
        <w:t>Office of Labor Relations</w:t>
      </w:r>
    </w:p>
    <w:p w:rsidR="007F63CA" w:rsidRPr="007F63CA" w:rsidRDefault="007F63CA" w:rsidP="007F63CA">
      <w:pPr>
        <w:pStyle w:val="ListParagraph"/>
        <w:keepNext/>
        <w:numPr>
          <w:ilvl w:val="0"/>
          <w:numId w:val="35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Johnson, Labor Negotiator, King County Office of Labor Relations</w:t>
      </w:r>
    </w:p>
    <w:p w:rsidR="00645507" w:rsidRDefault="00645507" w:rsidP="00645507">
      <w:pPr>
        <w:pStyle w:val="ListParagraph"/>
        <w:keepNext/>
        <w:numPr>
          <w:ilvl w:val="0"/>
          <w:numId w:val="35"/>
        </w:numPr>
        <w:tabs>
          <w:tab w:val="left" w:pos="720"/>
        </w:tabs>
        <w:snapToGrid w:val="0"/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Ian Coleman, Employee Labor Relations Representative, Department of Public Health</w:t>
      </w:r>
    </w:p>
    <w:p w:rsidR="007C6BB5" w:rsidRDefault="00F6685E" w:rsidP="007C6BB5">
      <w:pPr>
        <w:pStyle w:val="ListParagraph"/>
        <w:numPr>
          <w:ilvl w:val="0"/>
          <w:numId w:val="35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Perry</w:t>
      </w:r>
      <w:r w:rsidR="007C6BB5" w:rsidRPr="007C6BB5">
        <w:rPr>
          <w:rFonts w:ascii="Arial" w:hAnsi="Arial" w:cs="Arial"/>
          <w:sz w:val="22"/>
          <w:szCs w:val="22"/>
        </w:rPr>
        <w:t>, President, International Association of Fire Fighters, Local 2595</w:t>
      </w:r>
    </w:p>
    <w:p w:rsidR="007F63CA" w:rsidRDefault="007F63CA" w:rsidP="007C6BB5">
      <w:pPr>
        <w:pStyle w:val="ListParagraph"/>
        <w:numPr>
          <w:ilvl w:val="0"/>
          <w:numId w:val="35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James Fogarty, Director, </w:t>
      </w:r>
      <w:r w:rsidR="00FA7515">
        <w:rPr>
          <w:rFonts w:ascii="Arial" w:hAnsi="Arial" w:cs="Arial"/>
          <w:sz w:val="22"/>
          <w:szCs w:val="22"/>
        </w:rPr>
        <w:t>Emergency Medical Services Division, Department of Public Health</w:t>
      </w:r>
    </w:p>
    <w:p w:rsidR="004C7887" w:rsidRPr="00823CF0" w:rsidRDefault="004C7887" w:rsidP="004C7887">
      <w:pPr>
        <w:pStyle w:val="BodyText"/>
        <w:keepNext/>
        <w:tabs>
          <w:tab w:val="right" w:pos="9180"/>
        </w:tabs>
        <w:spacing w:before="240" w:after="0"/>
        <w:rPr>
          <w:rFonts w:ascii="Arial" w:hAnsi="Arial" w:cs="Arial"/>
          <w:b/>
          <w:color w:val="000000"/>
          <w:sz w:val="22"/>
          <w:szCs w:val="22"/>
        </w:rPr>
      </w:pPr>
      <w:r w:rsidRPr="00823CF0">
        <w:rPr>
          <w:rFonts w:ascii="Arial" w:hAnsi="Arial" w:cs="Arial"/>
          <w:b/>
          <w:color w:val="000000"/>
          <w:sz w:val="22"/>
          <w:szCs w:val="22"/>
          <w:u w:val="single"/>
        </w:rPr>
        <w:t>ATTACHMENTS</w:t>
      </w:r>
    </w:p>
    <w:p w:rsidR="004C7887" w:rsidRPr="00823CF0" w:rsidRDefault="004C7887" w:rsidP="00645507">
      <w:pPr>
        <w:pStyle w:val="BodyText"/>
        <w:keepNext/>
        <w:numPr>
          <w:ilvl w:val="0"/>
          <w:numId w:val="4"/>
        </w:numPr>
        <w:tabs>
          <w:tab w:val="right" w:leader="dot" w:pos="9090"/>
        </w:tabs>
        <w:spacing w:before="240" w:after="0"/>
        <w:ind w:right="1242"/>
        <w:rPr>
          <w:rFonts w:ascii="Arial" w:hAnsi="Arial" w:cs="Arial"/>
          <w:color w:val="000000"/>
          <w:sz w:val="22"/>
          <w:szCs w:val="22"/>
        </w:rPr>
      </w:pPr>
      <w:r w:rsidRPr="00823CF0">
        <w:rPr>
          <w:rFonts w:ascii="Arial" w:hAnsi="Arial" w:cs="Arial"/>
          <w:color w:val="000000"/>
          <w:sz w:val="22"/>
          <w:szCs w:val="22"/>
        </w:rPr>
        <w:t xml:space="preserve">Proposed Ordinance </w:t>
      </w:r>
      <w:r w:rsidR="0006233A" w:rsidRPr="00823CF0">
        <w:rPr>
          <w:rFonts w:ascii="Arial" w:hAnsi="Arial" w:cs="Arial"/>
          <w:color w:val="000000"/>
          <w:sz w:val="22"/>
          <w:szCs w:val="22"/>
        </w:rPr>
        <w:t>201</w:t>
      </w:r>
      <w:r w:rsidR="00FA7515">
        <w:rPr>
          <w:rFonts w:ascii="Arial" w:hAnsi="Arial" w:cs="Arial"/>
          <w:color w:val="000000"/>
          <w:sz w:val="22"/>
          <w:szCs w:val="22"/>
        </w:rPr>
        <w:t>5-0309</w:t>
      </w:r>
    </w:p>
    <w:p w:rsidR="004C7887" w:rsidRDefault="004C7887" w:rsidP="00645507">
      <w:pPr>
        <w:pStyle w:val="BodyText"/>
        <w:keepNext/>
        <w:tabs>
          <w:tab w:val="right" w:leader="dot" w:pos="9090"/>
        </w:tabs>
        <w:spacing w:after="0"/>
        <w:ind w:left="1080" w:right="1242"/>
        <w:rPr>
          <w:rFonts w:ascii="Arial" w:hAnsi="Arial" w:cs="Arial"/>
          <w:color w:val="000000"/>
          <w:sz w:val="22"/>
          <w:szCs w:val="22"/>
        </w:rPr>
      </w:pPr>
      <w:proofErr w:type="gramStart"/>
      <w:r w:rsidRPr="00823CF0">
        <w:rPr>
          <w:rFonts w:ascii="Arial" w:hAnsi="Arial" w:cs="Arial"/>
          <w:color w:val="000000"/>
          <w:sz w:val="22"/>
          <w:szCs w:val="22"/>
        </w:rPr>
        <w:t>Att.</w:t>
      </w:r>
      <w:proofErr w:type="gramEnd"/>
      <w:r w:rsidRPr="00823CF0">
        <w:rPr>
          <w:rFonts w:ascii="Arial" w:hAnsi="Arial" w:cs="Arial"/>
          <w:color w:val="000000"/>
          <w:sz w:val="22"/>
          <w:szCs w:val="22"/>
        </w:rPr>
        <w:t xml:space="preserve"> A (C</w:t>
      </w:r>
      <w:r w:rsidR="00CD2047" w:rsidRPr="00823CF0">
        <w:rPr>
          <w:rFonts w:ascii="Arial" w:hAnsi="Arial" w:cs="Arial"/>
          <w:color w:val="000000"/>
          <w:sz w:val="22"/>
          <w:szCs w:val="22"/>
        </w:rPr>
        <w:t>ollective Bargaining Agreement)</w:t>
      </w:r>
    </w:p>
    <w:p w:rsidR="002651CF" w:rsidRDefault="002651CF" w:rsidP="00645507">
      <w:pPr>
        <w:pStyle w:val="BodyText"/>
        <w:keepNext/>
        <w:numPr>
          <w:ilvl w:val="0"/>
          <w:numId w:val="4"/>
        </w:numPr>
        <w:tabs>
          <w:tab w:val="left" w:pos="360"/>
          <w:tab w:val="left" w:pos="1080"/>
          <w:tab w:val="left" w:pos="1440"/>
          <w:tab w:val="right" w:leader="dot" w:pos="9090"/>
        </w:tabs>
        <w:spacing w:after="0"/>
        <w:ind w:right="12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Parties’ </w:t>
      </w:r>
      <w:r w:rsidR="00645507">
        <w:rPr>
          <w:rFonts w:ascii="Arial" w:hAnsi="Arial" w:cs="Arial"/>
          <w:color w:val="000000"/>
          <w:sz w:val="22"/>
          <w:szCs w:val="22"/>
        </w:rPr>
        <w:t>joint</w:t>
      </w:r>
      <w:r>
        <w:rPr>
          <w:rFonts w:ascii="Arial" w:hAnsi="Arial" w:cs="Arial"/>
          <w:color w:val="000000"/>
          <w:sz w:val="22"/>
          <w:szCs w:val="22"/>
        </w:rPr>
        <w:t xml:space="preserve"> market</w:t>
      </w:r>
      <w:r w:rsidR="00645507">
        <w:rPr>
          <w:rFonts w:ascii="Arial" w:hAnsi="Arial" w:cs="Arial"/>
          <w:color w:val="000000"/>
          <w:sz w:val="22"/>
          <w:szCs w:val="22"/>
        </w:rPr>
        <w:t xml:space="preserve"> survey data (prepared by executive staff)</w:t>
      </w:r>
    </w:p>
    <w:p w:rsidR="004C7887" w:rsidRPr="00823CF0" w:rsidRDefault="004C7887" w:rsidP="00645507">
      <w:pPr>
        <w:pStyle w:val="BodyText"/>
        <w:keepNext/>
        <w:numPr>
          <w:ilvl w:val="0"/>
          <w:numId w:val="4"/>
        </w:numPr>
        <w:tabs>
          <w:tab w:val="left" w:pos="360"/>
          <w:tab w:val="left" w:pos="1080"/>
          <w:tab w:val="left" w:pos="1440"/>
          <w:tab w:val="right" w:leader="dot" w:pos="9090"/>
        </w:tabs>
        <w:spacing w:after="0"/>
        <w:ind w:right="1242"/>
        <w:rPr>
          <w:rFonts w:ascii="Arial" w:hAnsi="Arial" w:cs="Arial"/>
          <w:color w:val="000000"/>
          <w:sz w:val="22"/>
          <w:szCs w:val="22"/>
        </w:rPr>
      </w:pPr>
      <w:r w:rsidRPr="00823CF0">
        <w:rPr>
          <w:rFonts w:ascii="Arial" w:hAnsi="Arial" w:cs="Arial"/>
          <w:color w:val="000000"/>
          <w:sz w:val="22"/>
          <w:szCs w:val="22"/>
        </w:rPr>
        <w:t>C</w:t>
      </w:r>
      <w:r w:rsidR="00CD2047" w:rsidRPr="00823CF0">
        <w:rPr>
          <w:rFonts w:ascii="Arial" w:hAnsi="Arial" w:cs="Arial"/>
          <w:color w:val="000000"/>
          <w:sz w:val="22"/>
          <w:szCs w:val="22"/>
        </w:rPr>
        <w:t>hecklist and Summary of Changes</w:t>
      </w:r>
      <w:r w:rsidR="00645507">
        <w:rPr>
          <w:rFonts w:ascii="Arial" w:hAnsi="Arial" w:cs="Arial"/>
          <w:color w:val="000000"/>
          <w:sz w:val="22"/>
          <w:szCs w:val="22"/>
        </w:rPr>
        <w:t xml:space="preserve"> (prepared by executive staff)</w:t>
      </w:r>
    </w:p>
    <w:p w:rsidR="004C7887" w:rsidRDefault="00CD2047" w:rsidP="00645507">
      <w:pPr>
        <w:pStyle w:val="BodyText"/>
        <w:keepNext/>
        <w:numPr>
          <w:ilvl w:val="0"/>
          <w:numId w:val="4"/>
        </w:numPr>
        <w:tabs>
          <w:tab w:val="left" w:pos="360"/>
          <w:tab w:val="left" w:pos="1080"/>
          <w:tab w:val="left" w:pos="1440"/>
          <w:tab w:val="right" w:leader="dot" w:pos="9090"/>
        </w:tabs>
        <w:spacing w:after="0"/>
        <w:ind w:right="1242"/>
        <w:rPr>
          <w:rFonts w:ascii="Arial" w:hAnsi="Arial" w:cs="Arial"/>
          <w:color w:val="000000"/>
          <w:sz w:val="22"/>
          <w:szCs w:val="22"/>
        </w:rPr>
      </w:pPr>
      <w:r w:rsidRPr="00823CF0">
        <w:rPr>
          <w:rFonts w:ascii="Arial" w:hAnsi="Arial" w:cs="Arial"/>
          <w:color w:val="000000"/>
          <w:sz w:val="22"/>
          <w:szCs w:val="22"/>
        </w:rPr>
        <w:t>Transmittal letter</w:t>
      </w:r>
    </w:p>
    <w:p w:rsidR="007A0C3D" w:rsidRPr="00823CF0" w:rsidRDefault="004C7887" w:rsidP="00645507">
      <w:pPr>
        <w:pStyle w:val="BodyText"/>
        <w:numPr>
          <w:ilvl w:val="0"/>
          <w:numId w:val="4"/>
        </w:numPr>
        <w:tabs>
          <w:tab w:val="left" w:pos="360"/>
          <w:tab w:val="left" w:pos="1080"/>
          <w:tab w:val="left" w:pos="1440"/>
          <w:tab w:val="right" w:leader="dot" w:pos="9090"/>
        </w:tabs>
        <w:spacing w:after="0"/>
        <w:ind w:right="1242"/>
        <w:jc w:val="both"/>
        <w:rPr>
          <w:rFonts w:ascii="Arial" w:hAnsi="Arial" w:cs="Arial"/>
          <w:sz w:val="22"/>
          <w:szCs w:val="22"/>
        </w:rPr>
      </w:pPr>
      <w:r w:rsidRPr="00823CF0">
        <w:rPr>
          <w:rFonts w:ascii="Arial" w:hAnsi="Arial" w:cs="Arial"/>
          <w:color w:val="000000"/>
          <w:sz w:val="22"/>
          <w:szCs w:val="22"/>
        </w:rPr>
        <w:t>Fiscal Note</w:t>
      </w:r>
    </w:p>
    <w:sectPr w:rsidR="007A0C3D" w:rsidRPr="00823CF0" w:rsidSect="00516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84" w:bottom="126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AE" w:rsidRDefault="00CE04AE">
      <w:r>
        <w:separator/>
      </w:r>
    </w:p>
  </w:endnote>
  <w:endnote w:type="continuationSeparator" w:id="0">
    <w:p w:rsidR="00CE04AE" w:rsidRDefault="00CE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FD" w:rsidRDefault="00412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FD" w:rsidRDefault="00412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79" w:rsidRDefault="00217D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AE" w:rsidRDefault="00CE04AE">
      <w:r>
        <w:separator/>
      </w:r>
    </w:p>
  </w:footnote>
  <w:footnote w:type="continuationSeparator" w:id="0">
    <w:p w:rsidR="00CE04AE" w:rsidRDefault="00CE04AE">
      <w:r>
        <w:continuationSeparator/>
      </w:r>
    </w:p>
  </w:footnote>
  <w:footnote w:id="1">
    <w:p w:rsidR="00D308D6" w:rsidRPr="00D95C43" w:rsidRDefault="00D308D6" w:rsidP="00D308D6">
      <w:pPr>
        <w:pStyle w:val="FootnoteText"/>
        <w:rPr>
          <w:rFonts w:ascii="Arial" w:hAnsi="Arial" w:cs="Arial"/>
        </w:rPr>
      </w:pPr>
      <w:r w:rsidRPr="00D95C43">
        <w:rPr>
          <w:rStyle w:val="FootnoteReference"/>
          <w:rFonts w:ascii="Arial" w:hAnsi="Arial" w:cs="Arial"/>
        </w:rPr>
        <w:footnoteRef/>
      </w:r>
      <w:r w:rsidRPr="00D95C43">
        <w:rPr>
          <w:rFonts w:ascii="Arial" w:hAnsi="Arial" w:cs="Arial"/>
        </w:rPr>
        <w:t xml:space="preserve"> Page references in this staff report refer to the page number of the specific attachment, not to the page number of the meeting materials.</w:t>
      </w:r>
    </w:p>
  </w:footnote>
  <w:footnote w:id="2">
    <w:p w:rsidR="002651CF" w:rsidRPr="002651CF" w:rsidRDefault="002651CF">
      <w:pPr>
        <w:pStyle w:val="FootnoteText"/>
        <w:rPr>
          <w:rFonts w:ascii="Arial" w:hAnsi="Arial" w:cs="Arial"/>
        </w:rPr>
      </w:pPr>
      <w:r w:rsidRPr="002651CF">
        <w:rPr>
          <w:rStyle w:val="FootnoteReference"/>
          <w:rFonts w:ascii="Arial" w:hAnsi="Arial" w:cs="Arial"/>
        </w:rPr>
        <w:footnoteRef/>
      </w:r>
      <w:r w:rsidRPr="00265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information is on page 3 of the report, which is available online at: </w:t>
      </w:r>
      <w:r w:rsidRPr="002651CF">
        <w:rPr>
          <w:rFonts w:ascii="Arial" w:hAnsi="Arial" w:cs="Arial"/>
        </w:rPr>
        <w:t>http://1.usa.gov/1NYj5dk</w:t>
      </w:r>
      <w:r>
        <w:rPr>
          <w:rFonts w:ascii="Arial" w:hAnsi="Arial" w:cs="Arial"/>
        </w:rPr>
        <w:t>.</w:t>
      </w:r>
    </w:p>
  </w:footnote>
  <w:footnote w:id="3">
    <w:p w:rsidR="001C2E83" w:rsidRPr="001C2E83" w:rsidRDefault="001C2E83" w:rsidP="001C2E83">
      <w:pPr>
        <w:pStyle w:val="FootnoteText"/>
        <w:rPr>
          <w:rFonts w:ascii="Arial" w:hAnsi="Arial" w:cs="Arial"/>
        </w:rPr>
      </w:pPr>
      <w:r w:rsidRPr="001C2E83">
        <w:rPr>
          <w:rStyle w:val="FootnoteReference"/>
          <w:rFonts w:ascii="Arial" w:hAnsi="Arial" w:cs="Arial"/>
        </w:rPr>
        <w:footnoteRef/>
      </w:r>
      <w:r w:rsidRPr="001C2E83">
        <w:rPr>
          <w:rFonts w:ascii="Arial" w:hAnsi="Arial" w:cs="Arial"/>
        </w:rPr>
        <w:t xml:space="preserve"> </w:t>
      </w:r>
      <w:r w:rsidR="00B61D7D" w:rsidRPr="00B61D7D">
        <w:rPr>
          <w:rFonts w:ascii="Arial" w:hAnsi="Arial" w:cs="Arial"/>
        </w:rPr>
        <w:t xml:space="preserve">Because of their unusual work schedules (two 24-hour shifts every eight days for most employees), the members of this bargaining unit </w:t>
      </w:r>
      <w:r w:rsidR="00B61D7D">
        <w:rPr>
          <w:rFonts w:ascii="Arial" w:hAnsi="Arial" w:cs="Arial"/>
        </w:rPr>
        <w:t xml:space="preserve">who work 24-hour shifts </w:t>
      </w:r>
      <w:r w:rsidR="00B61D7D" w:rsidRPr="00B61D7D">
        <w:rPr>
          <w:rFonts w:ascii="Arial" w:hAnsi="Arial" w:cs="Arial"/>
        </w:rPr>
        <w:t>receive “furlough days” instea</w:t>
      </w:r>
      <w:r w:rsidR="000F6BC4">
        <w:rPr>
          <w:rFonts w:ascii="Arial" w:hAnsi="Arial" w:cs="Arial"/>
        </w:rPr>
        <w:t>d of vacation days and holidays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FD" w:rsidRDefault="00412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FD" w:rsidRDefault="00412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79" w:rsidRDefault="00676D30">
    <w:pPr>
      <w:jc w:val="center"/>
      <w:rPr>
        <w:rFonts w:ascii="Verdana" w:hAnsi="Verdana"/>
        <w:b/>
        <w:sz w:val="28"/>
        <w:szCs w:val="30"/>
      </w:rPr>
    </w:pPr>
    <w:r>
      <w:rPr>
        <w:rFonts w:ascii="Arial" w:hAnsi="Arial"/>
        <w:noProof/>
        <w:sz w:val="22"/>
        <w:szCs w:val="22"/>
        <w:lang w:eastAsia="en-US"/>
      </w:rPr>
      <w:drawing>
        <wp:inline distT="0" distB="0" distL="0" distR="0" wp14:anchorId="76CF7F8C" wp14:editId="115D0CFB">
          <wp:extent cx="1115695" cy="779780"/>
          <wp:effectExtent l="0" t="0" r="825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17D79" w:rsidRPr="00BC457B" w:rsidRDefault="00217D79">
    <w:pPr>
      <w:spacing w:before="60"/>
      <w:jc w:val="center"/>
      <w:rPr>
        <w:rFonts w:ascii="Verdana" w:hAnsi="Verdana"/>
        <w:b/>
        <w:sz w:val="26"/>
        <w:szCs w:val="30"/>
      </w:rPr>
    </w:pPr>
    <w:r w:rsidRPr="00BC457B">
      <w:rPr>
        <w:rFonts w:ascii="Verdana" w:hAnsi="Verdana"/>
        <w:b/>
        <w:sz w:val="26"/>
        <w:szCs w:val="30"/>
      </w:rPr>
      <w:t>Metropolitan King County Council</w:t>
    </w:r>
  </w:p>
  <w:p w:rsidR="00217D79" w:rsidRPr="00795DDF" w:rsidRDefault="0038130A">
    <w:pPr>
      <w:jc w:val="center"/>
      <w:rPr>
        <w:rFonts w:ascii="Verdana" w:hAnsi="Verdana"/>
        <w:b/>
        <w:szCs w:val="30"/>
      </w:rPr>
    </w:pPr>
    <w:r>
      <w:rPr>
        <w:rFonts w:ascii="Verdana" w:hAnsi="Verdana"/>
        <w:b/>
        <w:szCs w:val="30"/>
      </w:rPr>
      <w:t xml:space="preserve">Health, </w:t>
    </w:r>
    <w:r w:rsidR="00BB2E00">
      <w:rPr>
        <w:rFonts w:ascii="Verdana" w:hAnsi="Verdana"/>
        <w:b/>
        <w:szCs w:val="30"/>
      </w:rPr>
      <w:t xml:space="preserve">Housing, </w:t>
    </w:r>
    <w:r>
      <w:rPr>
        <w:rFonts w:ascii="Verdana" w:hAnsi="Verdana"/>
        <w:b/>
        <w:szCs w:val="30"/>
      </w:rPr>
      <w:t>and Human Services Committee</w:t>
    </w:r>
  </w:p>
  <w:p w:rsidR="00217D79" w:rsidRPr="0038130A" w:rsidRDefault="00217D79">
    <w:pPr>
      <w:spacing w:before="240"/>
      <w:jc w:val="center"/>
      <w:rPr>
        <w:rFonts w:ascii="Arial" w:hAnsi="Arial" w:cs="Arial"/>
        <w:b/>
        <w:sz w:val="22"/>
        <w:szCs w:val="30"/>
      </w:rPr>
    </w:pPr>
    <w:r w:rsidRPr="0038130A">
      <w:rPr>
        <w:rFonts w:ascii="Arial" w:hAnsi="Arial" w:cs="Arial"/>
        <w:b/>
        <w:sz w:val="22"/>
        <w:szCs w:val="30"/>
      </w:rPr>
      <w:t>STAFF REPORT</w:t>
    </w:r>
  </w:p>
  <w:p w:rsidR="00217D79" w:rsidRDefault="00217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D9"/>
    <w:multiLevelType w:val="multilevel"/>
    <w:tmpl w:val="79567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43D8D"/>
    <w:multiLevelType w:val="hybridMultilevel"/>
    <w:tmpl w:val="1A7EB01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5D7AF4"/>
    <w:multiLevelType w:val="hybridMultilevel"/>
    <w:tmpl w:val="F6C8F552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B150B"/>
    <w:multiLevelType w:val="hybridMultilevel"/>
    <w:tmpl w:val="CAA25544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135C3"/>
    <w:multiLevelType w:val="hybridMultilevel"/>
    <w:tmpl w:val="A4D626D0"/>
    <w:lvl w:ilvl="0" w:tplc="00150409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862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31C66"/>
    <w:multiLevelType w:val="multilevel"/>
    <w:tmpl w:val="CAA25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52608"/>
    <w:multiLevelType w:val="hybridMultilevel"/>
    <w:tmpl w:val="CAA0FBCA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73507"/>
    <w:multiLevelType w:val="hybridMultilevel"/>
    <w:tmpl w:val="0F86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15F9"/>
    <w:multiLevelType w:val="hybridMultilevel"/>
    <w:tmpl w:val="F4FE456E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A65B5"/>
    <w:multiLevelType w:val="hybridMultilevel"/>
    <w:tmpl w:val="2DA80786"/>
    <w:lvl w:ilvl="0" w:tplc="000F0409">
      <w:start w:val="1"/>
      <w:numFmt w:val="decimal"/>
      <w:lvlText w:val="%1."/>
      <w:lvlJc w:val="left"/>
      <w:pPr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3809C8"/>
    <w:multiLevelType w:val="hybridMultilevel"/>
    <w:tmpl w:val="6EA674A8"/>
    <w:lvl w:ilvl="0" w:tplc="C46C1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867A4"/>
    <w:multiLevelType w:val="hybridMultilevel"/>
    <w:tmpl w:val="7BD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D327C"/>
    <w:multiLevelType w:val="hybridMultilevel"/>
    <w:tmpl w:val="6AD29CFC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67662"/>
    <w:multiLevelType w:val="hybridMultilevel"/>
    <w:tmpl w:val="B0646826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E0254"/>
    <w:multiLevelType w:val="hybridMultilevel"/>
    <w:tmpl w:val="1FF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B7474"/>
    <w:multiLevelType w:val="multilevel"/>
    <w:tmpl w:val="7158B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D4E73"/>
    <w:multiLevelType w:val="hybridMultilevel"/>
    <w:tmpl w:val="9E74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C5FF1"/>
    <w:multiLevelType w:val="multilevel"/>
    <w:tmpl w:val="811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53305"/>
    <w:multiLevelType w:val="hybridMultilevel"/>
    <w:tmpl w:val="127C9182"/>
    <w:lvl w:ilvl="0" w:tplc="00190409">
      <w:start w:val="1"/>
      <w:numFmt w:val="lowerLetter"/>
      <w:lvlText w:val="%1."/>
      <w:lvlJc w:val="left"/>
      <w:pPr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356AA"/>
    <w:multiLevelType w:val="hybridMultilevel"/>
    <w:tmpl w:val="EAB260C0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024705"/>
    <w:multiLevelType w:val="hybridMultilevel"/>
    <w:tmpl w:val="55AC0EAC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5D1D5D"/>
    <w:multiLevelType w:val="multilevel"/>
    <w:tmpl w:val="CAA25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372A6"/>
    <w:multiLevelType w:val="hybridMultilevel"/>
    <w:tmpl w:val="2DD23CC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E0C08"/>
    <w:multiLevelType w:val="hybridMultilevel"/>
    <w:tmpl w:val="B11C021E"/>
    <w:lvl w:ilvl="0" w:tplc="C46C1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02616D"/>
    <w:multiLevelType w:val="multilevel"/>
    <w:tmpl w:val="CAA25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A20D3E"/>
    <w:multiLevelType w:val="hybridMultilevel"/>
    <w:tmpl w:val="75D2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81004"/>
    <w:multiLevelType w:val="multilevel"/>
    <w:tmpl w:val="CAA25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9652A7"/>
    <w:multiLevelType w:val="hybridMultilevel"/>
    <w:tmpl w:val="811ECB8C"/>
    <w:lvl w:ilvl="0" w:tplc="C46C1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A30CE"/>
    <w:multiLevelType w:val="hybridMultilevel"/>
    <w:tmpl w:val="31AA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635A4"/>
    <w:multiLevelType w:val="hybridMultilevel"/>
    <w:tmpl w:val="2452BC68"/>
    <w:lvl w:ilvl="0" w:tplc="1624C0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20EE1"/>
    <w:multiLevelType w:val="hybridMultilevel"/>
    <w:tmpl w:val="31AA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620C7"/>
    <w:multiLevelType w:val="multilevel"/>
    <w:tmpl w:val="467EA58C"/>
    <w:lvl w:ilvl="0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83E49"/>
    <w:multiLevelType w:val="hybridMultilevel"/>
    <w:tmpl w:val="8FC85534"/>
    <w:lvl w:ilvl="0" w:tplc="C8C4A36A">
      <w:start w:val="1"/>
      <w:numFmt w:val="lowerLetter"/>
      <w:lvlText w:val="%1."/>
      <w:lvlJc w:val="left"/>
      <w:pPr>
        <w:ind w:left="1501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3">
    <w:nsid w:val="6B5E4A46"/>
    <w:multiLevelType w:val="multilevel"/>
    <w:tmpl w:val="A4D626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6375D"/>
    <w:multiLevelType w:val="hybridMultilevel"/>
    <w:tmpl w:val="467EA58C"/>
    <w:lvl w:ilvl="0" w:tplc="5C125CA4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622BF"/>
    <w:multiLevelType w:val="hybridMultilevel"/>
    <w:tmpl w:val="A0A442BA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D09CD"/>
    <w:multiLevelType w:val="multilevel"/>
    <w:tmpl w:val="6EA6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32B0D"/>
    <w:multiLevelType w:val="hybridMultilevel"/>
    <w:tmpl w:val="A3688058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6224"/>
    <w:multiLevelType w:val="hybridMultilevel"/>
    <w:tmpl w:val="7158B28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81958"/>
    <w:multiLevelType w:val="multilevel"/>
    <w:tmpl w:val="3E6ADA92"/>
    <w:lvl w:ilvl="0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7660E"/>
    <w:multiLevelType w:val="multilevel"/>
    <w:tmpl w:val="2452BC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02DA5"/>
    <w:multiLevelType w:val="hybridMultilevel"/>
    <w:tmpl w:val="3E6ADA92"/>
    <w:lvl w:ilvl="0" w:tplc="5C125CA4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D3C65"/>
    <w:multiLevelType w:val="hybridMultilevel"/>
    <w:tmpl w:val="F6C8F552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0F6776"/>
    <w:multiLevelType w:val="hybridMultilevel"/>
    <w:tmpl w:val="ACFE0912"/>
    <w:lvl w:ilvl="0" w:tplc="51E884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E351238"/>
    <w:multiLevelType w:val="hybridMultilevel"/>
    <w:tmpl w:val="4F2A7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6"/>
  </w:num>
  <w:num w:numId="4">
    <w:abstractNumId w:val="23"/>
  </w:num>
  <w:num w:numId="5">
    <w:abstractNumId w:val="16"/>
  </w:num>
  <w:num w:numId="6">
    <w:abstractNumId w:val="22"/>
  </w:num>
  <w:num w:numId="7">
    <w:abstractNumId w:val="9"/>
  </w:num>
  <w:num w:numId="8">
    <w:abstractNumId w:val="3"/>
  </w:num>
  <w:num w:numId="9">
    <w:abstractNumId w:val="37"/>
  </w:num>
  <w:num w:numId="10">
    <w:abstractNumId w:val="4"/>
  </w:num>
  <w:num w:numId="11">
    <w:abstractNumId w:val="0"/>
  </w:num>
  <w:num w:numId="12">
    <w:abstractNumId w:val="12"/>
  </w:num>
  <w:num w:numId="13">
    <w:abstractNumId w:val="26"/>
  </w:num>
  <w:num w:numId="14">
    <w:abstractNumId w:val="24"/>
  </w:num>
  <w:num w:numId="15">
    <w:abstractNumId w:val="33"/>
  </w:num>
  <w:num w:numId="16">
    <w:abstractNumId w:val="38"/>
  </w:num>
  <w:num w:numId="17">
    <w:abstractNumId w:val="15"/>
  </w:num>
  <w:num w:numId="18">
    <w:abstractNumId w:val="29"/>
  </w:num>
  <w:num w:numId="19">
    <w:abstractNumId w:val="40"/>
  </w:num>
  <w:num w:numId="20">
    <w:abstractNumId w:val="41"/>
  </w:num>
  <w:num w:numId="21">
    <w:abstractNumId w:val="39"/>
  </w:num>
  <w:num w:numId="22">
    <w:abstractNumId w:val="34"/>
  </w:num>
  <w:num w:numId="23">
    <w:abstractNumId w:val="31"/>
  </w:num>
  <w:num w:numId="24">
    <w:abstractNumId w:val="18"/>
  </w:num>
  <w:num w:numId="25">
    <w:abstractNumId w:val="43"/>
  </w:num>
  <w:num w:numId="26">
    <w:abstractNumId w:val="21"/>
  </w:num>
  <w:num w:numId="27">
    <w:abstractNumId w:val="19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8"/>
  </w:num>
  <w:num w:numId="33">
    <w:abstractNumId w:val="20"/>
  </w:num>
  <w:num w:numId="34">
    <w:abstractNumId w:val="2"/>
  </w:num>
  <w:num w:numId="35">
    <w:abstractNumId w:val="7"/>
  </w:num>
  <w:num w:numId="36">
    <w:abstractNumId w:val="42"/>
  </w:num>
  <w:num w:numId="37">
    <w:abstractNumId w:val="11"/>
  </w:num>
  <w:num w:numId="38">
    <w:abstractNumId w:val="25"/>
  </w:num>
  <w:num w:numId="39">
    <w:abstractNumId w:val="44"/>
  </w:num>
  <w:num w:numId="40">
    <w:abstractNumId w:val="14"/>
  </w:num>
  <w:num w:numId="41">
    <w:abstractNumId w:val="6"/>
  </w:num>
  <w:num w:numId="42">
    <w:abstractNumId w:val="35"/>
  </w:num>
  <w:num w:numId="43">
    <w:abstractNumId w:val="28"/>
  </w:num>
  <w:num w:numId="44">
    <w:abstractNumId w:val="3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13"/>
    <w:rsid w:val="00001CCE"/>
    <w:rsid w:val="000034D5"/>
    <w:rsid w:val="000138B0"/>
    <w:rsid w:val="00017995"/>
    <w:rsid w:val="000333E1"/>
    <w:rsid w:val="000344A1"/>
    <w:rsid w:val="000443FE"/>
    <w:rsid w:val="00052487"/>
    <w:rsid w:val="00061E56"/>
    <w:rsid w:val="000620E7"/>
    <w:rsid w:val="0006233A"/>
    <w:rsid w:val="00071C70"/>
    <w:rsid w:val="00094527"/>
    <w:rsid w:val="000A0AD3"/>
    <w:rsid w:val="000A6E26"/>
    <w:rsid w:val="000B6C6F"/>
    <w:rsid w:val="000B72C8"/>
    <w:rsid w:val="000D1493"/>
    <w:rsid w:val="000D5EC2"/>
    <w:rsid w:val="000E26CC"/>
    <w:rsid w:val="000E3C22"/>
    <w:rsid w:val="000F3515"/>
    <w:rsid w:val="000F6BC4"/>
    <w:rsid w:val="00100738"/>
    <w:rsid w:val="00103A04"/>
    <w:rsid w:val="00104B0D"/>
    <w:rsid w:val="00107AF1"/>
    <w:rsid w:val="00123C5E"/>
    <w:rsid w:val="001248E4"/>
    <w:rsid w:val="0012761C"/>
    <w:rsid w:val="00131646"/>
    <w:rsid w:val="001473CC"/>
    <w:rsid w:val="0015488C"/>
    <w:rsid w:val="0015787B"/>
    <w:rsid w:val="00160AF7"/>
    <w:rsid w:val="00162CD3"/>
    <w:rsid w:val="0017615E"/>
    <w:rsid w:val="00182F5F"/>
    <w:rsid w:val="00184844"/>
    <w:rsid w:val="001A7B04"/>
    <w:rsid w:val="001B142D"/>
    <w:rsid w:val="001B56D1"/>
    <w:rsid w:val="001C2E83"/>
    <w:rsid w:val="001C616B"/>
    <w:rsid w:val="001D10F1"/>
    <w:rsid w:val="001D124C"/>
    <w:rsid w:val="001D1D50"/>
    <w:rsid w:val="001E3E2A"/>
    <w:rsid w:val="001E5250"/>
    <w:rsid w:val="001F49B5"/>
    <w:rsid w:val="00206828"/>
    <w:rsid w:val="00207D13"/>
    <w:rsid w:val="0021662B"/>
    <w:rsid w:val="00217D79"/>
    <w:rsid w:val="00221568"/>
    <w:rsid w:val="002254EE"/>
    <w:rsid w:val="002270C5"/>
    <w:rsid w:val="002378E7"/>
    <w:rsid w:val="002421DA"/>
    <w:rsid w:val="002449ED"/>
    <w:rsid w:val="002546B8"/>
    <w:rsid w:val="002566D0"/>
    <w:rsid w:val="00260804"/>
    <w:rsid w:val="0026413C"/>
    <w:rsid w:val="002651CF"/>
    <w:rsid w:val="00270175"/>
    <w:rsid w:val="00276662"/>
    <w:rsid w:val="0027687F"/>
    <w:rsid w:val="00280EB7"/>
    <w:rsid w:val="002909F4"/>
    <w:rsid w:val="00294428"/>
    <w:rsid w:val="00295865"/>
    <w:rsid w:val="002A48C6"/>
    <w:rsid w:val="002A78A2"/>
    <w:rsid w:val="002B5882"/>
    <w:rsid w:val="002C3A8B"/>
    <w:rsid w:val="002D5C66"/>
    <w:rsid w:val="002E6ACC"/>
    <w:rsid w:val="002F4580"/>
    <w:rsid w:val="00307C8C"/>
    <w:rsid w:val="0031189D"/>
    <w:rsid w:val="00313A11"/>
    <w:rsid w:val="003221C2"/>
    <w:rsid w:val="00327623"/>
    <w:rsid w:val="00332ED9"/>
    <w:rsid w:val="00342FB7"/>
    <w:rsid w:val="0035501F"/>
    <w:rsid w:val="00360277"/>
    <w:rsid w:val="0037056D"/>
    <w:rsid w:val="00373F13"/>
    <w:rsid w:val="0038130A"/>
    <w:rsid w:val="003A0E85"/>
    <w:rsid w:val="003A762B"/>
    <w:rsid w:val="003B59B0"/>
    <w:rsid w:val="003B5F40"/>
    <w:rsid w:val="003B79FE"/>
    <w:rsid w:val="003D127A"/>
    <w:rsid w:val="003D39A5"/>
    <w:rsid w:val="003D3E7E"/>
    <w:rsid w:val="003E0569"/>
    <w:rsid w:val="004126FD"/>
    <w:rsid w:val="00415A34"/>
    <w:rsid w:val="00437BC6"/>
    <w:rsid w:val="00454DB6"/>
    <w:rsid w:val="00456E2F"/>
    <w:rsid w:val="0047396E"/>
    <w:rsid w:val="00475826"/>
    <w:rsid w:val="004761EC"/>
    <w:rsid w:val="00484E62"/>
    <w:rsid w:val="00496655"/>
    <w:rsid w:val="004A7EC1"/>
    <w:rsid w:val="004C512B"/>
    <w:rsid w:val="004C5DAF"/>
    <w:rsid w:val="004C76B3"/>
    <w:rsid w:val="004C7887"/>
    <w:rsid w:val="004D0214"/>
    <w:rsid w:val="004D7FF8"/>
    <w:rsid w:val="004E1402"/>
    <w:rsid w:val="004E4A6A"/>
    <w:rsid w:val="0050149E"/>
    <w:rsid w:val="0050320B"/>
    <w:rsid w:val="005116D4"/>
    <w:rsid w:val="00516B79"/>
    <w:rsid w:val="00520973"/>
    <w:rsid w:val="00527274"/>
    <w:rsid w:val="00536312"/>
    <w:rsid w:val="00540303"/>
    <w:rsid w:val="00552768"/>
    <w:rsid w:val="005568AA"/>
    <w:rsid w:val="00562664"/>
    <w:rsid w:val="00562AE3"/>
    <w:rsid w:val="00566DBF"/>
    <w:rsid w:val="0057580D"/>
    <w:rsid w:val="00576262"/>
    <w:rsid w:val="00582098"/>
    <w:rsid w:val="00594F83"/>
    <w:rsid w:val="005A52D9"/>
    <w:rsid w:val="005A69B6"/>
    <w:rsid w:val="005B5624"/>
    <w:rsid w:val="005C548F"/>
    <w:rsid w:val="005C6FDB"/>
    <w:rsid w:val="005D66D1"/>
    <w:rsid w:val="005D680A"/>
    <w:rsid w:val="005E1B57"/>
    <w:rsid w:val="005E53FD"/>
    <w:rsid w:val="005F1921"/>
    <w:rsid w:val="006025C3"/>
    <w:rsid w:val="00603058"/>
    <w:rsid w:val="006076F2"/>
    <w:rsid w:val="006125F4"/>
    <w:rsid w:val="00632C7B"/>
    <w:rsid w:val="00637716"/>
    <w:rsid w:val="00645507"/>
    <w:rsid w:val="00646491"/>
    <w:rsid w:val="00646EC3"/>
    <w:rsid w:val="00650170"/>
    <w:rsid w:val="006560E1"/>
    <w:rsid w:val="00666222"/>
    <w:rsid w:val="006706BB"/>
    <w:rsid w:val="00676D30"/>
    <w:rsid w:val="00680F09"/>
    <w:rsid w:val="006874B2"/>
    <w:rsid w:val="006A1EDE"/>
    <w:rsid w:val="006B26C1"/>
    <w:rsid w:val="006D483D"/>
    <w:rsid w:val="006D65E7"/>
    <w:rsid w:val="006F0253"/>
    <w:rsid w:val="006F0CE2"/>
    <w:rsid w:val="006F74CC"/>
    <w:rsid w:val="007055EF"/>
    <w:rsid w:val="00707E6F"/>
    <w:rsid w:val="00736DCA"/>
    <w:rsid w:val="00741F40"/>
    <w:rsid w:val="0075037F"/>
    <w:rsid w:val="00767489"/>
    <w:rsid w:val="00773E8D"/>
    <w:rsid w:val="007838C9"/>
    <w:rsid w:val="00795B87"/>
    <w:rsid w:val="007A0C3D"/>
    <w:rsid w:val="007B2118"/>
    <w:rsid w:val="007B62F5"/>
    <w:rsid w:val="007B6AA8"/>
    <w:rsid w:val="007C322D"/>
    <w:rsid w:val="007C5D07"/>
    <w:rsid w:val="007C6BB5"/>
    <w:rsid w:val="007C743D"/>
    <w:rsid w:val="007D28F1"/>
    <w:rsid w:val="007D623C"/>
    <w:rsid w:val="007E118C"/>
    <w:rsid w:val="007E7A8F"/>
    <w:rsid w:val="007F1B40"/>
    <w:rsid w:val="007F63CA"/>
    <w:rsid w:val="008140CA"/>
    <w:rsid w:val="00823CF0"/>
    <w:rsid w:val="00834D11"/>
    <w:rsid w:val="008402EF"/>
    <w:rsid w:val="00846C10"/>
    <w:rsid w:val="008543F0"/>
    <w:rsid w:val="00855EDF"/>
    <w:rsid w:val="008608C0"/>
    <w:rsid w:val="00860EA0"/>
    <w:rsid w:val="008701F1"/>
    <w:rsid w:val="00877298"/>
    <w:rsid w:val="00886FCD"/>
    <w:rsid w:val="00886FDA"/>
    <w:rsid w:val="00894ECF"/>
    <w:rsid w:val="00896709"/>
    <w:rsid w:val="008A4AC7"/>
    <w:rsid w:val="008A65DC"/>
    <w:rsid w:val="008A6AE5"/>
    <w:rsid w:val="008A6B28"/>
    <w:rsid w:val="008B19C8"/>
    <w:rsid w:val="008B21B6"/>
    <w:rsid w:val="008B3C1E"/>
    <w:rsid w:val="008B65AC"/>
    <w:rsid w:val="008C21BB"/>
    <w:rsid w:val="008D697D"/>
    <w:rsid w:val="008E2FB5"/>
    <w:rsid w:val="008F4399"/>
    <w:rsid w:val="008F5CC3"/>
    <w:rsid w:val="0091218E"/>
    <w:rsid w:val="0092749B"/>
    <w:rsid w:val="0092750F"/>
    <w:rsid w:val="00927F91"/>
    <w:rsid w:val="00931969"/>
    <w:rsid w:val="00944343"/>
    <w:rsid w:val="00956C65"/>
    <w:rsid w:val="00956F75"/>
    <w:rsid w:val="009670EA"/>
    <w:rsid w:val="00967D32"/>
    <w:rsid w:val="00975440"/>
    <w:rsid w:val="00984776"/>
    <w:rsid w:val="00994C2C"/>
    <w:rsid w:val="009A0B27"/>
    <w:rsid w:val="009A101D"/>
    <w:rsid w:val="009A262D"/>
    <w:rsid w:val="009A3D93"/>
    <w:rsid w:val="009B247A"/>
    <w:rsid w:val="009B4C8C"/>
    <w:rsid w:val="009B7460"/>
    <w:rsid w:val="009C18C1"/>
    <w:rsid w:val="009D15D9"/>
    <w:rsid w:val="009E1623"/>
    <w:rsid w:val="009E5814"/>
    <w:rsid w:val="009F0553"/>
    <w:rsid w:val="009F60DA"/>
    <w:rsid w:val="00A02562"/>
    <w:rsid w:val="00A131DD"/>
    <w:rsid w:val="00A14B88"/>
    <w:rsid w:val="00A158C0"/>
    <w:rsid w:val="00A2712B"/>
    <w:rsid w:val="00A3104E"/>
    <w:rsid w:val="00A418EC"/>
    <w:rsid w:val="00A44F7A"/>
    <w:rsid w:val="00A46F40"/>
    <w:rsid w:val="00A70EB3"/>
    <w:rsid w:val="00A93965"/>
    <w:rsid w:val="00AA5CDB"/>
    <w:rsid w:val="00AB7513"/>
    <w:rsid w:val="00AB7D45"/>
    <w:rsid w:val="00AC3EF0"/>
    <w:rsid w:val="00AC623F"/>
    <w:rsid w:val="00AC6945"/>
    <w:rsid w:val="00AF10BA"/>
    <w:rsid w:val="00AF30E0"/>
    <w:rsid w:val="00B02177"/>
    <w:rsid w:val="00B05C59"/>
    <w:rsid w:val="00B1061E"/>
    <w:rsid w:val="00B13499"/>
    <w:rsid w:val="00B206A9"/>
    <w:rsid w:val="00B20F96"/>
    <w:rsid w:val="00B424FD"/>
    <w:rsid w:val="00B5384F"/>
    <w:rsid w:val="00B61D7D"/>
    <w:rsid w:val="00B62CAC"/>
    <w:rsid w:val="00B64F38"/>
    <w:rsid w:val="00B65DE2"/>
    <w:rsid w:val="00B72402"/>
    <w:rsid w:val="00BA7CC1"/>
    <w:rsid w:val="00BB2E00"/>
    <w:rsid w:val="00BF2A2C"/>
    <w:rsid w:val="00BF78B8"/>
    <w:rsid w:val="00C03121"/>
    <w:rsid w:val="00C11F3F"/>
    <w:rsid w:val="00C22F2C"/>
    <w:rsid w:val="00C231DF"/>
    <w:rsid w:val="00C263DE"/>
    <w:rsid w:val="00C317D6"/>
    <w:rsid w:val="00C35E0E"/>
    <w:rsid w:val="00C370D7"/>
    <w:rsid w:val="00C451BC"/>
    <w:rsid w:val="00C471AC"/>
    <w:rsid w:val="00C47A54"/>
    <w:rsid w:val="00C56888"/>
    <w:rsid w:val="00C64831"/>
    <w:rsid w:val="00C84A88"/>
    <w:rsid w:val="00C86B8B"/>
    <w:rsid w:val="00CA0600"/>
    <w:rsid w:val="00CA61FF"/>
    <w:rsid w:val="00CB03A0"/>
    <w:rsid w:val="00CB1655"/>
    <w:rsid w:val="00CB699E"/>
    <w:rsid w:val="00CC04A7"/>
    <w:rsid w:val="00CC0E21"/>
    <w:rsid w:val="00CC2C91"/>
    <w:rsid w:val="00CD2047"/>
    <w:rsid w:val="00CE04AE"/>
    <w:rsid w:val="00CE4007"/>
    <w:rsid w:val="00CE6A7E"/>
    <w:rsid w:val="00CF27A2"/>
    <w:rsid w:val="00CF2D12"/>
    <w:rsid w:val="00D03083"/>
    <w:rsid w:val="00D15114"/>
    <w:rsid w:val="00D23810"/>
    <w:rsid w:val="00D24089"/>
    <w:rsid w:val="00D24911"/>
    <w:rsid w:val="00D308D6"/>
    <w:rsid w:val="00D31489"/>
    <w:rsid w:val="00D315F8"/>
    <w:rsid w:val="00D3328A"/>
    <w:rsid w:val="00D3635B"/>
    <w:rsid w:val="00D430CD"/>
    <w:rsid w:val="00D45012"/>
    <w:rsid w:val="00D46DD9"/>
    <w:rsid w:val="00D5335A"/>
    <w:rsid w:val="00D614A1"/>
    <w:rsid w:val="00D61FAE"/>
    <w:rsid w:val="00D86B2E"/>
    <w:rsid w:val="00D90491"/>
    <w:rsid w:val="00D95C43"/>
    <w:rsid w:val="00DC1590"/>
    <w:rsid w:val="00DD1C10"/>
    <w:rsid w:val="00DE3C38"/>
    <w:rsid w:val="00DF2F35"/>
    <w:rsid w:val="00E057A6"/>
    <w:rsid w:val="00E07E95"/>
    <w:rsid w:val="00E20738"/>
    <w:rsid w:val="00E2358A"/>
    <w:rsid w:val="00E30AE6"/>
    <w:rsid w:val="00E37A69"/>
    <w:rsid w:val="00E545AA"/>
    <w:rsid w:val="00E93664"/>
    <w:rsid w:val="00E9402C"/>
    <w:rsid w:val="00E96CDD"/>
    <w:rsid w:val="00EA7C18"/>
    <w:rsid w:val="00EC4EDE"/>
    <w:rsid w:val="00EE45BC"/>
    <w:rsid w:val="00EE5BF3"/>
    <w:rsid w:val="00EF0D2A"/>
    <w:rsid w:val="00F11B97"/>
    <w:rsid w:val="00F14EF4"/>
    <w:rsid w:val="00F16910"/>
    <w:rsid w:val="00F23AD3"/>
    <w:rsid w:val="00F254D6"/>
    <w:rsid w:val="00F335AD"/>
    <w:rsid w:val="00F4085A"/>
    <w:rsid w:val="00F410C1"/>
    <w:rsid w:val="00F5129E"/>
    <w:rsid w:val="00F6044D"/>
    <w:rsid w:val="00F6685E"/>
    <w:rsid w:val="00F73E85"/>
    <w:rsid w:val="00F811C4"/>
    <w:rsid w:val="00F81EA5"/>
    <w:rsid w:val="00F96EEE"/>
    <w:rsid w:val="00FA0222"/>
    <w:rsid w:val="00FA107D"/>
    <w:rsid w:val="00FA7515"/>
    <w:rsid w:val="00FB67D0"/>
    <w:rsid w:val="00FC49C6"/>
    <w:rsid w:val="00FC51E6"/>
    <w:rsid w:val="00FD06B6"/>
    <w:rsid w:val="00FE1B7D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D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styleId="PageNumber">
    <w:name w:val="page number"/>
    <w:basedOn w:val="DefaultParagraphFont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137B"/>
    <w:rPr>
      <w:color w:val="800080"/>
      <w:u w:val="single"/>
    </w:rPr>
  </w:style>
  <w:style w:type="character" w:styleId="FootnoteReference">
    <w:name w:val="footnote reference"/>
    <w:unhideWhenUsed/>
    <w:rsid w:val="00CD7443"/>
    <w:rPr>
      <w:vertAlign w:val="superscript"/>
    </w:rPr>
  </w:style>
  <w:style w:type="paragraph" w:styleId="BodyText3">
    <w:name w:val="Body Text 3"/>
    <w:basedOn w:val="Normal"/>
    <w:rsid w:val="00292EA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7F7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link w:val="FootnoteText"/>
    <w:rsid w:val="004C7887"/>
    <w:rPr>
      <w:lang w:eastAsia="ar-SA"/>
    </w:rPr>
  </w:style>
  <w:style w:type="character" w:customStyle="1" w:styleId="BodyTextChar">
    <w:name w:val="Body Text Char"/>
    <w:link w:val="BodyText"/>
    <w:rsid w:val="004C788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05C59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AC3EF0"/>
    <w:pPr>
      <w:suppressAutoHyphens w:val="0"/>
      <w:autoSpaceDE w:val="0"/>
      <w:autoSpaceDN w:val="0"/>
      <w:adjustRightInd w:val="0"/>
      <w:spacing w:line="201" w:lineRule="atLeast"/>
    </w:pPr>
    <w:rPr>
      <w:rFonts w:ascii="Franklin Gothic Book" w:hAnsi="Franklin Gothic Book"/>
      <w:lang w:eastAsia="en-US"/>
    </w:rPr>
  </w:style>
  <w:style w:type="paragraph" w:customStyle="1" w:styleId="Pa3">
    <w:name w:val="Pa3"/>
    <w:basedOn w:val="Normal"/>
    <w:next w:val="Normal"/>
    <w:uiPriority w:val="99"/>
    <w:rsid w:val="00AC3EF0"/>
    <w:pPr>
      <w:suppressAutoHyphens w:val="0"/>
      <w:autoSpaceDE w:val="0"/>
      <w:autoSpaceDN w:val="0"/>
      <w:adjustRightInd w:val="0"/>
      <w:spacing w:line="201" w:lineRule="atLeast"/>
    </w:pPr>
    <w:rPr>
      <w:rFonts w:ascii="Franklin Gothic Book" w:hAnsi="Franklin Gothic Book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D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styleId="PageNumber">
    <w:name w:val="page number"/>
    <w:basedOn w:val="DefaultParagraphFont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137B"/>
    <w:rPr>
      <w:color w:val="800080"/>
      <w:u w:val="single"/>
    </w:rPr>
  </w:style>
  <w:style w:type="character" w:styleId="FootnoteReference">
    <w:name w:val="footnote reference"/>
    <w:unhideWhenUsed/>
    <w:rsid w:val="00CD7443"/>
    <w:rPr>
      <w:vertAlign w:val="superscript"/>
    </w:rPr>
  </w:style>
  <w:style w:type="paragraph" w:styleId="BodyText3">
    <w:name w:val="Body Text 3"/>
    <w:basedOn w:val="Normal"/>
    <w:rsid w:val="00292EA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7F7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link w:val="FootnoteText"/>
    <w:rsid w:val="004C7887"/>
    <w:rPr>
      <w:lang w:eastAsia="ar-SA"/>
    </w:rPr>
  </w:style>
  <w:style w:type="character" w:customStyle="1" w:styleId="BodyTextChar">
    <w:name w:val="Body Text Char"/>
    <w:link w:val="BodyText"/>
    <w:rsid w:val="004C788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05C59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AC3EF0"/>
    <w:pPr>
      <w:suppressAutoHyphens w:val="0"/>
      <w:autoSpaceDE w:val="0"/>
      <w:autoSpaceDN w:val="0"/>
      <w:adjustRightInd w:val="0"/>
      <w:spacing w:line="201" w:lineRule="atLeast"/>
    </w:pPr>
    <w:rPr>
      <w:rFonts w:ascii="Franklin Gothic Book" w:hAnsi="Franklin Gothic Book"/>
      <w:lang w:eastAsia="en-US"/>
    </w:rPr>
  </w:style>
  <w:style w:type="paragraph" w:customStyle="1" w:styleId="Pa3">
    <w:name w:val="Pa3"/>
    <w:basedOn w:val="Normal"/>
    <w:next w:val="Normal"/>
    <w:uiPriority w:val="99"/>
    <w:rsid w:val="00AC3EF0"/>
    <w:pPr>
      <w:suppressAutoHyphens w:val="0"/>
      <w:autoSpaceDE w:val="0"/>
      <w:autoSpaceDN w:val="0"/>
      <w:adjustRightInd w:val="0"/>
      <w:spacing w:line="201" w:lineRule="atLeast"/>
    </w:pPr>
    <w:rPr>
      <w:rFonts w:ascii="Franklin Gothic Book" w:hAnsi="Franklin Gothic Boo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AD46-6776-44EC-B6D5-584CA72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Nick</dc:creator>
  <cp:lastModifiedBy>Nick Wagner</cp:lastModifiedBy>
  <cp:revision>12</cp:revision>
  <cp:lastPrinted>2015-08-28T21:37:00Z</cp:lastPrinted>
  <dcterms:created xsi:type="dcterms:W3CDTF">2015-08-28T17:56:00Z</dcterms:created>
  <dcterms:modified xsi:type="dcterms:W3CDTF">2015-08-31T18:17:00Z</dcterms:modified>
</cp:coreProperties>
</file>