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6F" w:rsidRDefault="00416F6F" w:rsidP="00416F6F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2015-2016 Legislative Branch </w:t>
      </w:r>
      <w:r w:rsidRPr="00590C85">
        <w:rPr>
          <w:rFonts w:ascii="Arial" w:hAnsi="Arial" w:cs="Arial"/>
          <w:b/>
          <w:szCs w:val="24"/>
        </w:rPr>
        <w:t>Equity and Social Justice</w:t>
      </w:r>
      <w:r>
        <w:rPr>
          <w:rFonts w:ascii="Arial" w:hAnsi="Arial" w:cs="Arial"/>
          <w:b/>
          <w:szCs w:val="24"/>
        </w:rPr>
        <w:t xml:space="preserve"> (ESJ)</w:t>
      </w:r>
      <w:r w:rsidRPr="00590C8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Work Plan</w:t>
      </w:r>
      <w:r w:rsidR="00AD5292">
        <w:rPr>
          <w:rFonts w:ascii="Arial" w:hAnsi="Arial" w:cs="Arial"/>
          <w:b/>
          <w:szCs w:val="24"/>
        </w:rPr>
        <w:t xml:space="preserve"> (Revised)</w:t>
      </w:r>
    </w:p>
    <w:p w:rsidR="00AD5292" w:rsidRPr="00590C85" w:rsidRDefault="00AD5292" w:rsidP="00416F6F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August 19, 2015</w:t>
      </w:r>
    </w:p>
    <w:p w:rsidR="00416F6F" w:rsidRDefault="00416F6F" w:rsidP="00416F6F">
      <w:pPr>
        <w:spacing w:after="0"/>
        <w:rPr>
          <w:rFonts w:ascii="Arial" w:hAnsi="Arial" w:cs="Arial"/>
          <w:b/>
          <w:sz w:val="22"/>
          <w:szCs w:val="22"/>
        </w:rPr>
      </w:pPr>
    </w:p>
    <w:p w:rsidR="00416F6F" w:rsidRPr="00590C85" w:rsidRDefault="00416F6F" w:rsidP="00416F6F">
      <w:pPr>
        <w:spacing w:after="0"/>
        <w:rPr>
          <w:rFonts w:ascii="Arial" w:hAnsi="Arial" w:cs="Arial"/>
          <w:b/>
          <w:sz w:val="22"/>
          <w:szCs w:val="22"/>
        </w:rPr>
      </w:pPr>
      <w:r w:rsidRPr="00590C85">
        <w:rPr>
          <w:rFonts w:ascii="Arial" w:hAnsi="Arial" w:cs="Arial"/>
          <w:b/>
          <w:sz w:val="22"/>
          <w:szCs w:val="22"/>
        </w:rPr>
        <w:t>Agency:</w:t>
      </w:r>
      <w:r>
        <w:rPr>
          <w:rFonts w:ascii="Arial" w:hAnsi="Arial" w:cs="Arial"/>
          <w:b/>
          <w:sz w:val="22"/>
          <w:szCs w:val="22"/>
        </w:rPr>
        <w:t xml:space="preserve"> Legislative Branch</w:t>
      </w:r>
      <w:r>
        <w:rPr>
          <w:rStyle w:val="FootnoteReference"/>
          <w:rFonts w:ascii="Arial" w:hAnsi="Arial" w:cs="Arial"/>
          <w:b/>
          <w:sz w:val="22"/>
          <w:szCs w:val="22"/>
        </w:rPr>
        <w:footnoteReference w:id="1"/>
      </w:r>
    </w:p>
    <w:p w:rsidR="00416F6F" w:rsidRDefault="00416F6F" w:rsidP="00416F6F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16F6F" w:rsidRDefault="00416F6F" w:rsidP="00416F6F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Legislative ESJ Staff:  Mike Reed</w:t>
      </w:r>
    </w:p>
    <w:p w:rsidR="00416F6F" w:rsidRPr="00080A93" w:rsidRDefault="00416F6F" w:rsidP="00416F6F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4307"/>
        <w:gridCol w:w="5139"/>
      </w:tblGrid>
      <w:tr w:rsidR="00416F6F" w:rsidRPr="00615B53" w:rsidTr="00EF4325">
        <w:trPr>
          <w:tblHeader/>
        </w:trPr>
        <w:tc>
          <w:tcPr>
            <w:tcW w:w="2280" w:type="pct"/>
            <w:tcBorders>
              <w:bottom w:val="double" w:sz="12" w:space="0" w:color="auto"/>
            </w:tcBorders>
            <w:shd w:val="clear" w:color="auto" w:fill="E0E0E0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16F6F" w:rsidRPr="00AA48E3" w:rsidRDefault="00416F6F" w:rsidP="00EF4325">
            <w:pPr>
              <w:spacing w:after="0"/>
              <w:ind w:right="-43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A48E3">
              <w:rPr>
                <w:rFonts w:ascii="Arial" w:hAnsi="Arial" w:cs="Arial"/>
                <w:b/>
                <w:color w:val="000000"/>
                <w:sz w:val="20"/>
              </w:rPr>
              <w:t>Objectives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720" w:type="pct"/>
            <w:tcBorders>
              <w:bottom w:val="double" w:sz="12" w:space="0" w:color="auto"/>
            </w:tcBorders>
            <w:shd w:val="clear" w:color="auto" w:fill="E0E0E0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16F6F" w:rsidRPr="00AA48E3" w:rsidRDefault="00416F6F" w:rsidP="00EF432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Description of Commitment(s)</w:t>
            </w:r>
          </w:p>
        </w:tc>
      </w:tr>
      <w:tr w:rsidR="00416F6F" w:rsidRPr="00615B53" w:rsidTr="00EF4325">
        <w:tc>
          <w:tcPr>
            <w:tcW w:w="2280" w:type="pct"/>
            <w:tcBorders>
              <w:top w:val="double" w:sz="12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16F6F" w:rsidRPr="00AA48E3" w:rsidRDefault="00416F6F" w:rsidP="00EF4325">
            <w:pPr>
              <w:spacing w:after="0"/>
              <w:ind w:right="-43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AA48E3">
              <w:rPr>
                <w:rFonts w:ascii="Arial" w:hAnsi="Arial" w:cs="Arial"/>
                <w:b/>
                <w:bCs/>
                <w:sz w:val="20"/>
                <w:u w:val="single"/>
              </w:rPr>
              <w:t>Objective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A</w:t>
            </w:r>
            <w:r w:rsidRPr="00AA48E3">
              <w:rPr>
                <w:rFonts w:ascii="Arial" w:hAnsi="Arial" w:cs="Arial"/>
                <w:b/>
                <w:bCs/>
                <w:sz w:val="20"/>
              </w:rPr>
              <w:t xml:space="preserve">:  </w:t>
            </w:r>
          </w:p>
          <w:p w:rsidR="00416F6F" w:rsidRPr="00AA48E3" w:rsidRDefault="00416F6F" w:rsidP="00EF4325">
            <w:pPr>
              <w:spacing w:after="0"/>
              <w:ind w:right="-43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AA48E3">
              <w:rPr>
                <w:rFonts w:ascii="Arial" w:hAnsi="Arial" w:cs="Arial"/>
                <w:b/>
                <w:bCs/>
                <w:sz w:val="20"/>
              </w:rPr>
              <w:t>Consider equity impacts in decision-making</w:t>
            </w:r>
            <w:r>
              <w:rPr>
                <w:rFonts w:ascii="Arial" w:hAnsi="Arial" w:cs="Arial"/>
                <w:b/>
                <w:bCs/>
                <w:sz w:val="20"/>
              </w:rPr>
              <w:t>, policy-making and program planning</w:t>
            </w:r>
            <w:r w:rsidRPr="00AA48E3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416F6F" w:rsidRPr="00AA48E3" w:rsidRDefault="00416F6F" w:rsidP="00EF4325">
            <w:pPr>
              <w:spacing w:after="0"/>
              <w:ind w:right="-43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416F6F" w:rsidRDefault="00416F6F" w:rsidP="00EF4325">
            <w:pPr>
              <w:ind w:right="-43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AA48E3">
              <w:rPr>
                <w:rFonts w:ascii="Arial" w:hAnsi="Arial" w:cs="Arial"/>
                <w:b/>
                <w:bCs/>
                <w:sz w:val="20"/>
              </w:rPr>
              <w:t xml:space="preserve">Each dept./branch commits to specific policy or program focus areas to apply Equity Impact Review   </w:t>
            </w:r>
          </w:p>
          <w:p w:rsidR="00416F6F" w:rsidRDefault="00416F6F" w:rsidP="00EF4325">
            <w:pPr>
              <w:ind w:right="-43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416F6F" w:rsidRDefault="00416F6F" w:rsidP="00EF4325">
            <w:pPr>
              <w:ind w:right="-43"/>
              <w:jc w:val="lef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Objective B:</w:t>
            </w:r>
          </w:p>
          <w:p w:rsidR="00416F6F" w:rsidRPr="00696D8D" w:rsidRDefault="00416F6F" w:rsidP="00EF4325">
            <w:pPr>
              <w:ind w:right="-43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Advance equity analysis and pro-equity decisions in budget analysis, base budgets and lines of business</w:t>
            </w:r>
          </w:p>
        </w:tc>
        <w:tc>
          <w:tcPr>
            <w:tcW w:w="2720" w:type="pct"/>
            <w:tcBorders>
              <w:top w:val="double" w:sz="12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16F6F" w:rsidRDefault="00416F6F" w:rsidP="00EF4325">
            <w:pPr>
              <w:pStyle w:val="ListParagraph"/>
              <w:numPr>
                <w:ilvl w:val="0"/>
                <w:numId w:val="2"/>
              </w:numPr>
            </w:pPr>
            <w:r>
              <w:t>Continue to refine the</w:t>
            </w:r>
            <w:bookmarkStart w:id="0" w:name="_GoBack"/>
            <w:bookmarkEnd w:id="0"/>
            <w:r>
              <w:t xml:space="preserve"> budget process for Council evaluation of equity impacts of Executive’s proposed biennial budget.</w:t>
            </w:r>
          </w:p>
          <w:p w:rsidR="00416F6F" w:rsidRDefault="00416F6F" w:rsidP="00EF4325">
            <w:pPr>
              <w:pStyle w:val="ListParagraph"/>
              <w:numPr>
                <w:ilvl w:val="0"/>
                <w:numId w:val="2"/>
              </w:numPr>
            </w:pPr>
            <w:r>
              <w:t xml:space="preserve">Further the training of all analytical staff in the principles of ESJ and in the application of ESJ analysis to the legislative process.  </w:t>
            </w:r>
          </w:p>
          <w:p w:rsidR="00416F6F" w:rsidRPr="001C3A8B" w:rsidRDefault="00416F6F" w:rsidP="00EF4325">
            <w:pPr>
              <w:pStyle w:val="ListParagraph"/>
              <w:numPr>
                <w:ilvl w:val="0"/>
                <w:numId w:val="2"/>
              </w:numPr>
            </w:pPr>
            <w:r>
              <w:t xml:space="preserve">Support emerging initiatives of the Inter-branch Equity and Social Justice Team </w:t>
            </w:r>
          </w:p>
        </w:tc>
      </w:tr>
      <w:tr w:rsidR="00416F6F" w:rsidRPr="00615B53" w:rsidTr="00EF4325">
        <w:tc>
          <w:tcPr>
            <w:tcW w:w="228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16F6F" w:rsidRPr="00AA48E3" w:rsidRDefault="00416F6F" w:rsidP="00EF4325">
            <w:pPr>
              <w:spacing w:after="0"/>
              <w:ind w:right="-43"/>
              <w:jc w:val="lef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Objective C</w:t>
            </w:r>
            <w:r w:rsidRPr="00AA48E3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: </w:t>
            </w:r>
          </w:p>
          <w:p w:rsidR="00416F6F" w:rsidRPr="00AA48E3" w:rsidRDefault="00416F6F" w:rsidP="00EF4325">
            <w:pPr>
              <w:spacing w:after="0"/>
              <w:ind w:right="-43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AA48E3">
              <w:rPr>
                <w:rFonts w:ascii="Arial" w:hAnsi="Arial" w:cs="Arial"/>
                <w:b/>
                <w:bCs/>
                <w:sz w:val="20"/>
              </w:rPr>
              <w:t xml:space="preserve">Build community trust and capacity; 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AA48E3">
              <w:rPr>
                <w:rFonts w:ascii="Arial" w:hAnsi="Arial" w:cs="Arial"/>
                <w:b/>
                <w:bCs/>
                <w:sz w:val="20"/>
              </w:rPr>
              <w:t>mproved customer service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and</w:t>
            </w:r>
            <w:r w:rsidRPr="00AA48E3">
              <w:rPr>
                <w:rFonts w:ascii="Arial" w:hAnsi="Arial" w:cs="Arial"/>
                <w:b/>
                <w:bCs/>
                <w:sz w:val="20"/>
              </w:rPr>
              <w:t xml:space="preserve"> robust civic engagement</w:t>
            </w:r>
          </w:p>
          <w:p w:rsidR="00416F6F" w:rsidRPr="00AA48E3" w:rsidRDefault="00416F6F" w:rsidP="00EF4325">
            <w:pPr>
              <w:spacing w:after="0"/>
              <w:ind w:right="-43"/>
              <w:jc w:val="left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416F6F" w:rsidRPr="00CF1943" w:rsidRDefault="00416F6F" w:rsidP="00EF4325">
            <w:pPr>
              <w:ind w:right="-43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AA48E3">
              <w:rPr>
                <w:rFonts w:ascii="Arial" w:hAnsi="Arial" w:cs="Arial"/>
                <w:b/>
                <w:bCs/>
                <w:sz w:val="20"/>
              </w:rPr>
              <w:t>Each dept./branch commits to areas for application of the community engagement guide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72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16F6F" w:rsidRDefault="00416F6F" w:rsidP="00EF4325">
            <w:pPr>
              <w:pStyle w:val="ListParagraph"/>
              <w:numPr>
                <w:ilvl w:val="0"/>
                <w:numId w:val="1"/>
              </w:numPr>
              <w:spacing w:after="0" w:line="273" w:lineRule="auto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When engaging the community, consider determinants of equity and community engagement tools.</w:t>
            </w:r>
          </w:p>
          <w:p w:rsidR="00416F6F" w:rsidRDefault="00416F6F" w:rsidP="00EF4325">
            <w:pPr>
              <w:pStyle w:val="ListParagraph"/>
              <w:numPr>
                <w:ilvl w:val="0"/>
                <w:numId w:val="1"/>
              </w:numPr>
              <w:spacing w:after="0" w:line="273" w:lineRule="auto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Create inclusive and accessible public processes.</w:t>
            </w:r>
          </w:p>
          <w:p w:rsidR="00416F6F" w:rsidRPr="001E70DE" w:rsidRDefault="00416F6F" w:rsidP="00EF4325">
            <w:pPr>
              <w:pStyle w:val="ListParagraph"/>
              <w:numPr>
                <w:ilvl w:val="0"/>
                <w:numId w:val="1"/>
              </w:numPr>
              <w:spacing w:after="0" w:line="273" w:lineRule="auto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Utilize legislative agency services such as King County TV programming to broadcast ESJ events to engage and educate the community.</w:t>
            </w:r>
          </w:p>
        </w:tc>
      </w:tr>
      <w:tr w:rsidR="00416F6F" w:rsidRPr="00615B53" w:rsidTr="00EF432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0" w:type="pct"/>
          </w:tcPr>
          <w:p w:rsidR="00416F6F" w:rsidRPr="00CF1943" w:rsidRDefault="00416F6F" w:rsidP="00EF4325">
            <w:pPr>
              <w:spacing w:after="0"/>
              <w:ind w:right="-43"/>
              <w:jc w:val="lef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E01962">
              <w:rPr>
                <w:rFonts w:ascii="Arial" w:hAnsi="Arial" w:cs="Arial"/>
                <w:b/>
                <w:bCs/>
                <w:sz w:val="20"/>
                <w:u w:val="single"/>
              </w:rPr>
              <w:t>Object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ive D</w:t>
            </w:r>
            <w:r w:rsidRPr="00CF1943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:  </w:t>
            </w:r>
          </w:p>
          <w:p w:rsidR="00416F6F" w:rsidRPr="00CF1943" w:rsidRDefault="00416F6F" w:rsidP="00EF4325">
            <w:pPr>
              <w:spacing w:after="0"/>
              <w:ind w:right="-43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F1943">
              <w:rPr>
                <w:rFonts w:ascii="Arial" w:hAnsi="Arial" w:cs="Arial"/>
                <w:b/>
                <w:bCs/>
                <w:sz w:val="20"/>
              </w:rPr>
              <w:t xml:space="preserve">Promote fairness and opportunity in County government </w:t>
            </w:r>
            <w:r>
              <w:rPr>
                <w:rFonts w:ascii="Arial" w:hAnsi="Arial" w:cs="Arial"/>
                <w:b/>
                <w:bCs/>
                <w:sz w:val="20"/>
              </w:rPr>
              <w:t>through employee communication, training and engagement</w:t>
            </w:r>
          </w:p>
          <w:p w:rsidR="00416F6F" w:rsidRDefault="00416F6F" w:rsidP="00EF4325">
            <w:pPr>
              <w:spacing w:after="0"/>
              <w:ind w:right="-43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416F6F" w:rsidRDefault="00416F6F" w:rsidP="00EF4325">
            <w:pPr>
              <w:numPr>
                <w:ilvl w:val="0"/>
                <w:numId w:val="3"/>
              </w:numPr>
              <w:spacing w:after="0"/>
              <w:ind w:right="-43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Each dept./branch commits to i</w:t>
            </w:r>
            <w:r w:rsidRPr="00CF1943">
              <w:rPr>
                <w:rFonts w:ascii="Arial" w:hAnsi="Arial" w:cs="Arial"/>
                <w:b/>
                <w:bCs/>
                <w:sz w:val="20"/>
              </w:rPr>
              <w:t>nternal communications/</w:t>
            </w:r>
            <w:r>
              <w:rPr>
                <w:rFonts w:ascii="Arial" w:hAnsi="Arial" w:cs="Arial"/>
                <w:b/>
                <w:bCs/>
                <w:sz w:val="20"/>
              </w:rPr>
              <w:t>engagement</w:t>
            </w:r>
            <w:r w:rsidRPr="00CF194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CF1943">
              <w:rPr>
                <w:rFonts w:ascii="Arial" w:hAnsi="Arial" w:cs="Arial"/>
                <w:b/>
                <w:sz w:val="20"/>
              </w:rPr>
              <w:t xml:space="preserve">to raise awareness and visibility of ESJ </w:t>
            </w:r>
            <w:r>
              <w:rPr>
                <w:rFonts w:ascii="Arial" w:hAnsi="Arial" w:cs="Arial"/>
                <w:b/>
                <w:sz w:val="20"/>
              </w:rPr>
              <w:t xml:space="preserve">with </w:t>
            </w:r>
            <w:r w:rsidRPr="00CF1943">
              <w:rPr>
                <w:rFonts w:ascii="Arial" w:hAnsi="Arial" w:cs="Arial"/>
                <w:b/>
                <w:sz w:val="20"/>
              </w:rPr>
              <w:t>employee</w:t>
            </w:r>
            <w:r>
              <w:rPr>
                <w:rFonts w:ascii="Arial" w:hAnsi="Arial" w:cs="Arial"/>
                <w:b/>
                <w:sz w:val="20"/>
              </w:rPr>
              <w:t>s at all levels</w:t>
            </w:r>
          </w:p>
          <w:p w:rsidR="00416F6F" w:rsidRPr="00696D8D" w:rsidRDefault="00416F6F" w:rsidP="00EF4325">
            <w:pPr>
              <w:numPr>
                <w:ilvl w:val="0"/>
                <w:numId w:val="3"/>
              </w:numPr>
              <w:spacing w:after="0"/>
              <w:ind w:right="-43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Each dept./branch submits an employee training plan in support of this ESJ work plan and/or an assessment of the employee knowledge and skill needs for ESJ</w:t>
            </w:r>
          </w:p>
          <w:p w:rsidR="00416F6F" w:rsidRPr="00CF1943" w:rsidRDefault="00416F6F" w:rsidP="00EF4325">
            <w:pPr>
              <w:numPr>
                <w:ilvl w:val="0"/>
                <w:numId w:val="3"/>
              </w:numPr>
              <w:spacing w:after="0"/>
              <w:ind w:right="-43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Each dept./branch commits to work with the IBT in employee and leadership engagement in support of the ESJ Strategic Plan</w:t>
            </w:r>
          </w:p>
          <w:p w:rsidR="00416F6F" w:rsidRPr="00CF1943" w:rsidRDefault="00416F6F" w:rsidP="00EF4325">
            <w:pPr>
              <w:spacing w:after="0"/>
              <w:ind w:right="-43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20" w:type="pct"/>
          </w:tcPr>
          <w:p w:rsidR="00416F6F" w:rsidRDefault="00416F6F" w:rsidP="00EF4325">
            <w:pPr>
              <w:pStyle w:val="ListParagraph"/>
              <w:numPr>
                <w:ilvl w:val="0"/>
                <w:numId w:val="1"/>
              </w:numPr>
              <w:spacing w:after="0" w:line="273" w:lineRule="auto"/>
              <w:ind w:left="668" w:hanging="412"/>
              <w:rPr>
                <w:color w:val="000000"/>
                <w:kern w:val="28"/>
              </w:rPr>
            </w:pPr>
            <w:r w:rsidRPr="00DF7FEA">
              <w:rPr>
                <w:color w:val="000000"/>
                <w:kern w:val="28"/>
              </w:rPr>
              <w:lastRenderedPageBreak/>
              <w:t>Implement regularly occurring internal events to promote awareness and visibility of ESJ within the legislative branch</w:t>
            </w:r>
            <w:r>
              <w:rPr>
                <w:color w:val="000000"/>
                <w:kern w:val="28"/>
              </w:rPr>
              <w:t>.</w:t>
            </w:r>
          </w:p>
          <w:p w:rsidR="00416F6F" w:rsidRPr="00DF7FEA" w:rsidRDefault="00416F6F" w:rsidP="00EF4325">
            <w:pPr>
              <w:pStyle w:val="ListParagraph"/>
              <w:numPr>
                <w:ilvl w:val="0"/>
                <w:numId w:val="1"/>
              </w:numPr>
              <w:spacing w:after="0" w:line="273" w:lineRule="auto"/>
              <w:ind w:left="668" w:hanging="412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Implement an ESJ training program and schedule for all legislative branch employees.</w:t>
            </w:r>
          </w:p>
          <w:p w:rsidR="00416F6F" w:rsidRPr="001E70DE" w:rsidRDefault="00416F6F" w:rsidP="00EF4325">
            <w:pPr>
              <w:pStyle w:val="ListParagraph"/>
              <w:numPr>
                <w:ilvl w:val="0"/>
                <w:numId w:val="1"/>
              </w:numPr>
              <w:spacing w:after="0" w:line="273" w:lineRule="auto"/>
              <w:ind w:left="668" w:hanging="412"/>
              <w:rPr>
                <w:color w:val="000000"/>
                <w:kern w:val="28"/>
              </w:rPr>
            </w:pPr>
            <w:r>
              <w:t>Share ESJ ideas, strategies, successes, difficulties and resources between legislative branch agencies.</w:t>
            </w:r>
          </w:p>
        </w:tc>
      </w:tr>
      <w:tr w:rsidR="00416F6F" w:rsidRPr="00615B53" w:rsidTr="00EF4325">
        <w:tc>
          <w:tcPr>
            <w:tcW w:w="228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16F6F" w:rsidRPr="00CF1943" w:rsidRDefault="00416F6F" w:rsidP="00EF4325">
            <w:pPr>
              <w:spacing w:after="0"/>
              <w:ind w:right="-43"/>
              <w:jc w:val="lef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lastRenderedPageBreak/>
              <w:t>Objective E</w:t>
            </w:r>
            <w:r w:rsidRPr="00CF1943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:  </w:t>
            </w:r>
          </w:p>
          <w:p w:rsidR="00416F6F" w:rsidRPr="00080A93" w:rsidRDefault="00416F6F" w:rsidP="00EF4325">
            <w:pPr>
              <w:spacing w:after="0"/>
              <w:ind w:left="360" w:right="-43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16F6F" w:rsidRDefault="00416F6F" w:rsidP="00EF4325">
            <w:pPr>
              <w:spacing w:after="0"/>
              <w:ind w:right="-43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Promote fairness and opportunity in County </w:t>
            </w:r>
            <w:r w:rsidRPr="00046F59">
              <w:rPr>
                <w:rFonts w:ascii="Arial" w:hAnsi="Arial" w:cs="Arial"/>
                <w:b/>
                <w:bCs/>
                <w:sz w:val="20"/>
              </w:rPr>
              <w:t>government by institutionalizing equity in all organizational practices (e.g., hiring, procurement)</w:t>
            </w:r>
          </w:p>
          <w:p w:rsidR="00416F6F" w:rsidRPr="00CF1943" w:rsidRDefault="00416F6F" w:rsidP="00EF4325">
            <w:pPr>
              <w:spacing w:after="0"/>
              <w:ind w:right="-43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20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16F6F" w:rsidRPr="00D92F9C" w:rsidRDefault="00416F6F" w:rsidP="00EF4325">
            <w:pPr>
              <w:pStyle w:val="NormalWeb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Formalize the legislative branch ESJ team membership and responsibilities.</w:t>
            </w:r>
          </w:p>
          <w:p w:rsidR="00416F6F" w:rsidRPr="00DD3126" w:rsidRDefault="00416F6F" w:rsidP="00EF4325">
            <w:pPr>
              <w:pStyle w:val="NormalWeb"/>
              <w:ind w:left="720"/>
              <w:rPr>
                <w:rFonts w:ascii="Calibri" w:hAnsi="Calibri"/>
              </w:rPr>
            </w:pPr>
          </w:p>
        </w:tc>
      </w:tr>
    </w:tbl>
    <w:p w:rsidR="00416F6F" w:rsidRDefault="00416F6F" w:rsidP="00416F6F">
      <w:pPr>
        <w:spacing w:after="0"/>
        <w:jc w:val="left"/>
      </w:pPr>
    </w:p>
    <w:p w:rsidR="00416F6F" w:rsidRDefault="00416F6F" w:rsidP="00416F6F">
      <w:pPr>
        <w:rPr>
          <w:szCs w:val="24"/>
        </w:rPr>
      </w:pPr>
    </w:p>
    <w:p w:rsidR="00883953" w:rsidRDefault="00883953"/>
    <w:sectPr w:rsidR="00883953" w:rsidSect="004E6090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6F" w:rsidRDefault="00416F6F" w:rsidP="00416F6F">
      <w:pPr>
        <w:spacing w:after="0"/>
      </w:pPr>
      <w:r>
        <w:separator/>
      </w:r>
    </w:p>
  </w:endnote>
  <w:endnote w:type="continuationSeparator" w:id="0">
    <w:p w:rsidR="00416F6F" w:rsidRDefault="00416F6F" w:rsidP="00416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6F" w:rsidRDefault="00416F6F" w:rsidP="00416F6F">
      <w:pPr>
        <w:spacing w:after="0"/>
      </w:pPr>
      <w:r>
        <w:separator/>
      </w:r>
    </w:p>
  </w:footnote>
  <w:footnote w:type="continuationSeparator" w:id="0">
    <w:p w:rsidR="00416F6F" w:rsidRDefault="00416F6F" w:rsidP="00416F6F">
      <w:pPr>
        <w:spacing w:after="0"/>
      </w:pPr>
      <w:r>
        <w:continuationSeparator/>
      </w:r>
    </w:p>
  </w:footnote>
  <w:footnote w:id="1">
    <w:p w:rsidR="00416F6F" w:rsidRDefault="00416F6F" w:rsidP="00416F6F">
      <w:pPr>
        <w:rPr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szCs w:val="24"/>
        </w:rPr>
        <w:t xml:space="preserve">The King County Auditor’s Office is committed to incorporating Equity and Social Justice </w:t>
      </w:r>
      <w:proofErr w:type="gramStart"/>
      <w:r>
        <w:rPr>
          <w:szCs w:val="24"/>
        </w:rPr>
        <w:t>initiatives</w:t>
      </w:r>
      <w:proofErr w:type="gramEnd"/>
      <w:r>
        <w:rPr>
          <w:szCs w:val="24"/>
        </w:rPr>
        <w:t xml:space="preserve"> as appropriate to its role as an independent, objective office conducting audit and oversight work for King County.</w:t>
      </w:r>
    </w:p>
    <w:p w:rsidR="00416F6F" w:rsidRDefault="00416F6F" w:rsidP="00416F6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90" w:rsidRDefault="00416F6F">
    <w:pPr>
      <w:pStyle w:val="Header"/>
    </w:pPr>
    <w:r>
      <w:tab/>
    </w:r>
    <w:r>
      <w:tab/>
      <w:t>Attachment A</w:t>
    </w:r>
    <w:r w:rsidR="00AD5292">
      <w:t xml:space="preserve"> Revised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282"/>
    <w:multiLevelType w:val="hybridMultilevel"/>
    <w:tmpl w:val="C1A6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455B1"/>
    <w:multiLevelType w:val="hybridMultilevel"/>
    <w:tmpl w:val="415A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66E30"/>
    <w:multiLevelType w:val="hybridMultilevel"/>
    <w:tmpl w:val="C5BEBF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6F"/>
    <w:rsid w:val="002B59D1"/>
    <w:rsid w:val="00416F6F"/>
    <w:rsid w:val="00603332"/>
    <w:rsid w:val="00883953"/>
    <w:rsid w:val="00AD5292"/>
    <w:rsid w:val="00B7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fc"/>
    <w:qFormat/>
    <w:rsid w:val="00416F6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F6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16F6F"/>
    <w:pPr>
      <w:spacing w:before="100" w:beforeAutospacing="1" w:after="100" w:afterAutospacing="1"/>
      <w:jc w:val="left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416F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6F6F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6F6F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F6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16F6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D52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529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fc"/>
    <w:qFormat/>
    <w:rsid w:val="00416F6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F6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16F6F"/>
    <w:pPr>
      <w:spacing w:before="100" w:beforeAutospacing="1" w:after="100" w:afterAutospacing="1"/>
      <w:jc w:val="left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416F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6F6F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6F6F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F6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16F6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D52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529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Mike</dc:creator>
  <cp:lastModifiedBy>Steadman, Marka</cp:lastModifiedBy>
  <cp:revision>3</cp:revision>
  <dcterms:created xsi:type="dcterms:W3CDTF">2015-08-18T16:42:00Z</dcterms:created>
  <dcterms:modified xsi:type="dcterms:W3CDTF">2015-08-18T17:52:00Z</dcterms:modified>
</cp:coreProperties>
</file>