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C5D84" w:rsidP="00074A56">
            <w:pPr>
              <w:spacing w:before="40" w:after="40"/>
              <w:rPr>
                <w:rFonts w:ascii="Arial" w:hAnsi="Arial" w:cs="Arial"/>
              </w:rPr>
            </w:pPr>
            <w:r>
              <w:rPr>
                <w:rFonts w:ascii="Arial" w:hAnsi="Arial" w:cs="Arial"/>
              </w:rPr>
              <w:t>10</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89079E" w:rsidP="00074A56">
            <w:pPr>
              <w:spacing w:before="40" w:after="40"/>
              <w:rPr>
                <w:rFonts w:ascii="Arial" w:hAnsi="Arial" w:cs="Arial"/>
              </w:rPr>
            </w:pPr>
            <w:r>
              <w:rPr>
                <w:rFonts w:ascii="Arial" w:hAnsi="Arial" w:cs="Arial"/>
              </w:rPr>
              <w:t>Leah Krekel-Zoppi</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89079E" w:rsidP="00074A56">
            <w:pPr>
              <w:spacing w:before="40" w:after="40"/>
              <w:rPr>
                <w:rFonts w:ascii="Arial" w:hAnsi="Arial" w:cs="Arial"/>
              </w:rPr>
            </w:pPr>
            <w:r>
              <w:rPr>
                <w:rFonts w:ascii="Arial" w:hAnsi="Arial" w:cs="Arial"/>
              </w:rPr>
              <w:t>2015-0251</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89079E" w:rsidP="00074A56">
            <w:pPr>
              <w:spacing w:before="40" w:after="40"/>
              <w:rPr>
                <w:rFonts w:ascii="Arial" w:hAnsi="Arial" w:cs="Arial"/>
              </w:rPr>
            </w:pPr>
            <w:r>
              <w:rPr>
                <w:rFonts w:ascii="Arial" w:hAnsi="Arial" w:cs="Arial"/>
              </w:rPr>
              <w:t>August 18, 2015</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Default="0089079E" w:rsidP="005B478C">
      <w:pPr>
        <w:jc w:val="both"/>
        <w:rPr>
          <w:rFonts w:ascii="Arial" w:hAnsi="Arial" w:cs="Arial"/>
        </w:rPr>
      </w:pPr>
      <w:r>
        <w:rPr>
          <w:rFonts w:ascii="Arial" w:hAnsi="Arial" w:cs="Arial"/>
        </w:rPr>
        <w:t>An ordinance</w:t>
      </w:r>
      <w:r w:rsidRPr="0089079E">
        <w:rPr>
          <w:rFonts w:ascii="Arial" w:hAnsi="Arial" w:cs="Arial"/>
        </w:rPr>
        <w:t xml:space="preserve"> authorizing an interlocal agreement </w:t>
      </w:r>
      <w:r w:rsidR="00F051D0">
        <w:rPr>
          <w:rFonts w:ascii="Arial" w:hAnsi="Arial" w:cs="Arial"/>
        </w:rPr>
        <w:t xml:space="preserve">(ILA) </w:t>
      </w:r>
      <w:r w:rsidRPr="0089079E">
        <w:rPr>
          <w:rFonts w:ascii="Arial" w:hAnsi="Arial" w:cs="Arial"/>
        </w:rPr>
        <w:t>with the town of Skykomish to provide landmark designation and protection services.</w:t>
      </w:r>
    </w:p>
    <w:p w:rsidR="0089079E" w:rsidRDefault="0089079E"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C75025" w:rsidRDefault="00F051D0" w:rsidP="005B478C">
      <w:pPr>
        <w:jc w:val="both"/>
        <w:rPr>
          <w:rFonts w:ascii="Arial" w:hAnsi="Arial" w:cs="Arial"/>
        </w:rPr>
      </w:pPr>
      <w:r w:rsidRPr="00F051D0">
        <w:rPr>
          <w:rFonts w:ascii="Arial" w:hAnsi="Arial" w:cs="Arial"/>
        </w:rPr>
        <w:t>Propos</w:t>
      </w:r>
      <w:r>
        <w:rPr>
          <w:rFonts w:ascii="Arial" w:hAnsi="Arial" w:cs="Arial"/>
        </w:rPr>
        <w:t>ed Ordinance 2015-0251 would</w:t>
      </w:r>
      <w:r w:rsidRPr="00F051D0">
        <w:rPr>
          <w:rFonts w:ascii="Arial" w:hAnsi="Arial" w:cs="Arial"/>
        </w:rPr>
        <w:t xml:space="preserve"> authorize the Executive to enter into an </w:t>
      </w:r>
      <w:r>
        <w:rPr>
          <w:rFonts w:ascii="Arial" w:hAnsi="Arial" w:cs="Arial"/>
        </w:rPr>
        <w:t>ILA</w:t>
      </w:r>
      <w:r w:rsidRPr="00F051D0">
        <w:rPr>
          <w:rFonts w:ascii="Arial" w:hAnsi="Arial" w:cs="Arial"/>
        </w:rPr>
        <w:t xml:space="preserve"> with the </w:t>
      </w:r>
      <w:r>
        <w:rPr>
          <w:rFonts w:ascii="Arial" w:hAnsi="Arial" w:cs="Arial"/>
        </w:rPr>
        <w:t>town of Skykomish</w:t>
      </w:r>
      <w:r w:rsidRPr="00F051D0">
        <w:rPr>
          <w:rFonts w:ascii="Arial" w:hAnsi="Arial" w:cs="Arial"/>
        </w:rPr>
        <w:t xml:space="preserve"> to provide lan</w:t>
      </w:r>
      <w:r>
        <w:rPr>
          <w:rFonts w:ascii="Arial" w:hAnsi="Arial" w:cs="Arial"/>
        </w:rPr>
        <w:t>dmark designation and protection</w:t>
      </w:r>
      <w:r w:rsidRPr="00F051D0">
        <w:rPr>
          <w:rFonts w:ascii="Arial" w:hAnsi="Arial" w:cs="Arial"/>
        </w:rPr>
        <w:t xml:space="preserve"> services for historic properties</w:t>
      </w:r>
      <w:r>
        <w:rPr>
          <w:rFonts w:ascii="Arial" w:hAnsi="Arial" w:cs="Arial"/>
        </w:rPr>
        <w:t xml:space="preserve"> within the town</w:t>
      </w:r>
      <w:r w:rsidRPr="00F051D0">
        <w:rPr>
          <w:rFonts w:ascii="Arial" w:hAnsi="Arial" w:cs="Arial"/>
        </w:rPr>
        <w:t xml:space="preserve">.  The </w:t>
      </w:r>
      <w:r w:rsidR="00B859B5">
        <w:rPr>
          <w:rFonts w:ascii="Arial" w:hAnsi="Arial" w:cs="Arial"/>
        </w:rPr>
        <w:t>proposed o</w:t>
      </w:r>
      <w:r w:rsidRPr="00F051D0">
        <w:rPr>
          <w:rFonts w:ascii="Arial" w:hAnsi="Arial" w:cs="Arial"/>
        </w:rPr>
        <w:t>rdinance notes the consistency of the agreement with established County policies.</w:t>
      </w:r>
    </w:p>
    <w:p w:rsidR="00F051D0" w:rsidRDefault="00F051D0" w:rsidP="005B478C">
      <w:pPr>
        <w:jc w:val="both"/>
        <w:rPr>
          <w:rFonts w:ascii="Arial" w:hAnsi="Arial" w:cs="Arial"/>
          <w:szCs w:val="24"/>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F051D0" w:rsidRDefault="00F051D0" w:rsidP="00F051D0">
      <w:pPr>
        <w:jc w:val="both"/>
        <w:rPr>
          <w:rFonts w:ascii="Arial" w:hAnsi="Arial"/>
        </w:rPr>
      </w:pPr>
      <w:r>
        <w:rPr>
          <w:rFonts w:ascii="Arial" w:hAnsi="Arial"/>
        </w:rPr>
        <w:t>King County's Landmarks Commission</w:t>
      </w:r>
      <w:r w:rsidR="00B859B5">
        <w:rPr>
          <w:rFonts w:ascii="Arial" w:hAnsi="Arial"/>
        </w:rPr>
        <w:t>, which is staffed by the Historic Preservation Program in the Department of Natural Resources and Parks,</w:t>
      </w:r>
      <w:r>
        <w:rPr>
          <w:rFonts w:ascii="Arial" w:hAnsi="Arial"/>
        </w:rPr>
        <w:t xml:space="preserve"> provides resource protection for historic and archaeological resources in unincorporated King County, including</w:t>
      </w:r>
      <w:r w:rsidR="00B859B5">
        <w:rPr>
          <w:rFonts w:ascii="Arial" w:hAnsi="Arial"/>
        </w:rPr>
        <w:t>:</w:t>
      </w:r>
    </w:p>
    <w:p w:rsidR="00B859B5" w:rsidRDefault="00B859B5" w:rsidP="00F051D0">
      <w:pPr>
        <w:jc w:val="both"/>
        <w:rPr>
          <w:rFonts w:ascii="Arial" w:hAnsi="Arial"/>
        </w:rPr>
      </w:pPr>
    </w:p>
    <w:p w:rsidR="00F051D0" w:rsidRDefault="00F051D0" w:rsidP="00F051D0">
      <w:pPr>
        <w:pStyle w:val="ListParagraph0"/>
        <w:numPr>
          <w:ilvl w:val="0"/>
          <w:numId w:val="43"/>
        </w:numPr>
        <w:tabs>
          <w:tab w:val="clear" w:pos="360"/>
          <w:tab w:val="num" w:pos="720"/>
        </w:tabs>
        <w:spacing w:line="240" w:lineRule="auto"/>
        <w:ind w:left="720" w:hanging="360"/>
        <w:jc w:val="both"/>
        <w:rPr>
          <w:rFonts w:ascii="Arial" w:hAnsi="Arial"/>
        </w:rPr>
      </w:pPr>
      <w:r>
        <w:rPr>
          <w:rFonts w:ascii="Arial" w:hAnsi="Arial"/>
        </w:rPr>
        <w:t xml:space="preserve">designating historic landmarks and landmark districts for inclusion within the Historic Register in King County; </w:t>
      </w:r>
    </w:p>
    <w:p w:rsidR="00F051D0" w:rsidRDefault="00F051D0" w:rsidP="00F051D0">
      <w:pPr>
        <w:pStyle w:val="ListParagraph0"/>
        <w:numPr>
          <w:ilvl w:val="0"/>
          <w:numId w:val="43"/>
        </w:numPr>
        <w:tabs>
          <w:tab w:val="clear" w:pos="360"/>
          <w:tab w:val="num" w:pos="720"/>
        </w:tabs>
        <w:spacing w:line="240" w:lineRule="auto"/>
        <w:ind w:left="720" w:hanging="360"/>
        <w:jc w:val="both"/>
        <w:rPr>
          <w:rFonts w:ascii="Arial" w:hAnsi="Arial"/>
        </w:rPr>
      </w:pPr>
      <w:r>
        <w:rPr>
          <w:rFonts w:ascii="Arial" w:hAnsi="Arial"/>
        </w:rPr>
        <w:t xml:space="preserve">designating community landmarks; </w:t>
      </w:r>
    </w:p>
    <w:p w:rsidR="00F051D0" w:rsidRDefault="00F051D0" w:rsidP="00F051D0">
      <w:pPr>
        <w:pStyle w:val="ListParagraph0"/>
        <w:numPr>
          <w:ilvl w:val="0"/>
          <w:numId w:val="43"/>
        </w:numPr>
        <w:tabs>
          <w:tab w:val="clear" w:pos="360"/>
          <w:tab w:val="num" w:pos="720"/>
        </w:tabs>
        <w:spacing w:line="240" w:lineRule="auto"/>
        <w:ind w:left="720" w:hanging="360"/>
        <w:jc w:val="both"/>
        <w:rPr>
          <w:rFonts w:ascii="Arial" w:hAnsi="Arial"/>
        </w:rPr>
      </w:pPr>
      <w:r>
        <w:rPr>
          <w:rFonts w:ascii="Arial" w:hAnsi="Arial"/>
        </w:rPr>
        <w:t>authorizing tax benefits for qualified historic properties; and</w:t>
      </w:r>
    </w:p>
    <w:p w:rsidR="00F051D0" w:rsidRDefault="00F051D0" w:rsidP="00F051D0">
      <w:pPr>
        <w:pStyle w:val="ListParagraph0"/>
        <w:numPr>
          <w:ilvl w:val="0"/>
          <w:numId w:val="43"/>
        </w:numPr>
        <w:tabs>
          <w:tab w:val="clear" w:pos="360"/>
          <w:tab w:val="num" w:pos="720"/>
        </w:tabs>
        <w:spacing w:line="240" w:lineRule="auto"/>
        <w:ind w:left="720" w:hanging="360"/>
        <w:jc w:val="both"/>
        <w:rPr>
          <w:rFonts w:ascii="Arial" w:hAnsi="Arial"/>
        </w:rPr>
      </w:pPr>
      <w:r>
        <w:rPr>
          <w:rFonts w:ascii="Arial" w:hAnsi="Arial"/>
        </w:rPr>
        <w:t xml:space="preserve">evaluating proposed changes to qualified historic properties for consistency with their Landmark status.  </w:t>
      </w:r>
    </w:p>
    <w:p w:rsidR="00575B03" w:rsidRDefault="00575B03" w:rsidP="005B478C">
      <w:pPr>
        <w:jc w:val="both"/>
        <w:rPr>
          <w:rFonts w:ascii="Arial" w:hAnsi="Arial" w:cs="Arial"/>
        </w:rPr>
      </w:pPr>
    </w:p>
    <w:p w:rsidR="00F051D0" w:rsidRDefault="00F051D0" w:rsidP="005B478C">
      <w:pPr>
        <w:jc w:val="both"/>
        <w:rPr>
          <w:rFonts w:ascii="Arial" w:hAnsi="Arial"/>
        </w:rPr>
      </w:pPr>
      <w:r>
        <w:rPr>
          <w:rFonts w:ascii="Arial" w:hAnsi="Arial"/>
        </w:rPr>
        <w:t>The Commission also contracts with cities within the County to provide landmark</w:t>
      </w:r>
      <w:r w:rsidR="00B859B5">
        <w:rPr>
          <w:rFonts w:ascii="Arial" w:hAnsi="Arial"/>
        </w:rPr>
        <w:t>in</w:t>
      </w:r>
      <w:r>
        <w:rPr>
          <w:rFonts w:ascii="Arial" w:hAnsi="Arial"/>
        </w:rPr>
        <w:t>g services.  To date, 21 cities have entered such agreements.</w:t>
      </w:r>
    </w:p>
    <w:p w:rsidR="00F051D0" w:rsidRDefault="00F051D0" w:rsidP="005B478C">
      <w:pPr>
        <w:jc w:val="both"/>
        <w:rPr>
          <w:rFonts w:ascii="Arial" w:hAnsi="Arial"/>
        </w:rPr>
      </w:pPr>
    </w:p>
    <w:p w:rsidR="00F051D0" w:rsidRDefault="00F051D0" w:rsidP="00F051D0">
      <w:pPr>
        <w:jc w:val="both"/>
        <w:rPr>
          <w:rFonts w:ascii="Arial" w:hAnsi="Arial"/>
        </w:rPr>
      </w:pPr>
      <w:r>
        <w:rPr>
          <w:rFonts w:ascii="Arial" w:hAnsi="Arial"/>
        </w:rPr>
        <w:t xml:space="preserve">The Executive has negotiated </w:t>
      </w:r>
      <w:r w:rsidR="00B859B5">
        <w:rPr>
          <w:rFonts w:ascii="Arial" w:hAnsi="Arial"/>
        </w:rPr>
        <w:t xml:space="preserve">an </w:t>
      </w:r>
      <w:r w:rsidR="00840179">
        <w:rPr>
          <w:rFonts w:ascii="Arial" w:hAnsi="Arial"/>
        </w:rPr>
        <w:t>ILA</w:t>
      </w:r>
      <w:r>
        <w:rPr>
          <w:rFonts w:ascii="Arial" w:hAnsi="Arial"/>
        </w:rPr>
        <w:t xml:space="preserve"> f</w:t>
      </w:r>
      <w:r w:rsidR="00840179">
        <w:rPr>
          <w:rFonts w:ascii="Arial" w:hAnsi="Arial"/>
        </w:rPr>
        <w:t xml:space="preserve">or landmarking services with Skykomish. </w:t>
      </w:r>
      <w:r>
        <w:rPr>
          <w:rFonts w:ascii="Arial" w:hAnsi="Arial"/>
        </w:rPr>
        <w:t>Key provisions o</w:t>
      </w:r>
      <w:r w:rsidR="00840179">
        <w:rPr>
          <w:rFonts w:ascii="Arial" w:hAnsi="Arial"/>
        </w:rPr>
        <w:t>f the agreement are:</w:t>
      </w:r>
      <w:r>
        <w:rPr>
          <w:rFonts w:ascii="Arial" w:hAnsi="Arial"/>
        </w:rPr>
        <w:t xml:space="preserve"> </w:t>
      </w:r>
    </w:p>
    <w:p w:rsidR="00B859B5" w:rsidRDefault="00B859B5">
      <w:pPr>
        <w:rPr>
          <w:rFonts w:ascii="Arial Bold" w:hAnsi="Arial Bold"/>
          <w:u w:val="single"/>
        </w:rPr>
      </w:pPr>
      <w:r>
        <w:rPr>
          <w:rFonts w:ascii="Arial Bold" w:hAnsi="Arial Bold"/>
          <w:u w:val="single"/>
        </w:rPr>
        <w:br w:type="page"/>
      </w:r>
    </w:p>
    <w:p w:rsidR="00F051D0" w:rsidRDefault="00F051D0" w:rsidP="00F051D0">
      <w:pPr>
        <w:jc w:val="both"/>
        <w:rPr>
          <w:rFonts w:ascii="Arial Bold" w:hAnsi="Arial Bold"/>
          <w:u w:val="single"/>
        </w:rPr>
      </w:pPr>
    </w:p>
    <w:p w:rsidR="00F051D0" w:rsidRPr="00840179" w:rsidRDefault="00F051D0" w:rsidP="00F051D0">
      <w:pPr>
        <w:jc w:val="both"/>
        <w:rPr>
          <w:rFonts w:ascii="Arial" w:hAnsi="Arial" w:cs="Arial"/>
          <w:u w:val="single"/>
        </w:rPr>
      </w:pPr>
      <w:r w:rsidRPr="00840179">
        <w:rPr>
          <w:rFonts w:ascii="Arial" w:hAnsi="Arial" w:cs="Arial"/>
          <w:u w:val="single"/>
        </w:rPr>
        <w:t>Ci</w:t>
      </w:r>
      <w:r w:rsidR="00840179">
        <w:rPr>
          <w:rFonts w:ascii="Arial" w:hAnsi="Arial" w:cs="Arial"/>
          <w:u w:val="single"/>
        </w:rPr>
        <w:t>ty Responsibilities:</w:t>
      </w:r>
    </w:p>
    <w:p w:rsidR="008A5EC8" w:rsidRDefault="008A5EC8" w:rsidP="008A5EC8">
      <w:pPr>
        <w:tabs>
          <w:tab w:val="left" w:pos="720"/>
        </w:tabs>
        <w:jc w:val="both"/>
        <w:rPr>
          <w:rFonts w:ascii="Arial" w:hAnsi="Arial"/>
        </w:rPr>
      </w:pPr>
    </w:p>
    <w:p w:rsidR="00840179" w:rsidRPr="008A5EC8" w:rsidRDefault="00F051D0" w:rsidP="008A5EC8">
      <w:pPr>
        <w:tabs>
          <w:tab w:val="left" w:pos="720"/>
        </w:tabs>
        <w:jc w:val="both"/>
        <w:rPr>
          <w:rFonts w:ascii="Arial Bold" w:hAnsi="Arial Bold"/>
          <w:u w:val="single"/>
        </w:rPr>
      </w:pPr>
      <w:r w:rsidRPr="008A5EC8">
        <w:rPr>
          <w:rFonts w:ascii="Arial" w:hAnsi="Arial"/>
        </w:rPr>
        <w:t>Adopt an ordinance establishing regulations and procedures for the designation and protection of historic structures and archaeological sites</w:t>
      </w:r>
      <w:r w:rsidR="00840179" w:rsidRPr="008A5EC8">
        <w:rPr>
          <w:rFonts w:ascii="Arial" w:hAnsi="Arial"/>
        </w:rPr>
        <w:t>, which should be substantially the same as provided for in KCC chapter 20.62.</w:t>
      </w:r>
    </w:p>
    <w:p w:rsidR="00840179" w:rsidRPr="00840179" w:rsidRDefault="00840179" w:rsidP="00840179">
      <w:pPr>
        <w:pStyle w:val="ListParagraph0"/>
        <w:tabs>
          <w:tab w:val="left" w:pos="720"/>
        </w:tabs>
        <w:jc w:val="both"/>
        <w:rPr>
          <w:rFonts w:ascii="Arial Bold" w:hAnsi="Arial Bold"/>
          <w:u w:val="single"/>
        </w:rPr>
      </w:pPr>
    </w:p>
    <w:p w:rsidR="00840179" w:rsidRDefault="00840179" w:rsidP="008A5EC8">
      <w:pPr>
        <w:tabs>
          <w:tab w:val="left" w:pos="720"/>
        </w:tabs>
        <w:jc w:val="both"/>
        <w:rPr>
          <w:rFonts w:ascii="Arial" w:hAnsi="Arial" w:cs="Arial"/>
          <w:u w:val="single"/>
        </w:rPr>
      </w:pPr>
      <w:r w:rsidRPr="00840179">
        <w:rPr>
          <w:rFonts w:ascii="Arial" w:hAnsi="Arial" w:cs="Arial"/>
          <w:u w:val="single"/>
        </w:rPr>
        <w:t>Cou</w:t>
      </w:r>
      <w:r>
        <w:rPr>
          <w:rFonts w:ascii="Arial" w:hAnsi="Arial" w:cs="Arial"/>
          <w:u w:val="single"/>
        </w:rPr>
        <w:t>nty Responsibilities</w:t>
      </w:r>
    </w:p>
    <w:p w:rsidR="008A5EC8" w:rsidRPr="00840179" w:rsidRDefault="008A5EC8" w:rsidP="008A5EC8">
      <w:pPr>
        <w:tabs>
          <w:tab w:val="left" w:pos="720"/>
        </w:tabs>
        <w:jc w:val="both"/>
        <w:rPr>
          <w:rFonts w:ascii="Arial" w:hAnsi="Arial" w:cs="Arial"/>
          <w:u w:val="single"/>
        </w:rPr>
      </w:pPr>
    </w:p>
    <w:p w:rsidR="00840179" w:rsidRPr="00840179" w:rsidRDefault="00840179" w:rsidP="00840179">
      <w:pPr>
        <w:pStyle w:val="ListParagraph0"/>
        <w:numPr>
          <w:ilvl w:val="0"/>
          <w:numId w:val="46"/>
        </w:numPr>
        <w:jc w:val="both"/>
        <w:rPr>
          <w:rFonts w:ascii="Arial Bold" w:hAnsi="Arial Bold"/>
          <w:u w:val="single"/>
        </w:rPr>
      </w:pPr>
      <w:r w:rsidRPr="00840179">
        <w:rPr>
          <w:rFonts w:ascii="Arial" w:hAnsi="Arial"/>
        </w:rPr>
        <w:t>Process landmark nomination applications, and provide planning, training and public information support activities;</w:t>
      </w:r>
    </w:p>
    <w:p w:rsidR="00840179" w:rsidRPr="00840179" w:rsidRDefault="00840179" w:rsidP="00840179">
      <w:pPr>
        <w:pStyle w:val="ListParagraph0"/>
        <w:numPr>
          <w:ilvl w:val="0"/>
          <w:numId w:val="46"/>
        </w:numPr>
        <w:tabs>
          <w:tab w:val="num" w:pos="1080"/>
        </w:tabs>
        <w:jc w:val="both"/>
        <w:rPr>
          <w:rFonts w:ascii="Arial Bold" w:hAnsi="Arial Bold"/>
          <w:u w:val="single"/>
        </w:rPr>
      </w:pPr>
      <w:r w:rsidRPr="00840179">
        <w:rPr>
          <w:rFonts w:ascii="Arial" w:hAnsi="Arial"/>
        </w:rPr>
        <w:t>Process Certificate of Appropriateness applications;</w:t>
      </w:r>
    </w:p>
    <w:p w:rsidR="00840179" w:rsidRPr="00840179" w:rsidRDefault="00840179" w:rsidP="00840179">
      <w:pPr>
        <w:pStyle w:val="ListParagraph0"/>
        <w:numPr>
          <w:ilvl w:val="0"/>
          <w:numId w:val="46"/>
        </w:numPr>
        <w:tabs>
          <w:tab w:val="num" w:pos="1080"/>
        </w:tabs>
        <w:jc w:val="both"/>
        <w:rPr>
          <w:rFonts w:ascii="Arial Bold" w:hAnsi="Arial Bold"/>
          <w:u w:val="single"/>
        </w:rPr>
      </w:pPr>
      <w:r w:rsidRPr="00840179">
        <w:rPr>
          <w:rFonts w:ascii="Arial" w:hAnsi="Arial"/>
        </w:rPr>
        <w:t>Act as the Local Review Board for special valuation of historic properties within the City;</w:t>
      </w:r>
    </w:p>
    <w:p w:rsidR="00840179" w:rsidRPr="008A5EC8" w:rsidRDefault="00840179" w:rsidP="00840179">
      <w:pPr>
        <w:pStyle w:val="ListParagraph0"/>
        <w:numPr>
          <w:ilvl w:val="0"/>
          <w:numId w:val="46"/>
        </w:numPr>
        <w:tabs>
          <w:tab w:val="num" w:pos="1080"/>
        </w:tabs>
        <w:jc w:val="both"/>
        <w:rPr>
          <w:rFonts w:ascii="Arial Bold" w:hAnsi="Arial Bold"/>
          <w:u w:val="single"/>
        </w:rPr>
      </w:pPr>
      <w:r w:rsidRPr="00840179">
        <w:rPr>
          <w:rFonts w:ascii="Arial" w:hAnsi="Arial"/>
        </w:rPr>
        <w:t>Comment on applications for permits that affect historic resources and archaeological sites</w:t>
      </w:r>
      <w:r w:rsidR="008A5EC8">
        <w:rPr>
          <w:rFonts w:ascii="Arial" w:hAnsi="Arial"/>
        </w:rPr>
        <w:t>; and</w:t>
      </w:r>
    </w:p>
    <w:p w:rsidR="008A5EC8" w:rsidRPr="008A5EC8" w:rsidRDefault="008A5EC8" w:rsidP="008A5EC8">
      <w:pPr>
        <w:pStyle w:val="ListParagraph0"/>
        <w:numPr>
          <w:ilvl w:val="0"/>
          <w:numId w:val="46"/>
        </w:numPr>
        <w:rPr>
          <w:rFonts w:ascii="Arial" w:hAnsi="Arial" w:cs="Arial"/>
        </w:rPr>
      </w:pPr>
      <w:r>
        <w:rPr>
          <w:rFonts w:ascii="Arial" w:hAnsi="Arial" w:cs="Arial"/>
        </w:rPr>
        <w:t>P</w:t>
      </w:r>
      <w:r w:rsidRPr="008A5EC8">
        <w:rPr>
          <w:rFonts w:ascii="Arial" w:hAnsi="Arial" w:cs="Arial"/>
        </w:rPr>
        <w:t>erform no work under this agreement without receiving the expr</w:t>
      </w:r>
      <w:r>
        <w:rPr>
          <w:rFonts w:ascii="Arial" w:hAnsi="Arial" w:cs="Arial"/>
        </w:rPr>
        <w:t>ess, written permission of the t</w:t>
      </w:r>
      <w:r w:rsidRPr="008A5EC8">
        <w:rPr>
          <w:rFonts w:ascii="Arial" w:hAnsi="Arial" w:cs="Arial"/>
        </w:rPr>
        <w:t>own of Skykomish.</w:t>
      </w:r>
    </w:p>
    <w:p w:rsidR="00840179" w:rsidRDefault="00840179" w:rsidP="00840179">
      <w:pPr>
        <w:jc w:val="both"/>
        <w:rPr>
          <w:rFonts w:ascii="Arial" w:hAnsi="Arial"/>
        </w:rPr>
      </w:pPr>
    </w:p>
    <w:p w:rsidR="00840179" w:rsidRPr="008A5EC8" w:rsidRDefault="008A5EC8" w:rsidP="008A5EC8">
      <w:pPr>
        <w:jc w:val="both"/>
        <w:rPr>
          <w:rFonts w:ascii="Arial" w:hAnsi="Arial" w:cs="Arial"/>
          <w:u w:val="single"/>
        </w:rPr>
      </w:pPr>
      <w:r>
        <w:rPr>
          <w:rFonts w:ascii="Arial" w:hAnsi="Arial" w:cs="Arial"/>
          <w:u w:val="single"/>
        </w:rPr>
        <w:t>Compensation</w:t>
      </w:r>
    </w:p>
    <w:p w:rsidR="008A5EC8" w:rsidRDefault="008A5EC8" w:rsidP="008A5EC8">
      <w:pPr>
        <w:jc w:val="both"/>
        <w:rPr>
          <w:rFonts w:ascii="Arial" w:hAnsi="Arial"/>
        </w:rPr>
      </w:pPr>
    </w:p>
    <w:p w:rsidR="008A5EC8" w:rsidRPr="008A5EC8" w:rsidRDefault="008A5EC8" w:rsidP="008A5EC8">
      <w:pPr>
        <w:jc w:val="both"/>
        <w:rPr>
          <w:rFonts w:ascii="Arial Bold" w:hAnsi="Arial Bold"/>
          <w:u w:val="single"/>
        </w:rPr>
      </w:pPr>
      <w:r w:rsidRPr="008A5EC8">
        <w:rPr>
          <w:rFonts w:ascii="Arial" w:hAnsi="Arial"/>
        </w:rPr>
        <w:t>Skykomish</w:t>
      </w:r>
      <w:r w:rsidR="00840179" w:rsidRPr="008A5EC8">
        <w:rPr>
          <w:rFonts w:ascii="Arial" w:hAnsi="Arial"/>
        </w:rPr>
        <w:t xml:space="preserve"> is to reimburse the County for </w:t>
      </w:r>
      <w:r w:rsidRPr="008A5EC8">
        <w:rPr>
          <w:rFonts w:ascii="Arial" w:hAnsi="Arial"/>
        </w:rPr>
        <w:t xml:space="preserve">all </w:t>
      </w:r>
      <w:r w:rsidR="00840179" w:rsidRPr="008A5EC8">
        <w:rPr>
          <w:rFonts w:ascii="Arial" w:hAnsi="Arial"/>
        </w:rPr>
        <w:t>cost</w:t>
      </w:r>
      <w:r w:rsidRPr="008A5EC8">
        <w:rPr>
          <w:rFonts w:ascii="Arial" w:hAnsi="Arial"/>
        </w:rPr>
        <w:t>s</w:t>
      </w:r>
      <w:r w:rsidR="00840179" w:rsidRPr="008A5EC8">
        <w:rPr>
          <w:rFonts w:ascii="Arial" w:hAnsi="Arial"/>
        </w:rPr>
        <w:t xml:space="preserve"> of services under this contract, including ove</w:t>
      </w:r>
      <w:r w:rsidRPr="008A5EC8">
        <w:rPr>
          <w:rFonts w:ascii="Arial" w:hAnsi="Arial"/>
        </w:rPr>
        <w:t>rhead and administrative costs.</w:t>
      </w:r>
    </w:p>
    <w:p w:rsidR="008A5EC8" w:rsidRDefault="008A5EC8" w:rsidP="005B478C">
      <w:pPr>
        <w:jc w:val="both"/>
        <w:rPr>
          <w:rFonts w:ascii="Arial" w:hAnsi="Arial" w:cs="Arial"/>
          <w:u w:val="single"/>
        </w:rPr>
      </w:pPr>
    </w:p>
    <w:p w:rsidR="00F051D0" w:rsidRDefault="008A5EC8" w:rsidP="005B478C">
      <w:pPr>
        <w:jc w:val="both"/>
        <w:rPr>
          <w:rFonts w:ascii="Arial" w:hAnsi="Arial" w:cs="Arial"/>
          <w:u w:val="single"/>
        </w:rPr>
      </w:pPr>
      <w:r>
        <w:rPr>
          <w:rFonts w:ascii="Arial" w:hAnsi="Arial" w:cs="Arial"/>
          <w:u w:val="single"/>
        </w:rPr>
        <w:t>Term</w:t>
      </w:r>
    </w:p>
    <w:p w:rsidR="008A5EC8" w:rsidRDefault="008A5EC8" w:rsidP="005B478C">
      <w:pPr>
        <w:jc w:val="both"/>
        <w:rPr>
          <w:rFonts w:ascii="Arial" w:hAnsi="Arial" w:cs="Arial"/>
        </w:rPr>
      </w:pPr>
    </w:p>
    <w:p w:rsidR="008A5EC8" w:rsidRPr="008A5EC8" w:rsidRDefault="008A5EC8" w:rsidP="005B478C">
      <w:pPr>
        <w:jc w:val="both"/>
        <w:rPr>
          <w:rFonts w:ascii="Arial" w:hAnsi="Arial" w:cs="Arial"/>
        </w:rPr>
      </w:pPr>
      <w:r>
        <w:rPr>
          <w:rFonts w:ascii="Arial" w:hAnsi="Arial" w:cs="Arial"/>
        </w:rPr>
        <w:t>The agreement would be effective upon execution and would continue until terminated.</w:t>
      </w:r>
    </w:p>
    <w:p w:rsidR="008A5EC8" w:rsidRDefault="008A5EC8" w:rsidP="005B478C">
      <w:pPr>
        <w:jc w:val="both"/>
        <w:rPr>
          <w:rFonts w:ascii="Arial" w:hAnsi="Arial" w:cs="Arial"/>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D656FB" w:rsidRDefault="00D656FB" w:rsidP="00D656FB">
      <w:pPr>
        <w:pStyle w:val="BodyText"/>
        <w:jc w:val="both"/>
        <w:rPr>
          <w:rFonts w:ascii="Arial" w:hAnsi="Arial" w:cs="Arial"/>
          <w:i w:val="0"/>
          <w:szCs w:val="24"/>
        </w:rPr>
      </w:pPr>
      <w:r>
        <w:rPr>
          <w:rFonts w:ascii="Arial" w:hAnsi="Arial" w:cs="Arial"/>
          <w:i w:val="0"/>
          <w:szCs w:val="24"/>
        </w:rPr>
        <w:t>King County is able to provide landmarking and protection services for Skykomish under the terms of this ILA.  The ILA is consistent with historic resource protection agreements with other contract cities. As with other suburban cities, King County has negotiated an ILA that provides for full-cost recovery, including overhead and indirect administrative costs.</w:t>
      </w:r>
    </w:p>
    <w:p w:rsidR="00D656FB" w:rsidRDefault="00D656FB" w:rsidP="00D656FB">
      <w:pPr>
        <w:pStyle w:val="BodyText"/>
        <w:jc w:val="both"/>
        <w:rPr>
          <w:rFonts w:ascii="Arial" w:hAnsi="Arial" w:cs="Arial"/>
          <w:i w:val="0"/>
          <w:szCs w:val="24"/>
        </w:rPr>
      </w:pPr>
    </w:p>
    <w:p w:rsidR="00D656FB" w:rsidRDefault="00D656FB" w:rsidP="00D656FB">
      <w:pPr>
        <w:pStyle w:val="BodyText"/>
        <w:jc w:val="both"/>
        <w:rPr>
          <w:rFonts w:ascii="Arial" w:hAnsi="Arial" w:cs="Arial"/>
          <w:i w:val="0"/>
          <w:szCs w:val="24"/>
        </w:rPr>
      </w:pPr>
      <w:r>
        <w:rPr>
          <w:rFonts w:ascii="Arial" w:hAnsi="Arial" w:cs="Arial"/>
          <w:i w:val="0"/>
          <w:szCs w:val="24"/>
        </w:rPr>
        <w:t xml:space="preserve">This proposed ordinance is consistent with county policies, including </w:t>
      </w:r>
      <w:r w:rsidRPr="00D656FB">
        <w:rPr>
          <w:rFonts w:ascii="Arial" w:hAnsi="Arial" w:cs="Arial"/>
          <w:i w:val="0"/>
          <w:szCs w:val="24"/>
        </w:rPr>
        <w:t>Comprehensive Plan Policy P-215, which states:</w:t>
      </w:r>
    </w:p>
    <w:p w:rsidR="00D656FB" w:rsidRDefault="00D656FB" w:rsidP="00D656FB">
      <w:pPr>
        <w:pStyle w:val="BodyText"/>
        <w:jc w:val="both"/>
        <w:rPr>
          <w:rFonts w:ascii="Arial" w:hAnsi="Arial" w:cs="Arial"/>
          <w:i w:val="0"/>
          <w:szCs w:val="24"/>
        </w:rPr>
      </w:pPr>
    </w:p>
    <w:p w:rsidR="00575B03" w:rsidRDefault="00D656FB" w:rsidP="00D656FB">
      <w:pPr>
        <w:pStyle w:val="BodyText"/>
        <w:tabs>
          <w:tab w:val="left" w:pos="720"/>
        </w:tabs>
        <w:ind w:left="720" w:right="720"/>
        <w:jc w:val="both"/>
        <w:rPr>
          <w:rFonts w:ascii="Arial" w:hAnsi="Arial" w:cs="Arial"/>
          <w:szCs w:val="24"/>
        </w:rPr>
      </w:pPr>
      <w:r w:rsidRPr="00D656FB">
        <w:rPr>
          <w:rFonts w:ascii="Arial" w:hAnsi="Arial" w:cs="Arial"/>
          <w:szCs w:val="24"/>
        </w:rPr>
        <w:t>King County shall work with cities to protect and enhance historic resources and public art located within city boundaries and annexation areas. The county shall advocate for and actively market its historic preservation services to agencies and cities that could benefit from such services.</w:t>
      </w:r>
    </w:p>
    <w:p w:rsidR="00D656FB" w:rsidRDefault="00D656FB" w:rsidP="00D656FB">
      <w:pPr>
        <w:pStyle w:val="BodyText"/>
        <w:tabs>
          <w:tab w:val="left" w:pos="720"/>
        </w:tabs>
        <w:ind w:left="720" w:right="720"/>
        <w:jc w:val="both"/>
        <w:rPr>
          <w:rFonts w:ascii="Arial" w:hAnsi="Arial" w:cs="Arial"/>
          <w:szCs w:val="24"/>
        </w:rPr>
      </w:pPr>
    </w:p>
    <w:p w:rsidR="00D656FB" w:rsidRDefault="00D656FB" w:rsidP="00D656FB">
      <w:pPr>
        <w:rPr>
          <w:rFonts w:ascii="Arial" w:hAnsi="Arial" w:cs="Arial"/>
        </w:rPr>
      </w:pPr>
      <w:r>
        <w:rPr>
          <w:rFonts w:ascii="Arial" w:hAnsi="Arial" w:cs="Arial"/>
        </w:rPr>
        <w:t>This ILA has been reviewed by Council L</w:t>
      </w:r>
      <w:r w:rsidR="0055791C">
        <w:rPr>
          <w:rFonts w:ascii="Arial" w:hAnsi="Arial" w:cs="Arial"/>
        </w:rPr>
        <w:t>egal Counsel.</w:t>
      </w:r>
    </w:p>
    <w:p w:rsidR="00D656FB" w:rsidRDefault="00D656FB" w:rsidP="00D656FB">
      <w:pPr>
        <w:rPr>
          <w:rFonts w:ascii="Arial" w:hAnsi="Arial" w:cs="Arial"/>
        </w:rPr>
      </w:pPr>
    </w:p>
    <w:p w:rsidR="00D656FB" w:rsidRPr="00D656FB" w:rsidRDefault="0055791C" w:rsidP="00D656FB">
      <w:pPr>
        <w:rPr>
          <w:rFonts w:ascii="Arial" w:hAnsi="Arial" w:cs="Arial"/>
        </w:rPr>
      </w:pPr>
      <w:r>
        <w:rPr>
          <w:rFonts w:ascii="Arial" w:hAnsi="Arial" w:cs="Arial"/>
        </w:rPr>
        <w:lastRenderedPageBreak/>
        <w:t>Consideration of this proposed ordinance is time sensitive as Skykomish would like to seek technical assistance under the terms of this agreement for a historic preservation project commencing in August 2015 within the town.</w:t>
      </w:r>
    </w:p>
    <w:p w:rsidR="00D656FB" w:rsidRPr="001C4B19" w:rsidRDefault="00D656FB" w:rsidP="005B478C">
      <w:pPr>
        <w:pStyle w:val="BodyText"/>
        <w:jc w:val="both"/>
        <w:rPr>
          <w:rFonts w:ascii="Arial" w:hAnsi="Arial" w:cs="Arial"/>
          <w:i w:val="0"/>
          <w:szCs w:val="24"/>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664648" w:rsidRPr="0055791C" w:rsidRDefault="00C521D8" w:rsidP="0055791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55791C">
        <w:rPr>
          <w:rFonts w:ascii="Arial" w:hAnsi="Arial" w:cs="Arial"/>
          <w:i w:val="0"/>
          <w:szCs w:val="24"/>
        </w:rPr>
        <w:t>Ordinance 2015-0251, and its attachments</w:t>
      </w:r>
    </w:p>
    <w:p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rsidR="00C521D8" w:rsidRPr="0055791C" w:rsidRDefault="00C521D8" w:rsidP="00FE670A">
      <w:pPr>
        <w:pStyle w:val="BodyText"/>
        <w:numPr>
          <w:ilvl w:val="0"/>
          <w:numId w:val="35"/>
        </w:numPr>
        <w:jc w:val="both"/>
        <w:rPr>
          <w:rFonts w:ascii="Arial" w:hAnsi="Arial" w:cs="Arial"/>
          <w:i w:val="0"/>
          <w:szCs w:val="24"/>
        </w:rPr>
      </w:pPr>
      <w:r w:rsidRPr="0055791C">
        <w:rPr>
          <w:rFonts w:ascii="Arial" w:hAnsi="Arial" w:cs="Arial"/>
          <w:i w:val="0"/>
          <w:szCs w:val="24"/>
        </w:rPr>
        <w:t>Fiscal Note</w:t>
      </w:r>
    </w:p>
    <w:sectPr w:rsidR="00C521D8" w:rsidRPr="0055791C"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C7" w:rsidRDefault="00DB50C7">
      <w:r>
        <w:separator/>
      </w:r>
    </w:p>
  </w:footnote>
  <w:footnote w:type="continuationSeparator" w:id="0">
    <w:p w:rsidR="00DB50C7" w:rsidRDefault="00DB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25" w:rsidRDefault="00C75025" w:rsidP="00C75025">
    <w:pPr>
      <w:jc w:val="center"/>
    </w:pPr>
    <w:r>
      <w:rPr>
        <w:noProof/>
      </w:rPr>
      <w:drawing>
        <wp:inline distT="0" distB="0" distL="0" distR="0" wp14:anchorId="0DD1B40D" wp14:editId="40F4FDD6">
          <wp:extent cx="1009650" cy="714375"/>
          <wp:effectExtent l="0" t="0" r="0" b="9525"/>
          <wp:docPr id="8" name="Picture 8"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2160"/>
        </w:tabs>
        <w:ind w:left="-2160" w:firstLine="720"/>
      </w:pPr>
      <w:rPr>
        <w:rFonts w:ascii="Lucida Grande" w:eastAsia="ヒラギノ角ゴ Pro W3" w:hAnsi="Symbol" w:hint="default"/>
        <w:color w:val="000000"/>
        <w:position w:val="0"/>
        <w:sz w:val="24"/>
      </w:rPr>
    </w:lvl>
    <w:lvl w:ilvl="1">
      <w:start w:val="1"/>
      <w:numFmt w:val="bullet"/>
      <w:lvlText w:val="o"/>
      <w:lvlJc w:val="left"/>
      <w:pPr>
        <w:tabs>
          <w:tab w:val="num" w:pos="-2160"/>
        </w:tabs>
        <w:ind w:left="-2160" w:firstLine="144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2160"/>
        </w:tabs>
        <w:ind w:left="-2160" w:firstLine="2160"/>
      </w:pPr>
      <w:rPr>
        <w:rFonts w:ascii="Wingdings" w:eastAsia="ヒラギノ角ゴ Pro W3" w:hAnsi="Wingdings" w:hint="default"/>
        <w:color w:val="000000"/>
        <w:position w:val="0"/>
        <w:sz w:val="24"/>
      </w:rPr>
    </w:lvl>
    <w:lvl w:ilvl="3">
      <w:start w:val="1"/>
      <w:numFmt w:val="bullet"/>
      <w:lvlText w:val="·"/>
      <w:lvlJc w:val="left"/>
      <w:pPr>
        <w:tabs>
          <w:tab w:val="num" w:pos="-2160"/>
        </w:tabs>
        <w:ind w:left="-2160" w:firstLine="2880"/>
      </w:pPr>
      <w:rPr>
        <w:rFonts w:ascii="Lucida Grande" w:eastAsia="ヒラギノ角ゴ Pro W3" w:hAnsi="Symbol" w:hint="default"/>
        <w:color w:val="000000"/>
        <w:position w:val="0"/>
        <w:sz w:val="24"/>
      </w:rPr>
    </w:lvl>
    <w:lvl w:ilvl="4">
      <w:start w:val="1"/>
      <w:numFmt w:val="bullet"/>
      <w:lvlText w:val="o"/>
      <w:lvlJc w:val="left"/>
      <w:pPr>
        <w:tabs>
          <w:tab w:val="num" w:pos="-2160"/>
        </w:tabs>
        <w:ind w:left="-2160" w:firstLine="360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2160"/>
        </w:tabs>
        <w:ind w:left="-2160" w:firstLine="4320"/>
      </w:pPr>
      <w:rPr>
        <w:rFonts w:ascii="Wingdings" w:eastAsia="ヒラギノ角ゴ Pro W3" w:hAnsi="Wingdings" w:hint="default"/>
        <w:color w:val="000000"/>
        <w:position w:val="0"/>
        <w:sz w:val="24"/>
      </w:rPr>
    </w:lvl>
    <w:lvl w:ilvl="6">
      <w:start w:val="1"/>
      <w:numFmt w:val="bullet"/>
      <w:lvlText w:val="·"/>
      <w:lvlJc w:val="left"/>
      <w:pPr>
        <w:tabs>
          <w:tab w:val="num" w:pos="-2160"/>
        </w:tabs>
        <w:ind w:left="-2160" w:firstLine="5040"/>
      </w:pPr>
      <w:rPr>
        <w:rFonts w:ascii="Lucida Grande" w:eastAsia="ヒラギノ角ゴ Pro W3" w:hAnsi="Symbol" w:hint="default"/>
        <w:color w:val="000000"/>
        <w:position w:val="0"/>
        <w:sz w:val="24"/>
      </w:rPr>
    </w:lvl>
    <w:lvl w:ilvl="7">
      <w:start w:val="1"/>
      <w:numFmt w:val="bullet"/>
      <w:lvlText w:val="o"/>
      <w:lvlJc w:val="left"/>
      <w:pPr>
        <w:tabs>
          <w:tab w:val="num" w:pos="-2160"/>
        </w:tabs>
        <w:ind w:left="-2160" w:firstLine="576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2160"/>
        </w:tabs>
        <w:ind w:left="-2160" w:firstLine="648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0"/>
        </w:tabs>
        <w:ind w:left="0" w:firstLine="108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80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0"/>
        </w:tabs>
        <w:ind w:left="0" w:firstLine="252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324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96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0"/>
        </w:tabs>
        <w:ind w:left="0" w:firstLine="468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540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612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0"/>
        </w:tabs>
        <w:ind w:left="0" w:firstLine="6840"/>
      </w:pPr>
      <w:rPr>
        <w:rFonts w:ascii="Wingdings" w:eastAsia="ヒラギノ角ゴ Pro W3" w:hAnsi="Wingdings" w:hint="default"/>
        <w:color w:val="000000"/>
        <w:position w:val="0"/>
        <w:sz w:val="24"/>
      </w:rPr>
    </w:lvl>
  </w:abstractNum>
  <w:abstractNum w:abstractNumId="3">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A642BA"/>
    <w:multiLevelType w:val="hybridMultilevel"/>
    <w:tmpl w:val="492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CD317E"/>
    <w:multiLevelType w:val="hybridMultilevel"/>
    <w:tmpl w:val="7A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15"/>
  </w:num>
  <w:num w:numId="4">
    <w:abstractNumId w:val="46"/>
  </w:num>
  <w:num w:numId="5">
    <w:abstractNumId w:val="43"/>
  </w:num>
  <w:num w:numId="6">
    <w:abstractNumId w:val="16"/>
  </w:num>
  <w:num w:numId="7">
    <w:abstractNumId w:val="44"/>
  </w:num>
  <w:num w:numId="8">
    <w:abstractNumId w:val="18"/>
  </w:num>
  <w:num w:numId="9">
    <w:abstractNumId w:val="6"/>
  </w:num>
  <w:num w:numId="10">
    <w:abstractNumId w:val="45"/>
  </w:num>
  <w:num w:numId="11">
    <w:abstractNumId w:val="5"/>
  </w:num>
  <w:num w:numId="12">
    <w:abstractNumId w:val="21"/>
  </w:num>
  <w:num w:numId="13">
    <w:abstractNumId w:val="24"/>
  </w:num>
  <w:num w:numId="14">
    <w:abstractNumId w:val="20"/>
  </w:num>
  <w:num w:numId="15">
    <w:abstractNumId w:val="26"/>
  </w:num>
  <w:num w:numId="16">
    <w:abstractNumId w:val="19"/>
  </w:num>
  <w:num w:numId="17">
    <w:abstractNumId w:val="38"/>
  </w:num>
  <w:num w:numId="18">
    <w:abstractNumId w:val="25"/>
  </w:num>
  <w:num w:numId="19">
    <w:abstractNumId w:val="34"/>
  </w:num>
  <w:num w:numId="20">
    <w:abstractNumId w:val="27"/>
  </w:num>
  <w:num w:numId="21">
    <w:abstractNumId w:val="11"/>
  </w:num>
  <w:num w:numId="22">
    <w:abstractNumId w:val="12"/>
  </w:num>
  <w:num w:numId="23">
    <w:abstractNumId w:val="3"/>
  </w:num>
  <w:num w:numId="24">
    <w:abstractNumId w:val="9"/>
  </w:num>
  <w:num w:numId="25">
    <w:abstractNumId w:val="7"/>
  </w:num>
  <w:num w:numId="26">
    <w:abstractNumId w:val="8"/>
  </w:num>
  <w:num w:numId="27">
    <w:abstractNumId w:val="23"/>
  </w:num>
  <w:num w:numId="28">
    <w:abstractNumId w:val="13"/>
  </w:num>
  <w:num w:numId="29">
    <w:abstractNumId w:val="31"/>
  </w:num>
  <w:num w:numId="30">
    <w:abstractNumId w:val="4"/>
  </w:num>
  <w:num w:numId="31">
    <w:abstractNumId w:val="36"/>
  </w:num>
  <w:num w:numId="32">
    <w:abstractNumId w:val="39"/>
  </w:num>
  <w:num w:numId="33">
    <w:abstractNumId w:val="17"/>
  </w:num>
  <w:num w:numId="34">
    <w:abstractNumId w:val="14"/>
  </w:num>
  <w:num w:numId="35">
    <w:abstractNumId w:val="10"/>
  </w:num>
  <w:num w:numId="36">
    <w:abstractNumId w:val="29"/>
  </w:num>
  <w:num w:numId="37">
    <w:abstractNumId w:val="40"/>
  </w:num>
  <w:num w:numId="38">
    <w:abstractNumId w:val="22"/>
  </w:num>
  <w:num w:numId="39">
    <w:abstractNumId w:val="35"/>
  </w:num>
  <w:num w:numId="40">
    <w:abstractNumId w:val="32"/>
  </w:num>
  <w:num w:numId="41">
    <w:abstractNumId w:val="41"/>
  </w:num>
  <w:num w:numId="42">
    <w:abstractNumId w:val="37"/>
  </w:num>
  <w:num w:numId="43">
    <w:abstractNumId w:val="0"/>
  </w:num>
  <w:num w:numId="44">
    <w:abstractNumId w:val="1"/>
  </w:num>
  <w:num w:numId="45">
    <w:abstractNumId w:val="2"/>
  </w:num>
  <w:num w:numId="46">
    <w:abstractNumId w:val="30"/>
  </w:num>
  <w:num w:numId="4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3D11"/>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91C"/>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0179"/>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079E"/>
    <w:rsid w:val="00892075"/>
    <w:rsid w:val="00892A2F"/>
    <w:rsid w:val="0089377A"/>
    <w:rsid w:val="00894CDD"/>
    <w:rsid w:val="00897140"/>
    <w:rsid w:val="008A1766"/>
    <w:rsid w:val="008A2B57"/>
    <w:rsid w:val="008A5B27"/>
    <w:rsid w:val="008A5EC8"/>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9B5"/>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56FB"/>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5D84"/>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51D0"/>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23052492">
      <w:bodyDiv w:val="1"/>
      <w:marLeft w:val="0"/>
      <w:marRight w:val="0"/>
      <w:marTop w:val="0"/>
      <w:marBottom w:val="0"/>
      <w:divBdr>
        <w:top w:val="none" w:sz="0" w:space="0" w:color="auto"/>
        <w:left w:val="none" w:sz="0" w:space="0" w:color="auto"/>
        <w:bottom w:val="none" w:sz="0" w:space="0" w:color="auto"/>
        <w:right w:val="none" w:sz="0" w:space="0" w:color="auto"/>
      </w:divBdr>
    </w:div>
    <w:div w:id="38542218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09237489">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35917217">
      <w:bodyDiv w:val="1"/>
      <w:marLeft w:val="0"/>
      <w:marRight w:val="0"/>
      <w:marTop w:val="0"/>
      <w:marBottom w:val="0"/>
      <w:divBdr>
        <w:top w:val="none" w:sz="0" w:space="0" w:color="auto"/>
        <w:left w:val="none" w:sz="0" w:space="0" w:color="auto"/>
        <w:bottom w:val="none" w:sz="0" w:space="0" w:color="auto"/>
        <w:right w:val="none" w:sz="0" w:space="0" w:color="auto"/>
      </w:divBdr>
    </w:div>
    <w:div w:id="661397632">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78448015">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75659009">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54432948">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60912839">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24048547">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0149">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256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E1C5-7A61-4EC1-8F1B-0EE512A5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495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5</cp:revision>
  <cp:lastPrinted>2015-03-13T15:09:00Z</cp:lastPrinted>
  <dcterms:created xsi:type="dcterms:W3CDTF">2015-07-29T15:13:00Z</dcterms:created>
  <dcterms:modified xsi:type="dcterms:W3CDTF">2015-08-13T22:29:00Z</dcterms:modified>
</cp:coreProperties>
</file>