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36D3" w14:textId="77777777" w:rsidR="00EB5A13" w:rsidRPr="00A46A5D" w:rsidRDefault="00EB5A13" w:rsidP="00EB5A13">
      <w:pPr>
        <w:pStyle w:val="Heading2"/>
        <w:rPr>
          <w:b w:val="0"/>
          <w:sz w:val="24"/>
          <w:u w:val="none"/>
        </w:rPr>
      </w:pPr>
    </w:p>
    <w:p w14:paraId="17CD221C"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3A23D67"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C703C5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21A58D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7CFAB7D" w14:textId="30723A0E" w:rsidR="00EB5A13" w:rsidRPr="009349D6" w:rsidRDefault="00FA388F" w:rsidP="00074A56">
            <w:pPr>
              <w:spacing w:before="40" w:after="40"/>
              <w:rPr>
                <w:rFonts w:ascii="Arial" w:hAnsi="Arial" w:cs="Arial"/>
              </w:rPr>
            </w:pPr>
            <w:r>
              <w:rPr>
                <w:rFonts w:ascii="Arial" w:hAnsi="Arial" w:cs="Arial"/>
              </w:rPr>
              <w:t>4 &amp; 5</w:t>
            </w:r>
          </w:p>
        </w:tc>
        <w:tc>
          <w:tcPr>
            <w:tcW w:w="1170" w:type="dxa"/>
            <w:tcBorders>
              <w:top w:val="single" w:sz="4" w:space="0" w:color="auto"/>
              <w:left w:val="single" w:sz="4" w:space="0" w:color="auto"/>
              <w:bottom w:val="single" w:sz="4" w:space="0" w:color="auto"/>
              <w:right w:val="single" w:sz="4" w:space="0" w:color="auto"/>
            </w:tcBorders>
            <w:vAlign w:val="center"/>
          </w:tcPr>
          <w:p w14:paraId="74F2C3D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04FB219" w14:textId="7AE532E6" w:rsidR="00EB5A13" w:rsidRPr="009349D6" w:rsidRDefault="005E061A" w:rsidP="00074A56">
            <w:pPr>
              <w:spacing w:before="40" w:after="40"/>
              <w:rPr>
                <w:rFonts w:ascii="Arial" w:hAnsi="Arial" w:cs="Arial"/>
              </w:rPr>
            </w:pPr>
            <w:r>
              <w:rPr>
                <w:rFonts w:ascii="Arial" w:hAnsi="Arial" w:cs="Arial"/>
              </w:rPr>
              <w:t>Erin Auzins</w:t>
            </w:r>
          </w:p>
        </w:tc>
      </w:tr>
      <w:tr w:rsidR="00EB5A13" w:rsidRPr="009349D6" w14:paraId="77B039C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8C734C9"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8991559" w14:textId="77777777" w:rsidR="00EB5A13" w:rsidRDefault="005E061A" w:rsidP="00074A56">
            <w:pPr>
              <w:spacing w:before="40" w:after="40"/>
              <w:rPr>
                <w:rFonts w:ascii="Arial" w:hAnsi="Arial" w:cs="Arial"/>
              </w:rPr>
            </w:pPr>
            <w:r w:rsidRPr="005E061A">
              <w:rPr>
                <w:rFonts w:ascii="Arial" w:hAnsi="Arial" w:cs="Arial"/>
              </w:rPr>
              <w:t>2022</w:t>
            </w:r>
            <w:r w:rsidRPr="005E061A">
              <w:rPr>
                <w:rFonts w:ascii="Arial" w:hAnsi="Arial" w:cs="Arial"/>
              </w:rPr>
              <w:noBreakHyphen/>
            </w:r>
            <w:r w:rsidR="007E2E94">
              <w:rPr>
                <w:rFonts w:ascii="Arial" w:hAnsi="Arial" w:cs="Arial"/>
              </w:rPr>
              <w:t>0147</w:t>
            </w:r>
          </w:p>
          <w:p w14:paraId="3D40EDCB" w14:textId="5A5CFFBB" w:rsidR="007E2E94" w:rsidRPr="009349D6" w:rsidRDefault="007E2E94" w:rsidP="00074A56">
            <w:pPr>
              <w:spacing w:before="40" w:after="40"/>
              <w:rPr>
                <w:rFonts w:ascii="Arial" w:hAnsi="Arial" w:cs="Arial"/>
              </w:rPr>
            </w:pPr>
            <w:r>
              <w:rPr>
                <w:rFonts w:ascii="Arial" w:hAnsi="Arial" w:cs="Arial"/>
              </w:rPr>
              <w:t>2022-0148</w:t>
            </w:r>
          </w:p>
        </w:tc>
        <w:tc>
          <w:tcPr>
            <w:tcW w:w="1170" w:type="dxa"/>
            <w:tcBorders>
              <w:top w:val="single" w:sz="4" w:space="0" w:color="auto"/>
              <w:left w:val="single" w:sz="4" w:space="0" w:color="auto"/>
              <w:bottom w:val="single" w:sz="4" w:space="0" w:color="auto"/>
              <w:right w:val="single" w:sz="4" w:space="0" w:color="auto"/>
            </w:tcBorders>
            <w:vAlign w:val="center"/>
          </w:tcPr>
          <w:p w14:paraId="7EEF585D"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F1DDCE6" w14:textId="3FAFA2A8" w:rsidR="00EB5A13" w:rsidRPr="009349D6" w:rsidRDefault="00FA388F" w:rsidP="00074A56">
            <w:pPr>
              <w:spacing w:before="40" w:after="40"/>
              <w:rPr>
                <w:rFonts w:ascii="Arial" w:hAnsi="Arial" w:cs="Arial"/>
              </w:rPr>
            </w:pPr>
            <w:r>
              <w:rPr>
                <w:rFonts w:ascii="Arial" w:hAnsi="Arial" w:cs="Arial"/>
              </w:rPr>
              <w:t>May 11</w:t>
            </w:r>
            <w:r w:rsidR="005E061A">
              <w:rPr>
                <w:rFonts w:ascii="Arial" w:hAnsi="Arial" w:cs="Arial"/>
              </w:rPr>
              <w:t>, 2022</w:t>
            </w:r>
          </w:p>
        </w:tc>
      </w:tr>
    </w:tbl>
    <w:p w14:paraId="3EA62392" w14:textId="77777777" w:rsidR="004349B7" w:rsidRDefault="004349B7" w:rsidP="00F31CDD">
      <w:pPr>
        <w:rPr>
          <w:rFonts w:ascii="Arial" w:hAnsi="Arial" w:cs="Arial"/>
          <w:b/>
          <w:smallCaps/>
          <w:szCs w:val="24"/>
          <w:u w:val="single"/>
        </w:rPr>
      </w:pPr>
    </w:p>
    <w:p w14:paraId="06AF7794"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148B0C96" w14:textId="77777777" w:rsidR="00074A56" w:rsidRDefault="00074A56" w:rsidP="005B478C">
      <w:pPr>
        <w:jc w:val="both"/>
        <w:rPr>
          <w:rFonts w:ascii="Arial" w:hAnsi="Arial" w:cs="Arial"/>
        </w:rPr>
      </w:pPr>
    </w:p>
    <w:p w14:paraId="356E833A" w14:textId="3E78894F" w:rsidR="00C75025" w:rsidRPr="00C75025" w:rsidRDefault="005E061A" w:rsidP="005B478C">
      <w:pPr>
        <w:jc w:val="both"/>
        <w:rPr>
          <w:rFonts w:ascii="Arial" w:hAnsi="Arial" w:cs="Arial"/>
          <w:b/>
          <w:u w:val="single"/>
        </w:rPr>
      </w:pPr>
      <w:r>
        <w:rPr>
          <w:rFonts w:ascii="Arial" w:hAnsi="Arial" w:cs="Arial"/>
        </w:rPr>
        <w:t>Proposed Ordinance</w:t>
      </w:r>
      <w:r w:rsidR="007E2E94">
        <w:rPr>
          <w:rFonts w:ascii="Arial" w:hAnsi="Arial" w:cs="Arial"/>
        </w:rPr>
        <w:t>s</w:t>
      </w:r>
      <w:r>
        <w:rPr>
          <w:rFonts w:ascii="Arial" w:hAnsi="Arial" w:cs="Arial"/>
        </w:rPr>
        <w:t xml:space="preserve"> </w:t>
      </w:r>
      <w:r w:rsidRPr="00965A1E">
        <w:rPr>
          <w:rFonts w:ascii="Arial" w:hAnsi="Arial" w:cs="Arial"/>
        </w:rPr>
        <w:t>2022-01</w:t>
      </w:r>
      <w:r w:rsidR="00965A1E" w:rsidRPr="00965A1E">
        <w:rPr>
          <w:rFonts w:ascii="Arial" w:hAnsi="Arial" w:cs="Arial"/>
        </w:rPr>
        <w:t>47 and</w:t>
      </w:r>
      <w:r w:rsidR="00A6488F" w:rsidRPr="00965A1E">
        <w:rPr>
          <w:rFonts w:ascii="Arial" w:hAnsi="Arial" w:cs="Arial"/>
        </w:rPr>
        <w:t xml:space="preserve"> </w:t>
      </w:r>
      <w:r w:rsidR="00E52E79" w:rsidRPr="00965A1E">
        <w:rPr>
          <w:rFonts w:ascii="Arial" w:hAnsi="Arial" w:cs="Arial"/>
        </w:rPr>
        <w:t>2022-01</w:t>
      </w:r>
      <w:r w:rsidR="00965A1E" w:rsidRPr="00965A1E">
        <w:rPr>
          <w:rFonts w:ascii="Arial" w:hAnsi="Arial" w:cs="Arial"/>
        </w:rPr>
        <w:t>48</w:t>
      </w:r>
      <w:r w:rsidRPr="00965A1E">
        <w:rPr>
          <w:rFonts w:ascii="Arial" w:hAnsi="Arial" w:cs="Arial"/>
        </w:rPr>
        <w:t xml:space="preserve"> would update the County's winery, brewery, and distillery</w:t>
      </w:r>
      <w:r w:rsidR="00CA3AF7" w:rsidRPr="00965A1E">
        <w:rPr>
          <w:rFonts w:ascii="Arial" w:hAnsi="Arial" w:cs="Arial"/>
        </w:rPr>
        <w:t xml:space="preserve"> (WBD)</w:t>
      </w:r>
      <w:r w:rsidRPr="00965A1E">
        <w:rPr>
          <w:rFonts w:ascii="Arial" w:hAnsi="Arial" w:cs="Arial"/>
        </w:rPr>
        <w:t xml:space="preserve"> regulations.</w:t>
      </w:r>
    </w:p>
    <w:p w14:paraId="6BAD0C67" w14:textId="77777777" w:rsidR="00C75025" w:rsidRDefault="00C75025" w:rsidP="005B478C">
      <w:pPr>
        <w:jc w:val="both"/>
        <w:rPr>
          <w:rFonts w:ascii="Arial" w:hAnsi="Arial" w:cs="Arial"/>
          <w:b/>
          <w:smallCaps/>
          <w:szCs w:val="24"/>
          <w:u w:val="single"/>
        </w:rPr>
      </w:pPr>
    </w:p>
    <w:p w14:paraId="68C1BE6E"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6BB37B44" w14:textId="77777777" w:rsidR="00074A56" w:rsidRDefault="00074A56" w:rsidP="005B478C">
      <w:pPr>
        <w:jc w:val="both"/>
        <w:rPr>
          <w:rFonts w:ascii="Arial" w:hAnsi="Arial" w:cs="Arial"/>
        </w:rPr>
      </w:pPr>
    </w:p>
    <w:p w14:paraId="0C3FE6D3" w14:textId="025E140F" w:rsidR="00716F37" w:rsidRDefault="00A6488F" w:rsidP="005B478C">
      <w:pPr>
        <w:jc w:val="both"/>
        <w:rPr>
          <w:rFonts w:ascii="Arial" w:hAnsi="Arial" w:cs="Arial"/>
        </w:rPr>
      </w:pPr>
      <w:r>
        <w:rPr>
          <w:rFonts w:ascii="Arial" w:hAnsi="Arial" w:cs="Arial"/>
        </w:rPr>
        <w:t xml:space="preserve">Ordinance 19030 was adopted in December 2019 after a years-long process to review and update the development regulations for wineries, breweries, and distilleries in unincorporated King County.  After appeal to the Growth Management Hearings Board, the Board </w:t>
      </w:r>
      <w:r w:rsidR="007E2E94">
        <w:rPr>
          <w:rFonts w:ascii="Arial" w:hAnsi="Arial" w:cs="Arial"/>
        </w:rPr>
        <w:t>found</w:t>
      </w:r>
      <w:r>
        <w:rPr>
          <w:rFonts w:ascii="Arial" w:hAnsi="Arial" w:cs="Arial"/>
        </w:rPr>
        <w:t xml:space="preserve"> Ordinance 19030 noncompliant with the Growth Management Act and invalid</w:t>
      </w:r>
      <w:r w:rsidR="0003256E">
        <w:rPr>
          <w:rFonts w:ascii="Arial" w:hAnsi="Arial" w:cs="Arial"/>
        </w:rPr>
        <w:t>.  There are two Proposed Ordinances before the Committee today, for Discussion and Possible Action.</w:t>
      </w:r>
    </w:p>
    <w:p w14:paraId="05F5CEAA" w14:textId="4205F4C6" w:rsidR="00A6488F" w:rsidRDefault="00A6488F" w:rsidP="005B478C">
      <w:pPr>
        <w:jc w:val="both"/>
        <w:rPr>
          <w:rFonts w:ascii="Arial" w:hAnsi="Arial" w:cs="Arial"/>
        </w:rPr>
      </w:pPr>
    </w:p>
    <w:p w14:paraId="798C1F6D" w14:textId="6A2ACD44" w:rsidR="00A6488F" w:rsidRDefault="00A6488F" w:rsidP="005B478C">
      <w:pPr>
        <w:jc w:val="both"/>
        <w:rPr>
          <w:rFonts w:ascii="Arial" w:hAnsi="Arial" w:cs="Arial"/>
        </w:rPr>
      </w:pPr>
      <w:r>
        <w:rPr>
          <w:rFonts w:ascii="Arial" w:hAnsi="Arial" w:cs="Arial"/>
        </w:rPr>
        <w:t>Proposed Ordinance 2022-01</w:t>
      </w:r>
      <w:r w:rsidR="00965A1E">
        <w:rPr>
          <w:rFonts w:ascii="Arial" w:hAnsi="Arial" w:cs="Arial"/>
        </w:rPr>
        <w:t>47</w:t>
      </w:r>
      <w:r>
        <w:rPr>
          <w:rFonts w:ascii="Arial" w:hAnsi="Arial" w:cs="Arial"/>
        </w:rPr>
        <w:t xml:space="preserve"> (Ordinance 1) would </w:t>
      </w:r>
      <w:r w:rsidR="00662E44">
        <w:rPr>
          <w:rFonts w:ascii="Arial" w:hAnsi="Arial" w:cs="Arial"/>
        </w:rPr>
        <w:t xml:space="preserve">consolidate the requirements for WBDs into one chapter of the code; and would </w:t>
      </w:r>
      <w:r>
        <w:rPr>
          <w:rFonts w:ascii="Arial" w:hAnsi="Arial" w:cs="Arial"/>
        </w:rPr>
        <w:t>modify</w:t>
      </w:r>
      <w:r w:rsidR="00C76B8C">
        <w:rPr>
          <w:rFonts w:ascii="Arial" w:hAnsi="Arial" w:cs="Arial"/>
        </w:rPr>
        <w:t xml:space="preserve"> the regulations adopted by Ordinance 19030</w:t>
      </w:r>
      <w:r w:rsidR="00662E44">
        <w:rPr>
          <w:rFonts w:ascii="Arial" w:hAnsi="Arial" w:cs="Arial"/>
        </w:rPr>
        <w:t>:</w:t>
      </w:r>
      <w:r>
        <w:rPr>
          <w:rFonts w:ascii="Arial" w:hAnsi="Arial" w:cs="Arial"/>
        </w:rPr>
        <w:t xml:space="preserve"> regulations for WBDs in the A and RA zones countywide, most notably to prohibit WBDs within the A zone; </w:t>
      </w:r>
      <w:r w:rsidR="00662E44">
        <w:rPr>
          <w:rFonts w:ascii="Arial" w:hAnsi="Arial" w:cs="Arial"/>
        </w:rPr>
        <w:t>regulations in the RA zone regarding water usage that would apply countywide except for Vashon-Maury Island; repeal remote tasting room demonstration project A; modify the regulations for events and temporary use permits for WBDs; and modify provisions related to definitions, state law references to on-site retail and tasting, nonconforming use status, and WBD land use licenses.</w:t>
      </w:r>
    </w:p>
    <w:p w14:paraId="49AA6F3E" w14:textId="2A7A6B87" w:rsidR="00A6488F" w:rsidRDefault="00A6488F" w:rsidP="005B478C">
      <w:pPr>
        <w:jc w:val="both"/>
        <w:rPr>
          <w:rFonts w:ascii="Arial" w:hAnsi="Arial" w:cs="Arial"/>
        </w:rPr>
      </w:pPr>
    </w:p>
    <w:p w14:paraId="45ADB059" w14:textId="677925D8" w:rsidR="00A6488F" w:rsidRDefault="00A6488F" w:rsidP="005B478C">
      <w:pPr>
        <w:jc w:val="both"/>
        <w:rPr>
          <w:rFonts w:ascii="Arial" w:hAnsi="Arial" w:cs="Arial"/>
        </w:rPr>
      </w:pPr>
      <w:r>
        <w:rPr>
          <w:rFonts w:ascii="Arial" w:hAnsi="Arial" w:cs="Arial"/>
        </w:rPr>
        <w:t xml:space="preserve">Proposed Ordinance </w:t>
      </w:r>
      <w:r w:rsidRPr="00C76B8C">
        <w:rPr>
          <w:rFonts w:ascii="Arial" w:hAnsi="Arial" w:cs="Arial"/>
        </w:rPr>
        <w:t>2022-01</w:t>
      </w:r>
      <w:r w:rsidR="00965A1E">
        <w:rPr>
          <w:rFonts w:ascii="Arial" w:hAnsi="Arial" w:cs="Arial"/>
        </w:rPr>
        <w:t>48</w:t>
      </w:r>
      <w:r w:rsidRPr="00C76B8C">
        <w:rPr>
          <w:rFonts w:ascii="Arial" w:hAnsi="Arial" w:cs="Arial"/>
        </w:rPr>
        <w:t xml:space="preserve"> (Ordinance 2) </w:t>
      </w:r>
      <w:r w:rsidR="00C76B8C" w:rsidRPr="00C76B8C">
        <w:rPr>
          <w:rFonts w:ascii="Arial" w:hAnsi="Arial" w:cs="Arial"/>
        </w:rPr>
        <w:t xml:space="preserve">would </w:t>
      </w:r>
      <w:r w:rsidR="00965A1E">
        <w:rPr>
          <w:rFonts w:ascii="Arial" w:hAnsi="Arial" w:cs="Arial"/>
        </w:rPr>
        <w:t>amend</w:t>
      </w:r>
      <w:r w:rsidR="00C76B8C" w:rsidRPr="00C76B8C">
        <w:rPr>
          <w:rFonts w:ascii="Arial" w:hAnsi="Arial" w:cs="Arial"/>
        </w:rPr>
        <w:t xml:space="preserve"> Ordinance 1, </w:t>
      </w:r>
      <w:r w:rsidR="00965A1E">
        <w:rPr>
          <w:rFonts w:ascii="Arial" w:hAnsi="Arial" w:cs="Arial"/>
        </w:rPr>
        <w:t>to</w:t>
      </w:r>
      <w:r w:rsidR="00662E44" w:rsidRPr="00C76B8C">
        <w:rPr>
          <w:rFonts w:ascii="Arial" w:hAnsi="Arial" w:cs="Arial"/>
        </w:rPr>
        <w:t xml:space="preserve"> allow WBDs in the UR zone, </w:t>
      </w:r>
      <w:r w:rsidR="00965A1E">
        <w:rPr>
          <w:rFonts w:ascii="Arial" w:hAnsi="Arial" w:cs="Arial"/>
        </w:rPr>
        <w:t>to</w:t>
      </w:r>
      <w:r w:rsidR="00662E44" w:rsidRPr="00C76B8C">
        <w:rPr>
          <w:rFonts w:ascii="Arial" w:hAnsi="Arial" w:cs="Arial"/>
        </w:rPr>
        <w:t xml:space="preserve"> </w:t>
      </w:r>
      <w:r w:rsidR="00662E44">
        <w:rPr>
          <w:rFonts w:ascii="Arial" w:hAnsi="Arial" w:cs="Arial"/>
        </w:rPr>
        <w:t>add a separation requirement between WBDs in the RA zone</w:t>
      </w:r>
      <w:r w:rsidR="00965A1E">
        <w:rPr>
          <w:rFonts w:ascii="Arial" w:hAnsi="Arial" w:cs="Arial"/>
        </w:rPr>
        <w:t xml:space="preserve">, and to </w:t>
      </w:r>
      <w:r w:rsidR="00E16CCE">
        <w:rPr>
          <w:rFonts w:ascii="Arial" w:hAnsi="Arial" w:cs="Arial"/>
        </w:rPr>
        <w:t>specify a requirement for compliance with the federal Clean Water Act.</w:t>
      </w:r>
    </w:p>
    <w:p w14:paraId="2DADC03D" w14:textId="7DB4A5CB" w:rsidR="00E16CCE" w:rsidRDefault="00E16CCE" w:rsidP="005B478C">
      <w:pPr>
        <w:jc w:val="both"/>
        <w:rPr>
          <w:rFonts w:ascii="Arial" w:hAnsi="Arial" w:cs="Arial"/>
        </w:rPr>
      </w:pPr>
    </w:p>
    <w:p w14:paraId="2AF9B4C2" w14:textId="77777777" w:rsidR="005D0EB7" w:rsidRDefault="00E16CCE" w:rsidP="005B478C">
      <w:pPr>
        <w:jc w:val="both"/>
        <w:rPr>
          <w:rFonts w:ascii="Arial" w:hAnsi="Arial" w:cs="Arial"/>
        </w:rPr>
      </w:pPr>
      <w:r>
        <w:rPr>
          <w:rFonts w:ascii="Arial" w:hAnsi="Arial" w:cs="Arial"/>
        </w:rPr>
        <w:t xml:space="preserve">There are striking amendments for each of the Proposed Ordinances.  The striking amendment for Ordinance 1 includes: streamlining the Findings, </w:t>
      </w:r>
      <w:r w:rsidR="00DE4463">
        <w:rPr>
          <w:rFonts w:ascii="Arial" w:hAnsi="Arial" w:cs="Arial"/>
        </w:rPr>
        <w:t xml:space="preserve">modify the development conditions for WBD I, II, and III in the RA zone (parking, septic requirements, </w:t>
      </w:r>
      <w:r w:rsidR="005D0EB7">
        <w:rPr>
          <w:rFonts w:ascii="Arial" w:hAnsi="Arial" w:cs="Arial"/>
        </w:rPr>
        <w:t>incidental sales, historic resources), modifying and clarifying the requirements for function and special events that require temporary use permits, and building permit and business license issuance.</w:t>
      </w:r>
    </w:p>
    <w:p w14:paraId="126E51B8" w14:textId="77777777" w:rsidR="005D0EB7" w:rsidRDefault="005D0EB7" w:rsidP="005B478C">
      <w:pPr>
        <w:jc w:val="both"/>
        <w:rPr>
          <w:rFonts w:ascii="Arial" w:hAnsi="Arial" w:cs="Arial"/>
        </w:rPr>
      </w:pPr>
    </w:p>
    <w:p w14:paraId="16496172" w14:textId="287CC63C" w:rsidR="00E16CCE" w:rsidRDefault="005D0EB7" w:rsidP="005B478C">
      <w:pPr>
        <w:jc w:val="both"/>
        <w:rPr>
          <w:rFonts w:ascii="Arial" w:hAnsi="Arial" w:cs="Arial"/>
        </w:rPr>
      </w:pPr>
      <w:r>
        <w:rPr>
          <w:rFonts w:ascii="Arial" w:hAnsi="Arial" w:cs="Arial"/>
        </w:rPr>
        <w:lastRenderedPageBreak/>
        <w:t xml:space="preserve">For Ordinance 2, the changes include: engrossing the changes made in Ordinance 1, </w:t>
      </w:r>
      <w:proofErr w:type="gramStart"/>
      <w:r>
        <w:rPr>
          <w:rFonts w:ascii="Arial" w:hAnsi="Arial" w:cs="Arial"/>
        </w:rPr>
        <w:t>modifying</w:t>
      </w:r>
      <w:proofErr w:type="gramEnd"/>
      <w:r>
        <w:rPr>
          <w:rFonts w:ascii="Arial" w:hAnsi="Arial" w:cs="Arial"/>
        </w:rPr>
        <w:t xml:space="preserve"> or clarifying the development conditions for WBD I, II, and III in the RA and UR zones (hours of operation, removing reference to federal laws, separation requirement), allowing wineries in the Industrial zone, and adding UR zone to business license provisions that are applied to the RA zone in Ordinance 1.</w:t>
      </w:r>
    </w:p>
    <w:p w14:paraId="0C79259D" w14:textId="0534DEDB" w:rsidR="00662E44" w:rsidRDefault="00662E44" w:rsidP="005B478C">
      <w:pPr>
        <w:jc w:val="both"/>
        <w:rPr>
          <w:rFonts w:ascii="Arial" w:hAnsi="Arial" w:cs="Arial"/>
        </w:rPr>
      </w:pPr>
    </w:p>
    <w:p w14:paraId="0A86E2E7" w14:textId="77777777" w:rsidR="00E15C29" w:rsidRPr="00716F37" w:rsidRDefault="00E15C29" w:rsidP="00662E44">
      <w:pPr>
        <w:keepNext/>
        <w:keepLines/>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73BB7EDF" w14:textId="77777777" w:rsidR="00074A56" w:rsidRDefault="00074A56" w:rsidP="00662E44">
      <w:pPr>
        <w:keepNext/>
        <w:keepLines/>
        <w:jc w:val="both"/>
        <w:rPr>
          <w:rFonts w:ascii="Arial" w:hAnsi="Arial" w:cs="Arial"/>
        </w:rPr>
      </w:pPr>
    </w:p>
    <w:p w14:paraId="4DAC7274" w14:textId="1B3E09CD" w:rsidR="005E061A" w:rsidRPr="004E3561" w:rsidRDefault="005E061A" w:rsidP="00662E44">
      <w:pPr>
        <w:keepNext/>
        <w:keepLines/>
        <w:jc w:val="both"/>
        <w:rPr>
          <w:rFonts w:ascii="Arial" w:hAnsi="Arial" w:cs="Arial"/>
        </w:rPr>
      </w:pPr>
      <w:r w:rsidRPr="005E061A">
        <w:rPr>
          <w:rFonts w:ascii="Arial" w:hAnsi="Arial" w:cs="Arial"/>
          <w:b/>
          <w:bCs/>
        </w:rPr>
        <w:t>Prior to Ordinance 19030.</w:t>
      </w:r>
      <w:r>
        <w:rPr>
          <w:rFonts w:ascii="Arial" w:hAnsi="Arial" w:cs="Arial"/>
        </w:rPr>
        <w:t xml:space="preserve"> </w:t>
      </w:r>
      <w:r w:rsidRPr="004E3561">
        <w:rPr>
          <w:rFonts w:ascii="Arial" w:hAnsi="Arial" w:cs="Arial"/>
        </w:rPr>
        <w:t>Wineries and breweries have been uses listed in the permitted use tables since at least the 1993 Zoning Code.</w:t>
      </w:r>
      <w:r>
        <w:rPr>
          <w:rStyle w:val="FootnoteReference"/>
          <w:rFonts w:ascii="Arial" w:hAnsi="Arial" w:cs="Arial"/>
        </w:rPr>
        <w:footnoteReference w:id="1"/>
      </w:r>
      <w:r w:rsidRPr="004E3561">
        <w:rPr>
          <w:rFonts w:ascii="Arial" w:hAnsi="Arial" w:cs="Arial"/>
        </w:rPr>
        <w:t xml:space="preserve"> </w:t>
      </w:r>
      <w:r>
        <w:rPr>
          <w:rFonts w:ascii="Arial" w:hAnsi="Arial" w:cs="Arial"/>
        </w:rPr>
        <w:t>Prior to Ordinance 19030, the development conditions had not changed since 2003,</w:t>
      </w:r>
      <w:r>
        <w:rPr>
          <w:rStyle w:val="FootnoteReference"/>
          <w:rFonts w:ascii="Arial" w:hAnsi="Arial" w:cs="Arial"/>
        </w:rPr>
        <w:footnoteReference w:id="2"/>
      </w:r>
      <w:r>
        <w:rPr>
          <w:rFonts w:ascii="Arial" w:hAnsi="Arial" w:cs="Arial"/>
        </w:rPr>
        <w:t xml:space="preserve"> when standards relating to minimum lot size, maximum building size, special event limitations, and product content were first adopted.</w:t>
      </w:r>
      <w:r w:rsidR="006C11DF">
        <w:rPr>
          <w:rStyle w:val="FootnoteReference"/>
          <w:rFonts w:ascii="Arial" w:hAnsi="Arial" w:cs="Arial"/>
        </w:rPr>
        <w:footnoteReference w:id="3"/>
      </w:r>
      <w:r>
        <w:rPr>
          <w:rFonts w:ascii="Arial" w:hAnsi="Arial" w:cs="Arial"/>
        </w:rPr>
        <w:t xml:space="preserve"> Distilleries were first recognized as a land use in 2013.</w:t>
      </w:r>
      <w:r>
        <w:rPr>
          <w:rStyle w:val="FootnoteReference"/>
          <w:rFonts w:ascii="Arial" w:hAnsi="Arial" w:cs="Arial"/>
        </w:rPr>
        <w:footnoteReference w:id="4"/>
      </w:r>
      <w:r>
        <w:rPr>
          <w:rFonts w:ascii="Arial" w:hAnsi="Arial" w:cs="Arial"/>
        </w:rPr>
        <w:t xml:space="preserve"> Wineries, breweries</w:t>
      </w:r>
      <w:r w:rsidR="00FC76A2">
        <w:rPr>
          <w:rFonts w:ascii="Arial" w:hAnsi="Arial" w:cs="Arial"/>
        </w:rPr>
        <w:t>,</w:t>
      </w:r>
      <w:r>
        <w:rPr>
          <w:rFonts w:ascii="Arial" w:hAnsi="Arial" w:cs="Arial"/>
        </w:rPr>
        <w:t xml:space="preserve"> and distilleries were considered the same land use category under the code, and for each zone in which they are allowed (either outright as a </w:t>
      </w:r>
      <w:r w:rsidR="00BB1067">
        <w:rPr>
          <w:rFonts w:ascii="Arial" w:hAnsi="Arial" w:cs="Arial"/>
        </w:rPr>
        <w:t>p</w:t>
      </w:r>
      <w:r>
        <w:rPr>
          <w:rFonts w:ascii="Arial" w:hAnsi="Arial" w:cs="Arial"/>
        </w:rPr>
        <w:t xml:space="preserve">ermitted use, or with a </w:t>
      </w:r>
      <w:r w:rsidR="00BB1067">
        <w:rPr>
          <w:rFonts w:ascii="Arial" w:hAnsi="Arial" w:cs="Arial"/>
        </w:rPr>
        <w:t>c</w:t>
      </w:r>
      <w:r>
        <w:rPr>
          <w:rFonts w:ascii="Arial" w:hAnsi="Arial" w:cs="Arial"/>
        </w:rPr>
        <w:t xml:space="preserve">onditional </w:t>
      </w:r>
      <w:r w:rsidR="00BB1067">
        <w:rPr>
          <w:rFonts w:ascii="Arial" w:hAnsi="Arial" w:cs="Arial"/>
        </w:rPr>
        <w:t>u</w:t>
      </w:r>
      <w:r>
        <w:rPr>
          <w:rFonts w:ascii="Arial" w:hAnsi="Arial" w:cs="Arial"/>
        </w:rPr>
        <w:t xml:space="preserve">se </w:t>
      </w:r>
      <w:r w:rsidR="00BB1067">
        <w:rPr>
          <w:rFonts w:ascii="Arial" w:hAnsi="Arial" w:cs="Arial"/>
        </w:rPr>
        <w:t>p</w:t>
      </w:r>
      <w:r>
        <w:rPr>
          <w:rFonts w:ascii="Arial" w:hAnsi="Arial" w:cs="Arial"/>
        </w:rPr>
        <w:t>ermit), they had the same development conditions.</w:t>
      </w:r>
    </w:p>
    <w:p w14:paraId="6BAFA407" w14:textId="77777777" w:rsidR="005E061A" w:rsidRDefault="005E061A" w:rsidP="005E061A">
      <w:pPr>
        <w:jc w:val="both"/>
        <w:rPr>
          <w:rFonts w:ascii="Arial" w:hAnsi="Arial" w:cs="Arial"/>
          <w:highlight w:val="yellow"/>
        </w:rPr>
      </w:pPr>
    </w:p>
    <w:p w14:paraId="4C34A338" w14:textId="485AF44D" w:rsidR="005E061A" w:rsidRDefault="005E061A" w:rsidP="005E061A">
      <w:pPr>
        <w:jc w:val="both"/>
        <w:rPr>
          <w:rFonts w:ascii="Arial" w:hAnsi="Arial" w:cs="Arial"/>
        </w:rPr>
      </w:pPr>
      <w:r w:rsidRPr="00CC0F64">
        <w:rPr>
          <w:rFonts w:ascii="Arial" w:hAnsi="Arial" w:cs="Arial"/>
        </w:rPr>
        <w:t xml:space="preserve">In 2010, the City of Woodinville submitted a docket request that would have expanded the </w:t>
      </w:r>
      <w:r w:rsidR="00BB1067">
        <w:rPr>
          <w:rFonts w:ascii="Arial" w:hAnsi="Arial" w:cs="Arial"/>
        </w:rPr>
        <w:t>u</w:t>
      </w:r>
      <w:r w:rsidRPr="00CC0F64">
        <w:rPr>
          <w:rFonts w:ascii="Arial" w:hAnsi="Arial" w:cs="Arial"/>
        </w:rPr>
        <w:t xml:space="preserve">rban </w:t>
      </w:r>
      <w:r w:rsidR="00BB1067">
        <w:rPr>
          <w:rFonts w:ascii="Arial" w:hAnsi="Arial" w:cs="Arial"/>
        </w:rPr>
        <w:t>g</w:t>
      </w:r>
      <w:r w:rsidRPr="00CC0F64">
        <w:rPr>
          <w:rFonts w:ascii="Arial" w:hAnsi="Arial" w:cs="Arial"/>
        </w:rPr>
        <w:t xml:space="preserve">rowth </w:t>
      </w:r>
      <w:r w:rsidR="00BB1067">
        <w:rPr>
          <w:rFonts w:ascii="Arial" w:hAnsi="Arial" w:cs="Arial"/>
        </w:rPr>
        <w:t>b</w:t>
      </w:r>
      <w:r w:rsidRPr="00CC0F64">
        <w:rPr>
          <w:rFonts w:ascii="Arial" w:hAnsi="Arial" w:cs="Arial"/>
        </w:rPr>
        <w:t>oundary and established new commercial zoning</w:t>
      </w:r>
      <w:r>
        <w:rPr>
          <w:rFonts w:ascii="Arial" w:hAnsi="Arial" w:cs="Arial"/>
        </w:rPr>
        <w:t xml:space="preserve"> for an area close to the Woodinville city limits</w:t>
      </w:r>
      <w:r w:rsidRPr="00CC0F64">
        <w:rPr>
          <w:rFonts w:ascii="Arial" w:hAnsi="Arial" w:cs="Arial"/>
        </w:rPr>
        <w:t>.</w:t>
      </w:r>
      <w:r>
        <w:rPr>
          <w:rFonts w:ascii="Arial" w:hAnsi="Arial" w:cs="Arial"/>
        </w:rPr>
        <w:t xml:space="preserve">  In 2011, a private resident submitted a similar docket request.  In each case, the County Executive did not support the proposal, and as part of the 2012 Comprehensive Plan Update,</w:t>
      </w:r>
      <w:r>
        <w:rPr>
          <w:rStyle w:val="FootnoteReference"/>
          <w:rFonts w:ascii="Arial" w:hAnsi="Arial" w:cs="Arial"/>
        </w:rPr>
        <w:footnoteReference w:id="5"/>
      </w:r>
      <w:r>
        <w:rPr>
          <w:rFonts w:ascii="Arial" w:hAnsi="Arial" w:cs="Arial"/>
        </w:rPr>
        <w:t xml:space="preserve"> the Council adopted a work plan item to work with the City of Woodinville on joint recommendations for wine and agriculture industries</w:t>
      </w:r>
      <w:r w:rsidR="000E606E">
        <w:rPr>
          <w:rFonts w:ascii="Arial" w:hAnsi="Arial" w:cs="Arial"/>
        </w:rPr>
        <w:t>.</w:t>
      </w:r>
    </w:p>
    <w:p w14:paraId="1A666CCB" w14:textId="77777777" w:rsidR="005E061A" w:rsidRDefault="005E061A" w:rsidP="005E061A">
      <w:pPr>
        <w:jc w:val="both"/>
        <w:rPr>
          <w:rFonts w:ascii="Arial" w:hAnsi="Arial" w:cs="Arial"/>
        </w:rPr>
      </w:pPr>
    </w:p>
    <w:p w14:paraId="4D3C1540" w14:textId="091B8C65" w:rsidR="005E061A" w:rsidRDefault="005E061A" w:rsidP="005E061A">
      <w:pPr>
        <w:jc w:val="both"/>
        <w:rPr>
          <w:rFonts w:ascii="Arial" w:hAnsi="Arial" w:cs="Arial"/>
        </w:rPr>
      </w:pPr>
      <w:r>
        <w:rPr>
          <w:rFonts w:ascii="Arial" w:hAnsi="Arial" w:cs="Arial"/>
        </w:rPr>
        <w:t>Following the 2012 Comprehensive Plan work program, and as part of the mid-biennial budget supplemental in 2016,</w:t>
      </w:r>
      <w:r>
        <w:rPr>
          <w:rStyle w:val="FootnoteReference"/>
          <w:rFonts w:ascii="Arial" w:hAnsi="Arial" w:cs="Arial"/>
        </w:rPr>
        <w:footnoteReference w:id="6"/>
      </w:r>
      <w:r>
        <w:rPr>
          <w:rFonts w:ascii="Arial" w:hAnsi="Arial" w:cs="Arial"/>
        </w:rPr>
        <w:t xml:space="preserve"> the Executive requested, and the Council approved, an appropriation of $75,000 for the Office of Performance, Strategy and Budget to hire a consultant to conduct a “[s]</w:t>
      </w:r>
      <w:proofErr w:type="spellStart"/>
      <w:r w:rsidRPr="00696300">
        <w:rPr>
          <w:rFonts w:ascii="Arial" w:hAnsi="Arial" w:cs="Arial"/>
        </w:rPr>
        <w:t>tudy</w:t>
      </w:r>
      <w:proofErr w:type="spellEnd"/>
      <w:r w:rsidRPr="00696300">
        <w:rPr>
          <w:rFonts w:ascii="Arial" w:hAnsi="Arial" w:cs="Arial"/>
        </w:rPr>
        <w:t xml:space="preserve"> to develop recommendations to improve the interface of the burgeoning wine industry with the surrounding communities. The funding will be used to secure consultant assistance to support the outreach, </w:t>
      </w:r>
      <w:proofErr w:type="gramStart"/>
      <w:r w:rsidRPr="00696300">
        <w:rPr>
          <w:rFonts w:ascii="Arial" w:hAnsi="Arial" w:cs="Arial"/>
        </w:rPr>
        <w:t>research</w:t>
      </w:r>
      <w:proofErr w:type="gramEnd"/>
      <w:r w:rsidRPr="00696300">
        <w:rPr>
          <w:rFonts w:ascii="Arial" w:hAnsi="Arial" w:cs="Arial"/>
        </w:rPr>
        <w:t xml:space="preserve"> and recommendation process. The study will focus on economic development, transportation, land use and agriculture in the Sammamish Valley area, and may also make recommendations for other parts of unincorporated King County as appropriate.</w:t>
      </w:r>
      <w:r>
        <w:rPr>
          <w:rFonts w:ascii="Arial" w:hAnsi="Arial" w:cs="Arial"/>
        </w:rPr>
        <w:t>”</w:t>
      </w:r>
    </w:p>
    <w:p w14:paraId="15082726" w14:textId="77777777" w:rsidR="005E061A" w:rsidRDefault="005E061A" w:rsidP="005E061A">
      <w:pPr>
        <w:jc w:val="both"/>
        <w:rPr>
          <w:rFonts w:ascii="Arial" w:hAnsi="Arial" w:cs="Arial"/>
        </w:rPr>
      </w:pPr>
    </w:p>
    <w:p w14:paraId="74D289AF" w14:textId="7A8B3D47" w:rsidR="005E061A" w:rsidRDefault="005E061A" w:rsidP="005E061A">
      <w:pPr>
        <w:jc w:val="both"/>
        <w:rPr>
          <w:rFonts w:ascii="Arial" w:hAnsi="Arial" w:cs="Arial"/>
        </w:rPr>
      </w:pPr>
      <w:r>
        <w:rPr>
          <w:rFonts w:ascii="Arial" w:hAnsi="Arial" w:cs="Arial"/>
        </w:rPr>
        <w:t>Around the same time, neighbors of wineries</w:t>
      </w:r>
      <w:r w:rsidR="00726694">
        <w:rPr>
          <w:rFonts w:ascii="Arial" w:hAnsi="Arial" w:cs="Arial"/>
        </w:rPr>
        <w:t xml:space="preserve"> and tasting rooms</w:t>
      </w:r>
      <w:r>
        <w:rPr>
          <w:rFonts w:ascii="Arial" w:hAnsi="Arial" w:cs="Arial"/>
        </w:rPr>
        <w:t xml:space="preserve"> within the Sammamish Valley filed </w:t>
      </w:r>
      <w:proofErr w:type="gramStart"/>
      <w:r>
        <w:rPr>
          <w:rFonts w:ascii="Arial" w:hAnsi="Arial" w:cs="Arial"/>
        </w:rPr>
        <w:t>a number of</w:t>
      </w:r>
      <w:proofErr w:type="gramEnd"/>
      <w:r>
        <w:rPr>
          <w:rFonts w:ascii="Arial" w:hAnsi="Arial" w:cs="Arial"/>
        </w:rPr>
        <w:t xml:space="preserve"> code enforcement complaints </w:t>
      </w:r>
      <w:r w:rsidR="00726694">
        <w:rPr>
          <w:rFonts w:ascii="Arial" w:hAnsi="Arial" w:cs="Arial"/>
        </w:rPr>
        <w:t xml:space="preserve">against </w:t>
      </w:r>
      <w:r w:rsidR="0089463A">
        <w:rPr>
          <w:rFonts w:ascii="Arial" w:hAnsi="Arial" w:cs="Arial"/>
        </w:rPr>
        <w:t xml:space="preserve">some of </w:t>
      </w:r>
      <w:r w:rsidR="00726694">
        <w:rPr>
          <w:rFonts w:ascii="Arial" w:hAnsi="Arial" w:cs="Arial"/>
        </w:rPr>
        <w:t xml:space="preserve">those businesses </w:t>
      </w:r>
      <w:r w:rsidR="00E361CE">
        <w:rPr>
          <w:rFonts w:ascii="Arial" w:hAnsi="Arial" w:cs="Arial"/>
        </w:rPr>
        <w:t xml:space="preserve">alleging they were </w:t>
      </w:r>
      <w:r>
        <w:rPr>
          <w:rFonts w:ascii="Arial" w:hAnsi="Arial" w:cs="Arial"/>
        </w:rPr>
        <w:t>operating in violation of the zoning code and</w:t>
      </w:r>
      <w:r w:rsidR="00BB1067">
        <w:rPr>
          <w:rFonts w:ascii="Arial" w:hAnsi="Arial" w:cs="Arial"/>
        </w:rPr>
        <w:t xml:space="preserve"> </w:t>
      </w:r>
      <w:r w:rsidR="0089463A">
        <w:rPr>
          <w:rFonts w:ascii="Arial" w:hAnsi="Arial" w:cs="Arial"/>
        </w:rPr>
        <w:t>some of them for construction activity</w:t>
      </w:r>
      <w:r>
        <w:rPr>
          <w:rFonts w:ascii="Arial" w:hAnsi="Arial" w:cs="Arial"/>
        </w:rPr>
        <w:t xml:space="preserve"> without required permits.  The Department of Permitting and Environmental Review (DPER)</w:t>
      </w:r>
      <w:r w:rsidR="002A3C2E">
        <w:rPr>
          <w:rFonts w:ascii="Arial" w:hAnsi="Arial" w:cs="Arial"/>
        </w:rPr>
        <w:t xml:space="preserve"> </w:t>
      </w:r>
      <w:r w:rsidR="00726694">
        <w:rPr>
          <w:rFonts w:ascii="Arial" w:hAnsi="Arial" w:cs="Arial"/>
        </w:rPr>
        <w:t>(now the Permitting Division</w:t>
      </w:r>
      <w:r w:rsidR="00DA7512">
        <w:rPr>
          <w:rFonts w:ascii="Arial" w:hAnsi="Arial" w:cs="Arial"/>
        </w:rPr>
        <w:t xml:space="preserve"> of the Department of Local Services</w:t>
      </w:r>
      <w:r w:rsidR="00726694">
        <w:rPr>
          <w:rFonts w:ascii="Arial" w:hAnsi="Arial" w:cs="Arial"/>
        </w:rPr>
        <w:t>)</w:t>
      </w:r>
      <w:r>
        <w:rPr>
          <w:rFonts w:ascii="Arial" w:hAnsi="Arial" w:cs="Arial"/>
        </w:rPr>
        <w:t xml:space="preserve">, knowing that the Executive would be beginning a study to look at policy recommendations, </w:t>
      </w:r>
      <w:r w:rsidR="0089463A">
        <w:rPr>
          <w:rFonts w:ascii="Arial" w:hAnsi="Arial" w:cs="Arial"/>
        </w:rPr>
        <w:t xml:space="preserve">offered </w:t>
      </w:r>
      <w:r>
        <w:rPr>
          <w:rFonts w:ascii="Arial" w:hAnsi="Arial" w:cs="Arial"/>
        </w:rPr>
        <w:t xml:space="preserve">settlement agreements </w:t>
      </w:r>
      <w:r w:rsidR="0089463A">
        <w:rPr>
          <w:rFonts w:ascii="Arial" w:hAnsi="Arial" w:cs="Arial"/>
        </w:rPr>
        <w:t>to all known WBD businesses</w:t>
      </w:r>
      <w:r w:rsidR="002F5230">
        <w:rPr>
          <w:rFonts w:ascii="Arial" w:hAnsi="Arial" w:cs="Arial"/>
        </w:rPr>
        <w:t xml:space="preserve"> – whether associated an alleged code violation or not - i</w:t>
      </w:r>
      <w:r w:rsidR="0089463A">
        <w:rPr>
          <w:rFonts w:ascii="Arial" w:hAnsi="Arial" w:cs="Arial"/>
        </w:rPr>
        <w:t>n unincorporated King County</w:t>
      </w:r>
      <w:r>
        <w:rPr>
          <w:rFonts w:ascii="Arial" w:hAnsi="Arial" w:cs="Arial"/>
        </w:rPr>
        <w:t xml:space="preserve">.  </w:t>
      </w:r>
      <w:r>
        <w:rPr>
          <w:rFonts w:ascii="Arial" w:hAnsi="Arial" w:cs="Arial"/>
        </w:rPr>
        <w:lastRenderedPageBreak/>
        <w:t xml:space="preserve">These settlement agreements </w:t>
      </w:r>
      <w:r w:rsidR="0089463A">
        <w:rPr>
          <w:rFonts w:ascii="Arial" w:hAnsi="Arial" w:cs="Arial"/>
        </w:rPr>
        <w:t xml:space="preserve">stated that the property/business owners </w:t>
      </w:r>
      <w:r>
        <w:rPr>
          <w:rFonts w:ascii="Arial" w:hAnsi="Arial" w:cs="Arial"/>
        </w:rPr>
        <w:t xml:space="preserve">acknowledged that aspects of the </w:t>
      </w:r>
      <w:r w:rsidR="0089463A">
        <w:rPr>
          <w:rFonts w:ascii="Arial" w:hAnsi="Arial" w:cs="Arial"/>
        </w:rPr>
        <w:t>WBD</w:t>
      </w:r>
      <w:r>
        <w:rPr>
          <w:rFonts w:ascii="Arial" w:hAnsi="Arial" w:cs="Arial"/>
        </w:rPr>
        <w:t xml:space="preserve"> uses </w:t>
      </w:r>
      <w:r w:rsidR="0089463A">
        <w:rPr>
          <w:rFonts w:ascii="Arial" w:hAnsi="Arial" w:cs="Arial"/>
        </w:rPr>
        <w:t>may</w:t>
      </w:r>
      <w:r>
        <w:rPr>
          <w:rFonts w:ascii="Arial" w:hAnsi="Arial" w:cs="Arial"/>
        </w:rPr>
        <w:t xml:space="preserve"> not </w:t>
      </w:r>
      <w:r w:rsidR="00E309D4">
        <w:rPr>
          <w:rFonts w:ascii="Arial" w:hAnsi="Arial" w:cs="Arial"/>
        </w:rPr>
        <w:t xml:space="preserve">be </w:t>
      </w:r>
      <w:r>
        <w:rPr>
          <w:rFonts w:ascii="Arial" w:hAnsi="Arial" w:cs="Arial"/>
        </w:rPr>
        <w:t xml:space="preserve">permitted, that the business owner would not increase </w:t>
      </w:r>
      <w:r w:rsidR="0089463A">
        <w:rPr>
          <w:rFonts w:ascii="Arial" w:hAnsi="Arial" w:cs="Arial"/>
        </w:rPr>
        <w:t xml:space="preserve">any </w:t>
      </w:r>
      <w:r>
        <w:rPr>
          <w:rFonts w:ascii="Arial" w:hAnsi="Arial" w:cs="Arial"/>
        </w:rPr>
        <w:t>non-</w:t>
      </w:r>
      <w:r w:rsidR="0089463A">
        <w:rPr>
          <w:rFonts w:ascii="Arial" w:hAnsi="Arial" w:cs="Arial"/>
        </w:rPr>
        <w:t>conformance</w:t>
      </w:r>
      <w:r>
        <w:rPr>
          <w:rFonts w:ascii="Arial" w:hAnsi="Arial" w:cs="Arial"/>
        </w:rPr>
        <w:t xml:space="preserve">, and that any life-safety issues would be corrected. In return, DPER would not move forward with any code enforcement process </w:t>
      </w:r>
      <w:r w:rsidR="002F5230">
        <w:rPr>
          <w:rFonts w:ascii="Arial" w:hAnsi="Arial" w:cs="Arial"/>
        </w:rPr>
        <w:t xml:space="preserve">for any alleged violations </w:t>
      </w:r>
      <w:r>
        <w:rPr>
          <w:rFonts w:ascii="Arial" w:hAnsi="Arial" w:cs="Arial"/>
        </w:rPr>
        <w:t>while the Executive’s study was being complete</w:t>
      </w:r>
      <w:r w:rsidR="00BB1067">
        <w:rPr>
          <w:rFonts w:ascii="Arial" w:hAnsi="Arial" w:cs="Arial"/>
        </w:rPr>
        <w:t>d</w:t>
      </w:r>
      <w:r>
        <w:rPr>
          <w:rFonts w:ascii="Arial" w:hAnsi="Arial" w:cs="Arial"/>
        </w:rPr>
        <w:t xml:space="preserve"> and before any legislative changes were considered and adopted by the Council.</w:t>
      </w:r>
    </w:p>
    <w:p w14:paraId="4BF8F735" w14:textId="77777777" w:rsidR="005E061A" w:rsidRDefault="005E061A" w:rsidP="005E061A">
      <w:pPr>
        <w:jc w:val="both"/>
        <w:rPr>
          <w:rFonts w:ascii="Arial" w:hAnsi="Arial" w:cs="Arial"/>
        </w:rPr>
      </w:pPr>
    </w:p>
    <w:p w14:paraId="2930972E" w14:textId="0EEEF4CF" w:rsidR="005E061A" w:rsidRPr="00CC0F64" w:rsidRDefault="005E061A" w:rsidP="005E061A">
      <w:pPr>
        <w:jc w:val="both"/>
        <w:rPr>
          <w:rFonts w:ascii="Arial" w:hAnsi="Arial" w:cs="Arial"/>
        </w:rPr>
      </w:pPr>
      <w:r>
        <w:rPr>
          <w:rFonts w:ascii="Arial" w:hAnsi="Arial" w:cs="Arial"/>
        </w:rPr>
        <w:t xml:space="preserve">Following approval of the budget supplemental request, the Executive formed a stakeholder group of Sammamish Valley wineries, agricultural interests, and the Cities of Woodinville and Redmond.  The consultant performed stakeholder </w:t>
      </w:r>
      <w:r w:rsidR="00FB1A59">
        <w:rPr>
          <w:rFonts w:ascii="Arial" w:hAnsi="Arial" w:cs="Arial"/>
        </w:rPr>
        <w:t>interviews and</w:t>
      </w:r>
      <w:r>
        <w:rPr>
          <w:rFonts w:ascii="Arial" w:hAnsi="Arial" w:cs="Arial"/>
        </w:rPr>
        <w:t xml:space="preserve"> held five meetings with the stakeholders to review the goals and priorities, </w:t>
      </w:r>
      <w:r w:rsidR="002F5230">
        <w:rPr>
          <w:rFonts w:ascii="Arial" w:hAnsi="Arial" w:cs="Arial"/>
        </w:rPr>
        <w:t>agricultural industry needs</w:t>
      </w:r>
      <w:r w:rsidR="00E361CE">
        <w:rPr>
          <w:rFonts w:ascii="Arial" w:hAnsi="Arial" w:cs="Arial"/>
        </w:rPr>
        <w:t xml:space="preserve"> and issues</w:t>
      </w:r>
      <w:r w:rsidR="002F5230">
        <w:rPr>
          <w:rFonts w:ascii="Arial" w:hAnsi="Arial" w:cs="Arial"/>
        </w:rPr>
        <w:t xml:space="preserve">, </w:t>
      </w:r>
      <w:r>
        <w:rPr>
          <w:rFonts w:ascii="Arial" w:hAnsi="Arial" w:cs="Arial"/>
        </w:rPr>
        <w:t>wine industry needs and issues, the issues with the existing development regulations, transportation issues, and potential policy changes and infrastructure improvements. The consultant also held an open public meeting and used an online public comment tool.  The stakeholder group and consultant provided a series of policy recommendations in their final report, issued in September 2016.</w:t>
      </w:r>
      <w:r>
        <w:rPr>
          <w:rStyle w:val="FootnoteReference"/>
          <w:rFonts w:ascii="Arial" w:hAnsi="Arial" w:cs="Arial"/>
        </w:rPr>
        <w:footnoteReference w:id="7"/>
      </w:r>
    </w:p>
    <w:p w14:paraId="48247AE7" w14:textId="77777777" w:rsidR="005E061A" w:rsidRDefault="005E061A" w:rsidP="005E061A">
      <w:pPr>
        <w:jc w:val="both"/>
        <w:rPr>
          <w:rFonts w:ascii="Arial" w:hAnsi="Arial" w:cs="Arial"/>
          <w:highlight w:val="yellow"/>
        </w:rPr>
      </w:pPr>
    </w:p>
    <w:p w14:paraId="3A8BDCCA" w14:textId="7CD6EB63" w:rsidR="005E061A" w:rsidRPr="005E33E6" w:rsidRDefault="00726694" w:rsidP="005E061A">
      <w:pPr>
        <w:jc w:val="both"/>
        <w:rPr>
          <w:rFonts w:ascii="Arial" w:hAnsi="Arial" w:cs="Arial"/>
        </w:rPr>
      </w:pPr>
      <w:r w:rsidRPr="00726694">
        <w:rPr>
          <w:rFonts w:ascii="Arial" w:hAnsi="Arial" w:cs="Arial"/>
        </w:rPr>
        <w:t xml:space="preserve">Between September 2016 and April 2018, the Executive worked on </w:t>
      </w:r>
      <w:r w:rsidRPr="005E33E6">
        <w:rPr>
          <w:rFonts w:ascii="Arial" w:hAnsi="Arial" w:cs="Arial"/>
        </w:rPr>
        <w:t>a series of proposed policy changes, as well as on improvements within the Sammamish Valley (shuttle van, trail connections, signage)</w:t>
      </w:r>
      <w:r>
        <w:rPr>
          <w:rFonts w:ascii="Arial" w:hAnsi="Arial" w:cs="Arial"/>
        </w:rPr>
        <w:t xml:space="preserve">. </w:t>
      </w:r>
      <w:r w:rsidR="005E061A">
        <w:rPr>
          <w:rFonts w:ascii="Arial" w:hAnsi="Arial" w:cs="Arial"/>
        </w:rPr>
        <w:t>A public review draft of the</w:t>
      </w:r>
      <w:r>
        <w:rPr>
          <w:rFonts w:ascii="Arial" w:hAnsi="Arial" w:cs="Arial"/>
        </w:rPr>
        <w:t xml:space="preserve"> Executive's</w:t>
      </w:r>
      <w:r w:rsidR="005E061A">
        <w:rPr>
          <w:rFonts w:ascii="Arial" w:hAnsi="Arial" w:cs="Arial"/>
        </w:rPr>
        <w:t xml:space="preserve"> proposed regulations was issued in June 2017, outlining an initial proposal for public comment.  After reviewing and considering the feedback on the public review draft, the Executive transmitted a final report and </w:t>
      </w:r>
      <w:hyperlink r:id="rId8" w:history="1">
        <w:r w:rsidR="005E061A" w:rsidRPr="000246E0">
          <w:rPr>
            <w:rStyle w:val="Hyperlink"/>
            <w:rFonts w:ascii="Arial" w:hAnsi="Arial" w:cs="Arial"/>
          </w:rPr>
          <w:t>Proposed Ordinance 2018-0241</w:t>
        </w:r>
      </w:hyperlink>
      <w:r w:rsidR="005E061A">
        <w:rPr>
          <w:rFonts w:ascii="Arial" w:hAnsi="Arial" w:cs="Arial"/>
        </w:rPr>
        <w:t xml:space="preserve"> </w:t>
      </w:r>
      <w:r w:rsidR="00CA3AF7">
        <w:rPr>
          <w:rFonts w:ascii="Arial" w:hAnsi="Arial" w:cs="Arial"/>
        </w:rPr>
        <w:t xml:space="preserve">(enacted as Ordinance 19030) </w:t>
      </w:r>
      <w:r w:rsidR="005E061A">
        <w:rPr>
          <w:rFonts w:ascii="Arial" w:hAnsi="Arial" w:cs="Arial"/>
        </w:rPr>
        <w:t>to the Council in April 2018.</w:t>
      </w:r>
    </w:p>
    <w:p w14:paraId="22A2084D" w14:textId="23E50026" w:rsidR="005E061A" w:rsidRDefault="005E061A" w:rsidP="005E061A">
      <w:pPr>
        <w:rPr>
          <w:rFonts w:ascii="Arial" w:hAnsi="Arial" w:cs="Arial"/>
          <w:b/>
          <w:smallCaps/>
          <w:szCs w:val="24"/>
          <w:u w:val="single"/>
        </w:rPr>
      </w:pPr>
    </w:p>
    <w:p w14:paraId="23436582" w14:textId="5D30A6E7" w:rsidR="00CA3AF7" w:rsidRDefault="00CA3AF7" w:rsidP="000246E0">
      <w:pPr>
        <w:jc w:val="both"/>
        <w:rPr>
          <w:rFonts w:ascii="Arial" w:hAnsi="Arial" w:cs="Arial"/>
        </w:rPr>
      </w:pPr>
      <w:r w:rsidRPr="00CA3AF7">
        <w:rPr>
          <w:rFonts w:ascii="Arial" w:hAnsi="Arial" w:cs="Arial"/>
          <w:b/>
          <w:bCs/>
        </w:rPr>
        <w:t>Ordinance 19030.</w:t>
      </w:r>
      <w:r>
        <w:rPr>
          <w:rFonts w:ascii="Arial" w:hAnsi="Arial" w:cs="Arial"/>
        </w:rPr>
        <w:t xml:space="preserve">  Ordinance 19030 was adopted in December 2019, after seven Committee meetings, a town hall meeting and two public hearings at full Council.  Ordinance 19030 substantive</w:t>
      </w:r>
      <w:r w:rsidR="00FE007A">
        <w:rPr>
          <w:rFonts w:ascii="Arial" w:hAnsi="Arial" w:cs="Arial"/>
        </w:rPr>
        <w:t>ly</w:t>
      </w:r>
      <w:r>
        <w:rPr>
          <w:rFonts w:ascii="Arial" w:hAnsi="Arial" w:cs="Arial"/>
        </w:rPr>
        <w:t xml:space="preserve"> modified the regulations for WBDs in </w:t>
      </w:r>
      <w:r w:rsidR="00FE007A">
        <w:rPr>
          <w:rFonts w:ascii="Arial" w:hAnsi="Arial" w:cs="Arial"/>
        </w:rPr>
        <w:t>several</w:t>
      </w:r>
      <w:r>
        <w:rPr>
          <w:rFonts w:ascii="Arial" w:hAnsi="Arial" w:cs="Arial"/>
        </w:rPr>
        <w:t xml:space="preserve"> ways, including:</w:t>
      </w:r>
    </w:p>
    <w:p w14:paraId="6A7A7DA7" w14:textId="03079B8E" w:rsidR="00CA3AF7" w:rsidRDefault="00CA3AF7" w:rsidP="000246E0">
      <w:pPr>
        <w:jc w:val="both"/>
        <w:rPr>
          <w:rFonts w:ascii="Arial" w:hAnsi="Arial" w:cs="Arial"/>
        </w:rPr>
      </w:pPr>
    </w:p>
    <w:p w14:paraId="55E74797" w14:textId="6B70895E" w:rsidR="00CA3AF7" w:rsidRDefault="00CA3AF7" w:rsidP="00E10A51">
      <w:pPr>
        <w:pStyle w:val="ListParagraph0"/>
        <w:numPr>
          <w:ilvl w:val="0"/>
          <w:numId w:val="4"/>
        </w:numPr>
        <w:jc w:val="both"/>
        <w:rPr>
          <w:rFonts w:ascii="Arial" w:hAnsi="Arial" w:cs="Arial"/>
        </w:rPr>
      </w:pPr>
      <w:r>
        <w:rPr>
          <w:rFonts w:ascii="Arial" w:hAnsi="Arial" w:cs="Arial"/>
        </w:rPr>
        <w:t xml:space="preserve">Establishing a </w:t>
      </w:r>
      <w:r w:rsidR="00EE5070">
        <w:rPr>
          <w:rFonts w:ascii="Arial" w:hAnsi="Arial" w:cs="Arial"/>
        </w:rPr>
        <w:t>c</w:t>
      </w:r>
      <w:r>
        <w:rPr>
          <w:rFonts w:ascii="Arial" w:hAnsi="Arial" w:cs="Arial"/>
        </w:rPr>
        <w:t>ounty business license</w:t>
      </w:r>
      <w:r w:rsidR="00A37E33">
        <w:rPr>
          <w:rFonts w:ascii="Arial" w:hAnsi="Arial" w:cs="Arial"/>
        </w:rPr>
        <w:t xml:space="preserve"> to aid in enforcement of the</w:t>
      </w:r>
      <w:r w:rsidR="002F5230">
        <w:rPr>
          <w:rFonts w:ascii="Arial" w:hAnsi="Arial" w:cs="Arial"/>
        </w:rPr>
        <w:t xml:space="preserve"> land use</w:t>
      </w:r>
      <w:r w:rsidR="00A37E33">
        <w:rPr>
          <w:rFonts w:ascii="Arial" w:hAnsi="Arial" w:cs="Arial"/>
        </w:rPr>
        <w:t xml:space="preserve"> regulations.</w:t>
      </w:r>
    </w:p>
    <w:p w14:paraId="0F3B52D3" w14:textId="08FEE94A" w:rsidR="000246E0" w:rsidRPr="00524F0C" w:rsidRDefault="00A37E33" w:rsidP="00524F0C">
      <w:pPr>
        <w:pStyle w:val="ListParagraph0"/>
        <w:numPr>
          <w:ilvl w:val="0"/>
          <w:numId w:val="4"/>
        </w:numPr>
        <w:jc w:val="both"/>
        <w:rPr>
          <w:rFonts w:ascii="Arial" w:hAnsi="Arial" w:cs="Arial"/>
        </w:rPr>
      </w:pPr>
      <w:r w:rsidRPr="00524F0C">
        <w:rPr>
          <w:rFonts w:ascii="Arial" w:hAnsi="Arial" w:cs="Arial"/>
        </w:rPr>
        <w:t xml:space="preserve">Changing the structure of the regulations from a two-tiered approach to a three-tiered approach. The former code regulated WBDs as either a </w:t>
      </w:r>
      <w:r w:rsidR="00FE007A" w:rsidRPr="00524F0C">
        <w:rPr>
          <w:rFonts w:ascii="Arial" w:hAnsi="Arial" w:cs="Arial"/>
        </w:rPr>
        <w:t>p</w:t>
      </w:r>
      <w:r w:rsidRPr="00524F0C">
        <w:rPr>
          <w:rFonts w:ascii="Arial" w:hAnsi="Arial" w:cs="Arial"/>
        </w:rPr>
        <w:t xml:space="preserve">ermitted </w:t>
      </w:r>
      <w:r w:rsidR="00FE007A" w:rsidRPr="00524F0C">
        <w:rPr>
          <w:rFonts w:ascii="Arial" w:hAnsi="Arial" w:cs="Arial"/>
        </w:rPr>
        <w:t>u</w:t>
      </w:r>
      <w:r w:rsidRPr="00524F0C">
        <w:rPr>
          <w:rFonts w:ascii="Arial" w:hAnsi="Arial" w:cs="Arial"/>
        </w:rPr>
        <w:t xml:space="preserve">se or a </w:t>
      </w:r>
      <w:r w:rsidR="00FE007A" w:rsidRPr="00524F0C">
        <w:rPr>
          <w:rFonts w:ascii="Arial" w:hAnsi="Arial" w:cs="Arial"/>
        </w:rPr>
        <w:t>c</w:t>
      </w:r>
      <w:r w:rsidRPr="00524F0C">
        <w:rPr>
          <w:rFonts w:ascii="Arial" w:hAnsi="Arial" w:cs="Arial"/>
        </w:rPr>
        <w:t xml:space="preserve">onditional </w:t>
      </w:r>
      <w:r w:rsidR="00FE007A" w:rsidRPr="00524F0C">
        <w:rPr>
          <w:rFonts w:ascii="Arial" w:hAnsi="Arial" w:cs="Arial"/>
        </w:rPr>
        <w:t>u</w:t>
      </w:r>
      <w:r w:rsidRPr="00524F0C">
        <w:rPr>
          <w:rFonts w:ascii="Arial" w:hAnsi="Arial" w:cs="Arial"/>
        </w:rPr>
        <w:t xml:space="preserve">se, while Ordinance 19030 adopted regulations for </w:t>
      </w:r>
      <w:r w:rsidR="000246E0" w:rsidRPr="00524F0C">
        <w:rPr>
          <w:rFonts w:ascii="Arial" w:hAnsi="Arial" w:cs="Arial"/>
        </w:rPr>
        <w:t xml:space="preserve">production </w:t>
      </w:r>
      <w:r w:rsidRPr="00524F0C">
        <w:rPr>
          <w:rFonts w:ascii="Arial" w:hAnsi="Arial" w:cs="Arial"/>
        </w:rPr>
        <w:t>WBD I (very</w:t>
      </w:r>
      <w:r w:rsidR="00EE5070" w:rsidRPr="00524F0C">
        <w:rPr>
          <w:rFonts w:ascii="Arial" w:hAnsi="Arial" w:cs="Arial"/>
        </w:rPr>
        <w:t xml:space="preserve"> </w:t>
      </w:r>
      <w:r w:rsidRPr="00524F0C">
        <w:rPr>
          <w:rFonts w:ascii="Arial" w:hAnsi="Arial" w:cs="Arial"/>
        </w:rPr>
        <w:t>small), WBD II (small), and WBD III.</w:t>
      </w:r>
      <w:r w:rsidR="00524F0C" w:rsidRPr="00524F0C">
        <w:rPr>
          <w:rFonts w:ascii="Arial" w:hAnsi="Arial" w:cs="Arial"/>
        </w:rPr>
        <w:t xml:space="preserve"> </w:t>
      </w:r>
      <w:r w:rsidR="00EE5070" w:rsidRPr="00524F0C">
        <w:rPr>
          <w:rFonts w:ascii="Arial" w:hAnsi="Arial" w:cs="Arial"/>
        </w:rPr>
        <w:t>E</w:t>
      </w:r>
      <w:r w:rsidR="000246E0" w:rsidRPr="00524F0C">
        <w:rPr>
          <w:rFonts w:ascii="Arial" w:hAnsi="Arial" w:cs="Arial"/>
        </w:rPr>
        <w:t>stablishing WBD I, II and II</w:t>
      </w:r>
      <w:r w:rsidR="00FE007A" w:rsidRPr="00524F0C">
        <w:rPr>
          <w:rFonts w:ascii="Arial" w:hAnsi="Arial" w:cs="Arial"/>
        </w:rPr>
        <w:t>I</w:t>
      </w:r>
      <w:r w:rsidR="000246E0" w:rsidRPr="00524F0C">
        <w:rPr>
          <w:rFonts w:ascii="Arial" w:hAnsi="Arial" w:cs="Arial"/>
        </w:rPr>
        <w:t>s in the Manufacturing Land Uses permitted use table with varying development conditions for each zone and size of facility; more stringent conditions were adopted for the A and RA zones to reflect the need to protect those lands as required by the King County Comprehensive Plan and Washington State Growth Management Act</w:t>
      </w:r>
      <w:r w:rsidR="00DA7512" w:rsidRPr="00524F0C">
        <w:rPr>
          <w:rFonts w:ascii="Arial" w:hAnsi="Arial" w:cs="Arial"/>
        </w:rPr>
        <w:t xml:space="preserve"> (GMA)</w:t>
      </w:r>
      <w:r w:rsidR="000246E0" w:rsidRPr="00524F0C">
        <w:rPr>
          <w:rFonts w:ascii="Arial" w:hAnsi="Arial" w:cs="Arial"/>
        </w:rPr>
        <w:t>.  In general, the development conditions</w:t>
      </w:r>
      <w:r w:rsidR="001850BD" w:rsidRPr="00524F0C">
        <w:rPr>
          <w:rFonts w:ascii="Arial" w:hAnsi="Arial" w:cs="Arial"/>
        </w:rPr>
        <w:t xml:space="preserve"> in the A and RA zone</w:t>
      </w:r>
      <w:r w:rsidR="000246E0" w:rsidRPr="00524F0C">
        <w:rPr>
          <w:rFonts w:ascii="Arial" w:hAnsi="Arial" w:cs="Arial"/>
        </w:rPr>
        <w:t>:</w:t>
      </w:r>
    </w:p>
    <w:p w14:paraId="7DA2ED96" w14:textId="58DEACD2" w:rsidR="000246E0" w:rsidRDefault="001850BD" w:rsidP="00E10A51">
      <w:pPr>
        <w:pStyle w:val="ListParagraph0"/>
        <w:numPr>
          <w:ilvl w:val="0"/>
          <w:numId w:val="5"/>
        </w:numPr>
        <w:jc w:val="both"/>
        <w:rPr>
          <w:rFonts w:ascii="Arial" w:hAnsi="Arial" w:cs="Arial"/>
        </w:rPr>
      </w:pPr>
      <w:r>
        <w:rPr>
          <w:rFonts w:ascii="Arial" w:hAnsi="Arial" w:cs="Arial"/>
        </w:rPr>
        <w:t>Maintained, reduced</w:t>
      </w:r>
      <w:r w:rsidR="00EE5070">
        <w:rPr>
          <w:rFonts w:ascii="Arial" w:hAnsi="Arial" w:cs="Arial"/>
        </w:rPr>
        <w:t>,</w:t>
      </w:r>
      <w:r>
        <w:rPr>
          <w:rFonts w:ascii="Arial" w:hAnsi="Arial" w:cs="Arial"/>
        </w:rPr>
        <w:t xml:space="preserve"> and established m</w:t>
      </w:r>
      <w:r w:rsidR="000246E0">
        <w:rPr>
          <w:rFonts w:ascii="Arial" w:hAnsi="Arial" w:cs="Arial"/>
        </w:rPr>
        <w:t>inimum lot sizes</w:t>
      </w:r>
    </w:p>
    <w:p w14:paraId="6E819E2F" w14:textId="5AF3E0AE" w:rsidR="000246E0" w:rsidRDefault="001850BD" w:rsidP="00E10A51">
      <w:pPr>
        <w:pStyle w:val="ListParagraph0"/>
        <w:numPr>
          <w:ilvl w:val="0"/>
          <w:numId w:val="5"/>
        </w:numPr>
        <w:jc w:val="both"/>
        <w:rPr>
          <w:rFonts w:ascii="Arial" w:hAnsi="Arial" w:cs="Arial"/>
        </w:rPr>
      </w:pPr>
      <w:r>
        <w:rPr>
          <w:rFonts w:ascii="Arial" w:hAnsi="Arial" w:cs="Arial"/>
        </w:rPr>
        <w:t>Maintained or reduced m</w:t>
      </w:r>
      <w:r w:rsidR="000246E0">
        <w:rPr>
          <w:rFonts w:ascii="Arial" w:hAnsi="Arial" w:cs="Arial"/>
        </w:rPr>
        <w:t>aximum building sizes</w:t>
      </w:r>
    </w:p>
    <w:p w14:paraId="7D9E534D" w14:textId="58FF5A76" w:rsidR="000246E0" w:rsidRDefault="001850BD" w:rsidP="00E10A51">
      <w:pPr>
        <w:pStyle w:val="ListParagraph0"/>
        <w:numPr>
          <w:ilvl w:val="0"/>
          <w:numId w:val="5"/>
        </w:numPr>
        <w:jc w:val="both"/>
        <w:rPr>
          <w:rFonts w:ascii="Arial" w:hAnsi="Arial" w:cs="Arial"/>
        </w:rPr>
      </w:pPr>
      <w:r>
        <w:rPr>
          <w:rFonts w:ascii="Arial" w:hAnsi="Arial" w:cs="Arial"/>
        </w:rPr>
        <w:t>Specified additional l</w:t>
      </w:r>
      <w:r w:rsidR="000B3D71">
        <w:rPr>
          <w:rFonts w:ascii="Arial" w:hAnsi="Arial" w:cs="Arial"/>
        </w:rPr>
        <w:t>imitations on</w:t>
      </w:r>
      <w:r w:rsidR="000246E0">
        <w:rPr>
          <w:rFonts w:ascii="Arial" w:hAnsi="Arial" w:cs="Arial"/>
        </w:rPr>
        <w:t xml:space="preserve"> </w:t>
      </w:r>
      <w:r w:rsidR="000B3D71">
        <w:rPr>
          <w:rFonts w:ascii="Arial" w:hAnsi="Arial" w:cs="Arial"/>
        </w:rPr>
        <w:t xml:space="preserve">on-site </w:t>
      </w:r>
      <w:r w:rsidR="000246E0">
        <w:rPr>
          <w:rFonts w:ascii="Arial" w:hAnsi="Arial" w:cs="Arial"/>
        </w:rPr>
        <w:t xml:space="preserve">tasting and retail sales </w:t>
      </w:r>
    </w:p>
    <w:p w14:paraId="3DEEB645" w14:textId="0B19AF83" w:rsidR="000246E0" w:rsidRDefault="001850BD" w:rsidP="00E10A51">
      <w:pPr>
        <w:pStyle w:val="ListParagraph0"/>
        <w:numPr>
          <w:ilvl w:val="0"/>
          <w:numId w:val="5"/>
        </w:numPr>
        <w:jc w:val="both"/>
        <w:rPr>
          <w:rFonts w:ascii="Arial" w:hAnsi="Arial" w:cs="Arial"/>
        </w:rPr>
      </w:pPr>
      <w:r>
        <w:rPr>
          <w:rFonts w:ascii="Arial" w:hAnsi="Arial" w:cs="Arial"/>
        </w:rPr>
        <w:t>R</w:t>
      </w:r>
      <w:r w:rsidR="002F5230">
        <w:rPr>
          <w:rFonts w:ascii="Arial" w:hAnsi="Arial" w:cs="Arial"/>
        </w:rPr>
        <w:t>equir</w:t>
      </w:r>
      <w:r>
        <w:rPr>
          <w:rFonts w:ascii="Arial" w:hAnsi="Arial" w:cs="Arial"/>
        </w:rPr>
        <w:t>ed</w:t>
      </w:r>
      <w:r w:rsidR="002F5230">
        <w:rPr>
          <w:rFonts w:ascii="Arial" w:hAnsi="Arial" w:cs="Arial"/>
        </w:rPr>
        <w:t xml:space="preserve"> water hookup for WBD IIIs</w:t>
      </w:r>
    </w:p>
    <w:p w14:paraId="066DFCA8" w14:textId="736EF925" w:rsidR="000B3D71" w:rsidRDefault="001850BD" w:rsidP="00E10A51">
      <w:pPr>
        <w:pStyle w:val="ListParagraph0"/>
        <w:numPr>
          <w:ilvl w:val="0"/>
          <w:numId w:val="5"/>
        </w:numPr>
        <w:jc w:val="both"/>
        <w:rPr>
          <w:rFonts w:ascii="Arial" w:hAnsi="Arial" w:cs="Arial"/>
        </w:rPr>
      </w:pPr>
      <w:r>
        <w:rPr>
          <w:rFonts w:ascii="Arial" w:hAnsi="Arial" w:cs="Arial"/>
        </w:rPr>
        <w:lastRenderedPageBreak/>
        <w:t>Required a</w:t>
      </w:r>
      <w:r w:rsidR="000B3D71">
        <w:rPr>
          <w:rFonts w:ascii="Arial" w:hAnsi="Arial" w:cs="Arial"/>
        </w:rPr>
        <w:t>ccess</w:t>
      </w:r>
      <w:r>
        <w:rPr>
          <w:rFonts w:ascii="Arial" w:hAnsi="Arial" w:cs="Arial"/>
        </w:rPr>
        <w:t xml:space="preserve"> to an arterial or public roadway</w:t>
      </w:r>
    </w:p>
    <w:p w14:paraId="09D3544E" w14:textId="0359085E" w:rsidR="000246E0" w:rsidRDefault="001850BD" w:rsidP="00E10A51">
      <w:pPr>
        <w:pStyle w:val="ListParagraph0"/>
        <w:numPr>
          <w:ilvl w:val="0"/>
          <w:numId w:val="5"/>
        </w:numPr>
        <w:jc w:val="both"/>
        <w:rPr>
          <w:rFonts w:ascii="Arial" w:hAnsi="Arial" w:cs="Arial"/>
        </w:rPr>
      </w:pPr>
      <w:r>
        <w:rPr>
          <w:rFonts w:ascii="Arial" w:hAnsi="Arial" w:cs="Arial"/>
        </w:rPr>
        <w:t>Established an on-site grow requirement for products in the A zone and eliminated a requirement in the RA zone for sourcing in Puget Sound counties.</w:t>
      </w:r>
      <w:r w:rsidR="00DA7512">
        <w:rPr>
          <w:rFonts w:ascii="Arial" w:hAnsi="Arial" w:cs="Arial"/>
        </w:rPr>
        <w:t xml:space="preserve"> </w:t>
      </w:r>
    </w:p>
    <w:p w14:paraId="0B55E2A5" w14:textId="09A29E72" w:rsidR="000246E0" w:rsidRPr="00AC666F" w:rsidRDefault="001850BD" w:rsidP="00E10A51">
      <w:pPr>
        <w:pStyle w:val="ListParagraph0"/>
        <w:numPr>
          <w:ilvl w:val="0"/>
          <w:numId w:val="5"/>
        </w:numPr>
        <w:jc w:val="both"/>
        <w:rPr>
          <w:rFonts w:ascii="Arial" w:hAnsi="Arial" w:cs="Arial"/>
        </w:rPr>
      </w:pPr>
      <w:r>
        <w:rPr>
          <w:rFonts w:ascii="Arial" w:hAnsi="Arial" w:cs="Arial"/>
        </w:rPr>
        <w:t>Established minimum o</w:t>
      </w:r>
      <w:r w:rsidR="00DA7512" w:rsidRPr="00AC666F">
        <w:rPr>
          <w:rFonts w:ascii="Arial" w:hAnsi="Arial" w:cs="Arial"/>
        </w:rPr>
        <w:t>n-site p</w:t>
      </w:r>
      <w:r w:rsidR="000246E0" w:rsidRPr="00AC666F">
        <w:rPr>
          <w:rFonts w:ascii="Arial" w:hAnsi="Arial" w:cs="Arial"/>
        </w:rPr>
        <w:t>roduction</w:t>
      </w:r>
      <w:r>
        <w:rPr>
          <w:rFonts w:ascii="Arial" w:hAnsi="Arial" w:cs="Arial"/>
        </w:rPr>
        <w:t xml:space="preserve"> requirements</w:t>
      </w:r>
    </w:p>
    <w:p w14:paraId="78E49128" w14:textId="56C753DC" w:rsidR="000246E0" w:rsidRDefault="001850BD" w:rsidP="00E10A51">
      <w:pPr>
        <w:pStyle w:val="ListParagraph0"/>
        <w:numPr>
          <w:ilvl w:val="0"/>
          <w:numId w:val="5"/>
        </w:numPr>
        <w:jc w:val="both"/>
        <w:rPr>
          <w:rFonts w:ascii="Arial" w:hAnsi="Arial" w:cs="Arial"/>
        </w:rPr>
      </w:pPr>
      <w:r>
        <w:rPr>
          <w:rFonts w:ascii="Arial" w:hAnsi="Arial" w:cs="Arial"/>
        </w:rPr>
        <w:t xml:space="preserve">Established requirements for </w:t>
      </w:r>
      <w:r w:rsidR="000246E0">
        <w:rPr>
          <w:rFonts w:ascii="Arial" w:hAnsi="Arial" w:cs="Arial"/>
        </w:rPr>
        <w:t>locat</w:t>
      </w:r>
      <w:r>
        <w:rPr>
          <w:rFonts w:ascii="Arial" w:hAnsi="Arial" w:cs="Arial"/>
        </w:rPr>
        <w:t>ing facilities</w:t>
      </w:r>
      <w:r w:rsidR="000246E0">
        <w:rPr>
          <w:rFonts w:ascii="Arial" w:hAnsi="Arial" w:cs="Arial"/>
        </w:rPr>
        <w:t xml:space="preserve"> </w:t>
      </w:r>
      <w:r>
        <w:rPr>
          <w:rFonts w:ascii="Arial" w:hAnsi="Arial" w:cs="Arial"/>
        </w:rPr>
        <w:t xml:space="preserve">on </w:t>
      </w:r>
      <w:r w:rsidR="000246E0">
        <w:rPr>
          <w:rFonts w:ascii="Arial" w:hAnsi="Arial" w:cs="Arial"/>
        </w:rPr>
        <w:t>agricultural lands</w:t>
      </w:r>
    </w:p>
    <w:p w14:paraId="73A194BA" w14:textId="37E8FE15" w:rsidR="000246E0" w:rsidRDefault="001850BD" w:rsidP="00E10A51">
      <w:pPr>
        <w:pStyle w:val="ListParagraph0"/>
        <w:numPr>
          <w:ilvl w:val="0"/>
          <w:numId w:val="5"/>
        </w:numPr>
        <w:jc w:val="both"/>
        <w:rPr>
          <w:rFonts w:ascii="Arial" w:hAnsi="Arial" w:cs="Arial"/>
        </w:rPr>
      </w:pPr>
      <w:r>
        <w:rPr>
          <w:rFonts w:ascii="Arial" w:hAnsi="Arial" w:cs="Arial"/>
        </w:rPr>
        <w:t>Modified p</w:t>
      </w:r>
      <w:r w:rsidR="000246E0">
        <w:rPr>
          <w:rFonts w:ascii="Arial" w:hAnsi="Arial" w:cs="Arial"/>
        </w:rPr>
        <w:t>arking minimums and maximums</w:t>
      </w:r>
    </w:p>
    <w:p w14:paraId="18D3A4AD" w14:textId="00683955" w:rsidR="000246E0" w:rsidRDefault="001850BD" w:rsidP="00E10A51">
      <w:pPr>
        <w:pStyle w:val="ListParagraph0"/>
        <w:numPr>
          <w:ilvl w:val="0"/>
          <w:numId w:val="5"/>
        </w:numPr>
        <w:jc w:val="both"/>
        <w:rPr>
          <w:rFonts w:ascii="Arial" w:hAnsi="Arial" w:cs="Arial"/>
        </w:rPr>
      </w:pPr>
      <w:r>
        <w:rPr>
          <w:rFonts w:ascii="Arial" w:hAnsi="Arial" w:cs="Arial"/>
        </w:rPr>
        <w:t>Maintained and added parking areas to s</w:t>
      </w:r>
      <w:r w:rsidR="000246E0">
        <w:rPr>
          <w:rFonts w:ascii="Arial" w:hAnsi="Arial" w:cs="Arial"/>
        </w:rPr>
        <w:t>etbacks from Rural Area and Residential zones</w:t>
      </w:r>
    </w:p>
    <w:p w14:paraId="32C883C6" w14:textId="396C3338" w:rsidR="000B3D71" w:rsidRPr="000B3D71" w:rsidRDefault="001850BD" w:rsidP="00E10A51">
      <w:pPr>
        <w:pStyle w:val="ListParagraph0"/>
        <w:numPr>
          <w:ilvl w:val="0"/>
          <w:numId w:val="5"/>
        </w:numPr>
        <w:jc w:val="both"/>
        <w:rPr>
          <w:rFonts w:ascii="Arial" w:hAnsi="Arial" w:cs="Arial"/>
        </w:rPr>
      </w:pPr>
      <w:r>
        <w:rPr>
          <w:rFonts w:ascii="Arial" w:hAnsi="Arial" w:cs="Arial"/>
        </w:rPr>
        <w:t>Established m</w:t>
      </w:r>
      <w:r w:rsidR="000B3D71">
        <w:rPr>
          <w:rFonts w:ascii="Arial" w:hAnsi="Arial" w:cs="Arial"/>
        </w:rPr>
        <w:t>aximum impervious surfaces</w:t>
      </w:r>
    </w:p>
    <w:p w14:paraId="50DCB6B8" w14:textId="46E4AF1A" w:rsidR="009F2726" w:rsidRDefault="000246E0" w:rsidP="00E10A51">
      <w:pPr>
        <w:pStyle w:val="ListParagraph0"/>
        <w:numPr>
          <w:ilvl w:val="0"/>
          <w:numId w:val="4"/>
        </w:numPr>
        <w:jc w:val="both"/>
        <w:rPr>
          <w:rFonts w:ascii="Arial" w:hAnsi="Arial" w:cs="Arial"/>
        </w:rPr>
      </w:pPr>
      <w:r>
        <w:rPr>
          <w:rFonts w:ascii="Arial" w:hAnsi="Arial" w:cs="Arial"/>
        </w:rPr>
        <w:t xml:space="preserve">Establishing a new "remote tasting room" </w:t>
      </w:r>
      <w:r w:rsidR="000B3D71">
        <w:rPr>
          <w:rFonts w:ascii="Arial" w:hAnsi="Arial" w:cs="Arial"/>
        </w:rPr>
        <w:t>use</w:t>
      </w:r>
      <w:r w:rsidR="002F5230">
        <w:rPr>
          <w:rFonts w:ascii="Arial" w:hAnsi="Arial" w:cs="Arial"/>
        </w:rPr>
        <w:t xml:space="preserve"> to mirror state licensing</w:t>
      </w:r>
      <w:r>
        <w:rPr>
          <w:rFonts w:ascii="Arial" w:hAnsi="Arial" w:cs="Arial"/>
        </w:rPr>
        <w:t xml:space="preserve"> in the CB and RB zone</w:t>
      </w:r>
      <w:r w:rsidR="000B3D71">
        <w:rPr>
          <w:rFonts w:ascii="Arial" w:hAnsi="Arial" w:cs="Arial"/>
        </w:rPr>
        <w:t>s, including within the CB zone of the Vashon and Fall City Rural Towns</w:t>
      </w:r>
      <w:r>
        <w:rPr>
          <w:rFonts w:ascii="Arial" w:hAnsi="Arial" w:cs="Arial"/>
        </w:rPr>
        <w:t>.</w:t>
      </w:r>
      <w:r w:rsidR="00A93FA0">
        <w:rPr>
          <w:rFonts w:ascii="Arial" w:hAnsi="Arial" w:cs="Arial"/>
        </w:rPr>
        <w:t xml:space="preserve"> </w:t>
      </w:r>
    </w:p>
    <w:p w14:paraId="0DAF6D16" w14:textId="604EFA14" w:rsidR="00A93FA0" w:rsidRPr="00A93FA0" w:rsidRDefault="000B3D71" w:rsidP="00E10A51">
      <w:pPr>
        <w:pStyle w:val="ListParagraph0"/>
        <w:numPr>
          <w:ilvl w:val="0"/>
          <w:numId w:val="4"/>
        </w:numPr>
        <w:jc w:val="both"/>
        <w:rPr>
          <w:rFonts w:ascii="Arial" w:hAnsi="Arial" w:cs="Arial"/>
        </w:rPr>
      </w:pPr>
      <w:r>
        <w:rPr>
          <w:rFonts w:ascii="Arial" w:hAnsi="Arial" w:cs="Arial"/>
        </w:rPr>
        <w:t>E</w:t>
      </w:r>
      <w:r w:rsidR="00A93FA0">
        <w:rPr>
          <w:rFonts w:ascii="Arial" w:hAnsi="Arial" w:cs="Arial"/>
        </w:rPr>
        <w:t xml:space="preserve">stablishing a 3-year demonstration project to test whether remote tasting rooms could be </w:t>
      </w:r>
      <w:r w:rsidR="00C76B8C">
        <w:rPr>
          <w:rFonts w:ascii="Arial" w:hAnsi="Arial" w:cs="Arial"/>
        </w:rPr>
        <w:t>an allowed</w:t>
      </w:r>
      <w:r w:rsidR="00A93FA0">
        <w:rPr>
          <w:rFonts w:ascii="Arial" w:hAnsi="Arial" w:cs="Arial"/>
        </w:rPr>
        <w:t xml:space="preserve"> use in the Rural Area zone.</w:t>
      </w:r>
    </w:p>
    <w:p w14:paraId="3C8BFC30" w14:textId="598A5F8E" w:rsidR="000246E0" w:rsidRDefault="000246E0" w:rsidP="00E10A51">
      <w:pPr>
        <w:pStyle w:val="ListParagraph0"/>
        <w:numPr>
          <w:ilvl w:val="0"/>
          <w:numId w:val="4"/>
        </w:numPr>
        <w:jc w:val="both"/>
        <w:rPr>
          <w:rFonts w:ascii="Arial" w:hAnsi="Arial" w:cs="Arial"/>
        </w:rPr>
      </w:pPr>
      <w:r>
        <w:rPr>
          <w:rFonts w:ascii="Arial" w:hAnsi="Arial" w:cs="Arial"/>
        </w:rPr>
        <w:t xml:space="preserve">Prohibiting WBDs and </w:t>
      </w:r>
      <w:r w:rsidR="00A93FA0">
        <w:rPr>
          <w:rFonts w:ascii="Arial" w:hAnsi="Arial" w:cs="Arial"/>
        </w:rPr>
        <w:t>remote tasting rooms as home occupations and home industries.</w:t>
      </w:r>
    </w:p>
    <w:p w14:paraId="2C80A8FF" w14:textId="00E1C5D6" w:rsidR="00A93FA0" w:rsidRDefault="000B3D71" w:rsidP="00E10A51">
      <w:pPr>
        <w:pStyle w:val="ListParagraph0"/>
        <w:numPr>
          <w:ilvl w:val="0"/>
          <w:numId w:val="4"/>
        </w:numPr>
        <w:jc w:val="both"/>
        <w:rPr>
          <w:rFonts w:ascii="Arial" w:hAnsi="Arial" w:cs="Arial"/>
        </w:rPr>
      </w:pPr>
      <w:r>
        <w:rPr>
          <w:rFonts w:ascii="Arial" w:hAnsi="Arial" w:cs="Arial"/>
        </w:rPr>
        <w:t>Modifying temporary use permits (TUP) for WBD-related events, with stricter limits in the A and RA zone than for other zones</w:t>
      </w:r>
      <w:r w:rsidR="002F5230">
        <w:rPr>
          <w:rFonts w:ascii="Arial" w:hAnsi="Arial" w:cs="Arial"/>
        </w:rPr>
        <w:t xml:space="preserve">, such as limiting events for breweries and distilleries to 2 per month (A zone) or 24 per year (RA) </w:t>
      </w:r>
      <w:proofErr w:type="gramStart"/>
      <w:r w:rsidR="002F5230">
        <w:rPr>
          <w:rFonts w:ascii="Arial" w:hAnsi="Arial" w:cs="Arial"/>
        </w:rPr>
        <w:t>zone, and</w:t>
      </w:r>
      <w:proofErr w:type="gramEnd"/>
      <w:r w:rsidR="002F5230">
        <w:rPr>
          <w:rFonts w:ascii="Arial" w:hAnsi="Arial" w:cs="Arial"/>
        </w:rPr>
        <w:t xml:space="preserve"> setting a maximum guest size that did not exist previously</w:t>
      </w:r>
      <w:r>
        <w:rPr>
          <w:rFonts w:ascii="Arial" w:hAnsi="Arial" w:cs="Arial"/>
        </w:rPr>
        <w:t xml:space="preserve">.  Adding triggers for Permitting to easily identify when a TUP is required. Establishing an exemption from TUP requirements for certain </w:t>
      </w:r>
      <w:r w:rsidR="002F5230">
        <w:rPr>
          <w:rFonts w:ascii="Arial" w:hAnsi="Arial" w:cs="Arial"/>
        </w:rPr>
        <w:t xml:space="preserve">existing </w:t>
      </w:r>
      <w:r>
        <w:rPr>
          <w:rFonts w:ascii="Arial" w:hAnsi="Arial" w:cs="Arial"/>
        </w:rPr>
        <w:t>WBDs in the RA zone</w:t>
      </w:r>
      <w:r w:rsidR="002F5230">
        <w:rPr>
          <w:rFonts w:ascii="Arial" w:hAnsi="Arial" w:cs="Arial"/>
        </w:rPr>
        <w:t xml:space="preserve"> including those that had at least 8 acres in lot size and had access to a</w:t>
      </w:r>
      <w:r w:rsidR="001850BD">
        <w:rPr>
          <w:rFonts w:ascii="Arial" w:hAnsi="Arial" w:cs="Arial"/>
        </w:rPr>
        <w:t xml:space="preserve"> principal</w:t>
      </w:r>
      <w:r w:rsidR="002F5230">
        <w:rPr>
          <w:rFonts w:ascii="Arial" w:hAnsi="Arial" w:cs="Arial"/>
        </w:rPr>
        <w:t xml:space="preserve"> arterial or state highway</w:t>
      </w:r>
      <w:r w:rsidR="00FB1A59">
        <w:rPr>
          <w:rFonts w:ascii="Arial" w:hAnsi="Arial" w:cs="Arial"/>
        </w:rPr>
        <w:t>, and where the County did not object to issuance of the state liquor license</w:t>
      </w:r>
      <w:r>
        <w:rPr>
          <w:rFonts w:ascii="Arial" w:hAnsi="Arial" w:cs="Arial"/>
        </w:rPr>
        <w:t>.</w:t>
      </w:r>
    </w:p>
    <w:p w14:paraId="480BBF8B" w14:textId="33D9EF9A" w:rsidR="009212B3" w:rsidRPr="009212B3" w:rsidRDefault="0089463A" w:rsidP="00E10A51">
      <w:pPr>
        <w:pStyle w:val="ListParagraph0"/>
        <w:numPr>
          <w:ilvl w:val="0"/>
          <w:numId w:val="4"/>
        </w:numPr>
        <w:jc w:val="both"/>
        <w:rPr>
          <w:rFonts w:ascii="Arial" w:hAnsi="Arial" w:cs="Arial"/>
        </w:rPr>
      </w:pPr>
      <w:r>
        <w:rPr>
          <w:rFonts w:ascii="Arial" w:hAnsi="Arial" w:cs="Arial"/>
        </w:rPr>
        <w:t>Increasing</w:t>
      </w:r>
      <w:r w:rsidR="000B3D71">
        <w:rPr>
          <w:rFonts w:ascii="Arial" w:hAnsi="Arial" w:cs="Arial"/>
        </w:rPr>
        <w:t xml:space="preserve"> citation penalties for code violations by WBDs and remote tasting rooms.</w:t>
      </w:r>
    </w:p>
    <w:p w14:paraId="330171F4" w14:textId="77777777" w:rsidR="009212B3" w:rsidRDefault="009212B3" w:rsidP="005B478C">
      <w:pPr>
        <w:jc w:val="both"/>
        <w:rPr>
          <w:rFonts w:ascii="Arial" w:hAnsi="Arial" w:cs="Arial"/>
        </w:rPr>
      </w:pPr>
    </w:p>
    <w:p w14:paraId="0407A2AB" w14:textId="36486E03" w:rsidR="000B3D71" w:rsidRDefault="000B3D71" w:rsidP="005B478C">
      <w:pPr>
        <w:jc w:val="both"/>
        <w:rPr>
          <w:rFonts w:ascii="Arial" w:hAnsi="Arial" w:cs="Arial"/>
          <w:szCs w:val="24"/>
        </w:rPr>
      </w:pPr>
      <w:r w:rsidRPr="000B3D71">
        <w:rPr>
          <w:rFonts w:ascii="Arial" w:hAnsi="Arial" w:cs="Arial"/>
          <w:i/>
          <w:iCs/>
        </w:rPr>
        <w:t>SEPA Review.</w:t>
      </w:r>
      <w:r>
        <w:rPr>
          <w:rFonts w:ascii="Arial" w:hAnsi="Arial" w:cs="Arial"/>
        </w:rPr>
        <w:t xml:space="preserve"> As </w:t>
      </w:r>
      <w:r w:rsidR="009012B1">
        <w:rPr>
          <w:rFonts w:ascii="Arial" w:hAnsi="Arial" w:cs="Arial"/>
        </w:rPr>
        <w:t xml:space="preserve">is the case </w:t>
      </w:r>
      <w:r>
        <w:rPr>
          <w:rFonts w:ascii="Arial" w:hAnsi="Arial" w:cs="Arial"/>
        </w:rPr>
        <w:t xml:space="preserve">for most development regulations, State Environmental Policy Act (SEPA) review was required for Ordinance 19030 prior to adoption.  </w:t>
      </w:r>
      <w:r w:rsidR="00331AD9">
        <w:rPr>
          <w:rFonts w:ascii="Arial" w:hAnsi="Arial" w:cs="Arial"/>
        </w:rPr>
        <w:t xml:space="preserve">A SEPA checklist was prepared, dated April 24, 2019.  Based on that checklist, the SEPA Responsible Official issued a Determination of Nonsignificance on April 26, 2019.  After the public comment period on the threshold determination, the SEPA Responsible Official issued a June 10, </w:t>
      </w:r>
      <w:proofErr w:type="gramStart"/>
      <w:r w:rsidR="00331AD9">
        <w:rPr>
          <w:rFonts w:ascii="Arial" w:hAnsi="Arial" w:cs="Arial"/>
        </w:rPr>
        <w:t>2019</w:t>
      </w:r>
      <w:proofErr w:type="gramEnd"/>
      <w:r w:rsidR="00331AD9">
        <w:rPr>
          <w:rFonts w:ascii="Arial" w:hAnsi="Arial" w:cs="Arial"/>
        </w:rPr>
        <w:t xml:space="preserve"> memo summarizing the comments received and concluded that "</w:t>
      </w:r>
      <w:r w:rsidR="00331AD9">
        <w:rPr>
          <w:rFonts w:ascii="Arial" w:hAnsi="Arial" w:cs="Arial"/>
          <w:szCs w:val="24"/>
        </w:rPr>
        <w:t>none of the comments have identified unmitigated environmental impacts of the limited code changes that would result in a more than likely probable</w:t>
      </w:r>
      <w:r w:rsidR="00331AD9" w:rsidRPr="006E6357">
        <w:rPr>
          <w:rFonts w:ascii="Arial" w:hAnsi="Arial" w:cs="Arial"/>
          <w:szCs w:val="24"/>
        </w:rPr>
        <w:t xml:space="preserve"> significant impact</w:t>
      </w:r>
      <w:r w:rsidR="00331AD9">
        <w:rPr>
          <w:rFonts w:ascii="Arial" w:hAnsi="Arial" w:cs="Arial"/>
          <w:szCs w:val="24"/>
        </w:rPr>
        <w:t>."</w:t>
      </w:r>
      <w:r w:rsidR="009212B3">
        <w:rPr>
          <w:rFonts w:ascii="Arial" w:hAnsi="Arial" w:cs="Arial"/>
          <w:szCs w:val="24"/>
        </w:rPr>
        <w:t xml:space="preserve">  After additional public process, including </w:t>
      </w:r>
      <w:r w:rsidR="00152736">
        <w:rPr>
          <w:rFonts w:ascii="Arial" w:hAnsi="Arial" w:cs="Arial"/>
          <w:szCs w:val="24"/>
        </w:rPr>
        <w:t>two public hearings a</w:t>
      </w:r>
      <w:r w:rsidR="009012B1">
        <w:rPr>
          <w:rFonts w:ascii="Arial" w:hAnsi="Arial" w:cs="Arial"/>
          <w:szCs w:val="24"/>
        </w:rPr>
        <w:t>t</w:t>
      </w:r>
      <w:r w:rsidR="00152736">
        <w:rPr>
          <w:rFonts w:ascii="Arial" w:hAnsi="Arial" w:cs="Arial"/>
          <w:szCs w:val="24"/>
        </w:rPr>
        <w:t xml:space="preserve"> full Council and two committee meetings that occurred after the SEPA Responsible Official's June 10, </w:t>
      </w:r>
      <w:proofErr w:type="gramStart"/>
      <w:r w:rsidR="00152736">
        <w:rPr>
          <w:rFonts w:ascii="Arial" w:hAnsi="Arial" w:cs="Arial"/>
          <w:szCs w:val="24"/>
        </w:rPr>
        <w:t>2019</w:t>
      </w:r>
      <w:proofErr w:type="gramEnd"/>
      <w:r w:rsidR="00152736">
        <w:rPr>
          <w:rFonts w:ascii="Arial" w:hAnsi="Arial" w:cs="Arial"/>
          <w:szCs w:val="24"/>
        </w:rPr>
        <w:t xml:space="preserve"> memo, the Council adopted Ordinance 19030 with amendments responding to public comments.</w:t>
      </w:r>
    </w:p>
    <w:p w14:paraId="7E2F55F9" w14:textId="79021D47" w:rsidR="00152736" w:rsidRDefault="00152736" w:rsidP="005B478C">
      <w:pPr>
        <w:jc w:val="both"/>
        <w:rPr>
          <w:rFonts w:ascii="Arial" w:hAnsi="Arial" w:cs="Arial"/>
          <w:szCs w:val="24"/>
        </w:rPr>
      </w:pPr>
    </w:p>
    <w:p w14:paraId="51134A0C" w14:textId="0A1C78AB" w:rsidR="00C76B8C" w:rsidRPr="00C7715D" w:rsidRDefault="00152736" w:rsidP="00C7715D">
      <w:pPr>
        <w:jc w:val="both"/>
        <w:rPr>
          <w:rFonts w:ascii="Arial" w:hAnsi="Arial" w:cs="Arial"/>
          <w:szCs w:val="24"/>
        </w:rPr>
      </w:pPr>
      <w:r>
        <w:rPr>
          <w:rFonts w:ascii="Arial" w:hAnsi="Arial" w:cs="Arial"/>
          <w:szCs w:val="24"/>
        </w:rPr>
        <w:t xml:space="preserve">One </w:t>
      </w:r>
      <w:r w:rsidR="00C76B8C">
        <w:rPr>
          <w:rFonts w:ascii="Arial" w:hAnsi="Arial" w:cs="Arial"/>
          <w:szCs w:val="24"/>
        </w:rPr>
        <w:t xml:space="preserve">question frequently raised </w:t>
      </w:r>
      <w:r>
        <w:rPr>
          <w:rFonts w:ascii="Arial" w:hAnsi="Arial" w:cs="Arial"/>
          <w:szCs w:val="24"/>
        </w:rPr>
        <w:t>during review of Ordinance 19030 was how many properties in the A and RA zones would be able to, in theory, establish WBD</w:t>
      </w:r>
      <w:r w:rsidR="00DA7512">
        <w:rPr>
          <w:rFonts w:ascii="Arial" w:hAnsi="Arial" w:cs="Arial"/>
          <w:szCs w:val="24"/>
        </w:rPr>
        <w:t xml:space="preserve"> II</w:t>
      </w:r>
      <w:r>
        <w:rPr>
          <w:rFonts w:ascii="Arial" w:hAnsi="Arial" w:cs="Arial"/>
          <w:szCs w:val="24"/>
        </w:rPr>
        <w:t xml:space="preserve">s based on the changes to the minimum lot sizes.  </w:t>
      </w:r>
      <w:r w:rsidR="00C76B8C">
        <w:rPr>
          <w:rFonts w:ascii="Arial" w:hAnsi="Arial" w:cs="Arial"/>
          <w:szCs w:val="24"/>
        </w:rPr>
        <w:t>Under Ordinance 19030, the minimum lot size for WBD IIs is 2.5 acres</w:t>
      </w:r>
      <w:r w:rsidR="00C7715D" w:rsidRPr="00C7715D">
        <w:rPr>
          <w:rFonts w:ascii="Arial" w:hAnsi="Arial" w:cs="Arial"/>
          <w:szCs w:val="24"/>
        </w:rPr>
        <w:t xml:space="preserve"> </w:t>
      </w:r>
      <w:r w:rsidR="00C7715D">
        <w:rPr>
          <w:rFonts w:ascii="Arial" w:hAnsi="Arial" w:cs="Arial"/>
          <w:szCs w:val="24"/>
        </w:rPr>
        <w:t>in the RA zone</w:t>
      </w:r>
      <w:r w:rsidR="00C76B8C">
        <w:rPr>
          <w:rFonts w:ascii="Arial" w:hAnsi="Arial" w:cs="Arial"/>
          <w:szCs w:val="24"/>
        </w:rPr>
        <w:t xml:space="preserve">, which is lower than </w:t>
      </w:r>
      <w:r w:rsidR="00C7715D">
        <w:rPr>
          <w:rFonts w:ascii="Arial" w:hAnsi="Arial" w:cs="Arial"/>
          <w:szCs w:val="24"/>
        </w:rPr>
        <w:t>the minimum lot size</w:t>
      </w:r>
      <w:r w:rsidR="00C76B8C">
        <w:rPr>
          <w:rFonts w:ascii="Arial" w:hAnsi="Arial" w:cs="Arial"/>
          <w:szCs w:val="24"/>
        </w:rPr>
        <w:t xml:space="preserve"> allowed for </w:t>
      </w:r>
      <w:r w:rsidR="00C7715D">
        <w:rPr>
          <w:rFonts w:ascii="Arial" w:hAnsi="Arial" w:cs="Arial"/>
          <w:szCs w:val="24"/>
        </w:rPr>
        <w:t xml:space="preserve">smaller </w:t>
      </w:r>
      <w:r w:rsidR="00C76B8C">
        <w:rPr>
          <w:rFonts w:ascii="Arial" w:hAnsi="Arial" w:cs="Arial"/>
          <w:szCs w:val="24"/>
        </w:rPr>
        <w:t xml:space="preserve">WBD uses under the former code.  </w:t>
      </w:r>
      <w:r w:rsidR="00FB3121">
        <w:rPr>
          <w:rFonts w:ascii="Arial" w:hAnsi="Arial" w:cs="Arial"/>
          <w:szCs w:val="24"/>
        </w:rPr>
        <w:t>T</w:t>
      </w:r>
      <w:r w:rsidR="00C7715D" w:rsidRPr="00C7715D">
        <w:rPr>
          <w:rFonts w:ascii="Arial" w:hAnsi="Arial" w:cs="Arial"/>
          <w:szCs w:val="24"/>
        </w:rPr>
        <w:t>he former code did not have a minimum lot size for WBDs with less than 3,500 square feet of floor area</w:t>
      </w:r>
      <w:r w:rsidR="00FB3121">
        <w:rPr>
          <w:rFonts w:ascii="Arial" w:hAnsi="Arial" w:cs="Arial"/>
          <w:szCs w:val="24"/>
        </w:rPr>
        <w:t xml:space="preserve"> in the A zone</w:t>
      </w:r>
      <w:r w:rsidR="00C7715D" w:rsidRPr="00C7715D">
        <w:rPr>
          <w:rFonts w:ascii="Arial" w:hAnsi="Arial" w:cs="Arial"/>
          <w:szCs w:val="24"/>
        </w:rPr>
        <w:t xml:space="preserve">.  </w:t>
      </w:r>
      <w:r w:rsidR="00C76B8C">
        <w:rPr>
          <w:rFonts w:ascii="Arial" w:hAnsi="Arial" w:cs="Arial"/>
          <w:szCs w:val="24"/>
        </w:rPr>
        <w:t xml:space="preserve">There was concern that this lower lot size would create opportunity for a substantially higher number of WBDs than was previously allowed.  However, the minimum lot size reduction for WBD </w:t>
      </w:r>
      <w:r w:rsidR="00C76B8C">
        <w:rPr>
          <w:rFonts w:ascii="Arial" w:hAnsi="Arial" w:cs="Arial"/>
          <w:szCs w:val="24"/>
        </w:rPr>
        <w:lastRenderedPageBreak/>
        <w:t>IIs was coupled with other changes, most notably, a requirement for direct access to either a public road or an arterial</w:t>
      </w:r>
      <w:r w:rsidR="000C565D">
        <w:rPr>
          <w:rFonts w:ascii="Arial" w:hAnsi="Arial" w:cs="Arial"/>
          <w:szCs w:val="24"/>
        </w:rPr>
        <w:t xml:space="preserve"> that limits the number of lots that could theoretically become a WBD II under Ordinance 19030</w:t>
      </w:r>
      <w:r w:rsidR="00C76B8C">
        <w:rPr>
          <w:rFonts w:ascii="Arial" w:hAnsi="Arial" w:cs="Arial"/>
          <w:szCs w:val="24"/>
        </w:rPr>
        <w:t>.</w:t>
      </w:r>
      <w:r w:rsidR="000C565D">
        <w:rPr>
          <w:rFonts w:ascii="Arial" w:hAnsi="Arial" w:cs="Arial"/>
          <w:szCs w:val="24"/>
        </w:rPr>
        <w:t xml:space="preserve">  In addition, as noted below, home occupation WBDs were allowed on nearly any A or RA zoned parcel, which is reflected in the tables below.</w:t>
      </w:r>
    </w:p>
    <w:p w14:paraId="37450489" w14:textId="77777777" w:rsidR="00C76B8C" w:rsidRDefault="00C76B8C" w:rsidP="005B478C">
      <w:pPr>
        <w:jc w:val="both"/>
        <w:rPr>
          <w:rFonts w:ascii="Arial" w:hAnsi="Arial" w:cs="Arial"/>
          <w:szCs w:val="24"/>
        </w:rPr>
      </w:pPr>
    </w:p>
    <w:p w14:paraId="67328DBA" w14:textId="77777777" w:rsidR="0083235F" w:rsidRDefault="00152736" w:rsidP="005B478C">
      <w:pPr>
        <w:jc w:val="both"/>
        <w:rPr>
          <w:rFonts w:ascii="Arial" w:hAnsi="Arial" w:cs="Arial"/>
          <w:szCs w:val="24"/>
        </w:rPr>
      </w:pPr>
      <w:r>
        <w:rPr>
          <w:rFonts w:ascii="Arial" w:hAnsi="Arial" w:cs="Arial"/>
          <w:szCs w:val="24"/>
        </w:rPr>
        <w:t xml:space="preserve">Recent GIS analysis shows that </w:t>
      </w:r>
      <w:r w:rsidRPr="00DA7512">
        <w:rPr>
          <w:rFonts w:ascii="Arial" w:hAnsi="Arial" w:cs="Arial"/>
          <w:b/>
          <w:bCs/>
          <w:szCs w:val="24"/>
        </w:rPr>
        <w:t>more properties could establish a WBD under the former code (the code in place prior to Ordinance 19030) than under Ordinance 19030</w:t>
      </w:r>
      <w:r w:rsidR="002243CE" w:rsidRPr="002243CE">
        <w:rPr>
          <w:rFonts w:ascii="Arial" w:hAnsi="Arial" w:cs="Arial"/>
          <w:szCs w:val="24"/>
        </w:rPr>
        <w:t xml:space="preserve">, when the access requirement is also </w:t>
      </w:r>
      <w:proofErr w:type="gramStart"/>
      <w:r w:rsidR="002243CE" w:rsidRPr="002243CE">
        <w:rPr>
          <w:rFonts w:ascii="Arial" w:hAnsi="Arial" w:cs="Arial"/>
          <w:szCs w:val="24"/>
        </w:rPr>
        <w:t>taken into account</w:t>
      </w:r>
      <w:proofErr w:type="gramEnd"/>
      <w:r>
        <w:rPr>
          <w:rFonts w:ascii="Arial" w:hAnsi="Arial" w:cs="Arial"/>
          <w:szCs w:val="24"/>
        </w:rPr>
        <w:t>.  Table 1 shows a summary of this high</w:t>
      </w:r>
      <w:r w:rsidR="009012B1">
        <w:rPr>
          <w:rFonts w:ascii="Arial" w:hAnsi="Arial" w:cs="Arial"/>
          <w:szCs w:val="24"/>
        </w:rPr>
        <w:t>-</w:t>
      </w:r>
      <w:r>
        <w:rPr>
          <w:rFonts w:ascii="Arial" w:hAnsi="Arial" w:cs="Arial"/>
          <w:szCs w:val="24"/>
        </w:rPr>
        <w:t>level analysis for the RA zone.</w:t>
      </w:r>
      <w:r w:rsidR="00C76B8C">
        <w:rPr>
          <w:rFonts w:ascii="Arial" w:hAnsi="Arial" w:cs="Arial"/>
          <w:szCs w:val="24"/>
        </w:rPr>
        <w:t xml:space="preserve">  </w:t>
      </w:r>
    </w:p>
    <w:p w14:paraId="121301B4" w14:textId="77777777" w:rsidR="0083235F" w:rsidRDefault="0083235F" w:rsidP="005B478C">
      <w:pPr>
        <w:jc w:val="both"/>
        <w:rPr>
          <w:rFonts w:ascii="Arial" w:hAnsi="Arial" w:cs="Arial"/>
          <w:szCs w:val="24"/>
        </w:rPr>
      </w:pPr>
    </w:p>
    <w:p w14:paraId="01391682" w14:textId="56B72573" w:rsidR="0083235F" w:rsidRDefault="0083235F" w:rsidP="005B478C">
      <w:pPr>
        <w:jc w:val="both"/>
        <w:rPr>
          <w:rFonts w:ascii="Arial" w:hAnsi="Arial" w:cs="Arial"/>
          <w:szCs w:val="24"/>
        </w:rPr>
      </w:pPr>
      <w:r>
        <w:rPr>
          <w:rFonts w:ascii="Arial" w:hAnsi="Arial" w:cs="Arial"/>
          <w:szCs w:val="24"/>
        </w:rPr>
        <w:t>Table 1a includes information in the RA zone excluding Vashon-Maury Island</w:t>
      </w:r>
      <w:r w:rsidR="00B7081E">
        <w:rPr>
          <w:rFonts w:ascii="Arial" w:hAnsi="Arial" w:cs="Arial"/>
          <w:szCs w:val="24"/>
        </w:rPr>
        <w:t>. U</w:t>
      </w:r>
      <w:r w:rsidR="00C76B8C">
        <w:rPr>
          <w:rFonts w:ascii="Arial" w:hAnsi="Arial" w:cs="Arial"/>
          <w:szCs w:val="24"/>
        </w:rPr>
        <w:t xml:space="preserve">nder the former code, all properties in the RA zone (over 47,000) could have attempted to establish a home occupation WBD, and over 10,000 properties in the RA zone could have attempted to establish a WBD </w:t>
      </w:r>
      <w:r>
        <w:rPr>
          <w:rFonts w:ascii="Arial" w:hAnsi="Arial" w:cs="Arial"/>
          <w:szCs w:val="24"/>
        </w:rPr>
        <w:t xml:space="preserve">with a lot size of over 4.5 acres </w:t>
      </w:r>
      <w:r w:rsidR="00B7081E">
        <w:rPr>
          <w:rFonts w:ascii="Arial" w:hAnsi="Arial" w:cs="Arial"/>
          <w:szCs w:val="24"/>
        </w:rPr>
        <w:t>with</w:t>
      </w:r>
      <w:r>
        <w:rPr>
          <w:rFonts w:ascii="Arial" w:hAnsi="Arial" w:cs="Arial"/>
          <w:szCs w:val="24"/>
        </w:rPr>
        <w:t xml:space="preserve"> no access requirement</w:t>
      </w:r>
      <w:r w:rsidR="00C76B8C">
        <w:rPr>
          <w:rFonts w:ascii="Arial" w:hAnsi="Arial" w:cs="Arial"/>
          <w:szCs w:val="24"/>
        </w:rPr>
        <w:t xml:space="preserve">.  </w:t>
      </w:r>
    </w:p>
    <w:p w14:paraId="418349A6" w14:textId="77777777" w:rsidR="0083235F" w:rsidRDefault="0083235F" w:rsidP="005B478C">
      <w:pPr>
        <w:jc w:val="both"/>
        <w:rPr>
          <w:rFonts w:ascii="Arial" w:hAnsi="Arial" w:cs="Arial"/>
          <w:szCs w:val="24"/>
        </w:rPr>
      </w:pPr>
    </w:p>
    <w:p w14:paraId="612A1551" w14:textId="540244EC" w:rsidR="00152736" w:rsidRDefault="00C76B8C" w:rsidP="005B478C">
      <w:pPr>
        <w:jc w:val="both"/>
        <w:rPr>
          <w:rFonts w:ascii="Arial" w:hAnsi="Arial" w:cs="Arial"/>
          <w:szCs w:val="24"/>
        </w:rPr>
      </w:pPr>
      <w:r>
        <w:rPr>
          <w:rFonts w:ascii="Arial" w:hAnsi="Arial" w:cs="Arial"/>
          <w:szCs w:val="24"/>
        </w:rPr>
        <w:t>Under 19030, under 6,000 properties</w:t>
      </w:r>
      <w:r w:rsidR="0083235F">
        <w:rPr>
          <w:rFonts w:ascii="Arial" w:hAnsi="Arial" w:cs="Arial"/>
          <w:szCs w:val="24"/>
        </w:rPr>
        <w:t xml:space="preserve"> in the RA zone</w:t>
      </w:r>
      <w:r>
        <w:rPr>
          <w:rFonts w:ascii="Arial" w:hAnsi="Arial" w:cs="Arial"/>
          <w:szCs w:val="24"/>
        </w:rPr>
        <w:t xml:space="preserve"> </w:t>
      </w:r>
      <w:r w:rsidR="001B382A">
        <w:rPr>
          <w:rFonts w:ascii="Arial" w:hAnsi="Arial" w:cs="Arial"/>
          <w:szCs w:val="24"/>
        </w:rPr>
        <w:t xml:space="preserve">could </w:t>
      </w:r>
      <w:r>
        <w:rPr>
          <w:rFonts w:ascii="Arial" w:hAnsi="Arial" w:cs="Arial"/>
          <w:szCs w:val="24"/>
        </w:rPr>
        <w:t>attempt to establish a WBD II, even with the lower minimum lot size</w:t>
      </w:r>
      <w:r w:rsidR="0083235F">
        <w:rPr>
          <w:rFonts w:ascii="Arial" w:hAnsi="Arial" w:cs="Arial"/>
          <w:szCs w:val="24"/>
        </w:rPr>
        <w:t xml:space="preserve">, </w:t>
      </w:r>
      <w:r w:rsidR="00B7081E">
        <w:rPr>
          <w:rFonts w:ascii="Arial" w:hAnsi="Arial" w:cs="Arial"/>
          <w:szCs w:val="24"/>
        </w:rPr>
        <w:t>due to</w:t>
      </w:r>
      <w:r w:rsidR="0083235F">
        <w:rPr>
          <w:rFonts w:ascii="Arial" w:hAnsi="Arial" w:cs="Arial"/>
          <w:szCs w:val="24"/>
        </w:rPr>
        <w:t xml:space="preserve"> the access requirement</w:t>
      </w:r>
      <w:r>
        <w:rPr>
          <w:rFonts w:ascii="Arial" w:hAnsi="Arial" w:cs="Arial"/>
          <w:szCs w:val="24"/>
        </w:rPr>
        <w:t>.</w:t>
      </w:r>
    </w:p>
    <w:p w14:paraId="0DF1836E" w14:textId="054BD37A" w:rsidR="00152736" w:rsidRDefault="00152736" w:rsidP="005B478C">
      <w:pPr>
        <w:jc w:val="both"/>
        <w:rPr>
          <w:rFonts w:ascii="Arial" w:hAnsi="Arial" w:cs="Arial"/>
          <w:szCs w:val="24"/>
        </w:rPr>
      </w:pPr>
    </w:p>
    <w:p w14:paraId="48FCB1DB" w14:textId="0B7F537E" w:rsidR="00152736" w:rsidRPr="00DA7512" w:rsidRDefault="00152736" w:rsidP="00DA7512">
      <w:pPr>
        <w:jc w:val="center"/>
        <w:rPr>
          <w:rFonts w:ascii="Arial" w:hAnsi="Arial" w:cs="Arial"/>
          <w:b/>
          <w:bCs/>
          <w:szCs w:val="24"/>
        </w:rPr>
      </w:pPr>
      <w:r w:rsidRPr="00DA7512">
        <w:rPr>
          <w:rFonts w:ascii="Arial" w:hAnsi="Arial" w:cs="Arial"/>
          <w:b/>
          <w:bCs/>
          <w:szCs w:val="24"/>
        </w:rPr>
        <w:t>Table 1</w:t>
      </w:r>
      <w:r w:rsidR="0083235F">
        <w:rPr>
          <w:rFonts w:ascii="Arial" w:hAnsi="Arial" w:cs="Arial"/>
          <w:b/>
          <w:bCs/>
          <w:szCs w:val="24"/>
        </w:rPr>
        <w:t>a</w:t>
      </w:r>
      <w:r w:rsidRPr="00DA7512">
        <w:rPr>
          <w:rFonts w:ascii="Arial" w:hAnsi="Arial" w:cs="Arial"/>
          <w:b/>
          <w:bCs/>
          <w:szCs w:val="24"/>
        </w:rPr>
        <w:t>. GIS analysis of parcels available for WBDs</w:t>
      </w:r>
      <w:r w:rsidR="00DA7512">
        <w:rPr>
          <w:rFonts w:ascii="Arial" w:hAnsi="Arial" w:cs="Arial"/>
          <w:b/>
          <w:bCs/>
          <w:szCs w:val="24"/>
        </w:rPr>
        <w:t xml:space="preserve"> II – RA zone</w:t>
      </w:r>
      <w:r w:rsidR="0083235F">
        <w:rPr>
          <w:rFonts w:ascii="Arial" w:hAnsi="Arial" w:cs="Arial"/>
          <w:b/>
          <w:bCs/>
          <w:szCs w:val="24"/>
        </w:rPr>
        <w:t xml:space="preserve"> </w:t>
      </w:r>
    </w:p>
    <w:tbl>
      <w:tblPr>
        <w:tblW w:w="9481" w:type="dxa"/>
        <w:tblInd w:w="118" w:type="dxa"/>
        <w:tblLook w:val="04A0" w:firstRow="1" w:lastRow="0" w:firstColumn="1" w:lastColumn="0" w:noHBand="0" w:noVBand="1"/>
      </w:tblPr>
      <w:tblGrid>
        <w:gridCol w:w="2582"/>
        <w:gridCol w:w="1852"/>
        <w:gridCol w:w="1946"/>
        <w:gridCol w:w="1727"/>
        <w:gridCol w:w="1354"/>
        <w:gridCol w:w="20"/>
      </w:tblGrid>
      <w:tr w:rsidR="00152736" w:rsidRPr="00152736" w14:paraId="40611A60" w14:textId="77777777" w:rsidTr="00433631">
        <w:trPr>
          <w:trHeight w:val="315"/>
        </w:trPr>
        <w:tc>
          <w:tcPr>
            <w:tcW w:w="9481" w:type="dxa"/>
            <w:gridSpan w:val="6"/>
            <w:tcBorders>
              <w:top w:val="single" w:sz="8" w:space="0" w:color="auto"/>
              <w:left w:val="single" w:sz="8" w:space="0" w:color="auto"/>
              <w:bottom w:val="single" w:sz="8" w:space="0" w:color="auto"/>
              <w:right w:val="single" w:sz="8" w:space="0" w:color="000000"/>
            </w:tcBorders>
            <w:shd w:val="clear" w:color="auto" w:fill="000000" w:themeFill="text1"/>
            <w:noWrap/>
            <w:vAlign w:val="center"/>
            <w:hideMark/>
          </w:tcPr>
          <w:p w14:paraId="37C29F2C" w14:textId="77777777" w:rsidR="00152736" w:rsidRPr="00152736" w:rsidRDefault="00152736" w:rsidP="00152736">
            <w:pPr>
              <w:jc w:val="center"/>
              <w:rPr>
                <w:rFonts w:ascii="Arial" w:hAnsi="Arial" w:cs="Arial"/>
                <w:b/>
                <w:bCs/>
                <w:color w:val="FFFFFF"/>
                <w:sz w:val="22"/>
                <w:szCs w:val="22"/>
              </w:rPr>
            </w:pPr>
            <w:r w:rsidRPr="00152736">
              <w:rPr>
                <w:rFonts w:ascii="Arial" w:hAnsi="Arial" w:cs="Arial"/>
                <w:b/>
                <w:bCs/>
                <w:color w:val="FFFFFF"/>
                <w:sz w:val="22"/>
                <w:szCs w:val="22"/>
              </w:rPr>
              <w:t>King County minus Vashon-Maury Island - RA zone</w:t>
            </w:r>
          </w:p>
        </w:tc>
      </w:tr>
      <w:tr w:rsidR="00152736" w:rsidRPr="00152736" w14:paraId="4E446A25" w14:textId="77777777" w:rsidTr="00433631">
        <w:trPr>
          <w:gridAfter w:val="1"/>
          <w:wAfter w:w="20" w:type="dxa"/>
          <w:trHeight w:val="315"/>
        </w:trPr>
        <w:tc>
          <w:tcPr>
            <w:tcW w:w="258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683DA1F9" w14:textId="77777777" w:rsidR="00152736" w:rsidRPr="00152736" w:rsidRDefault="00152736" w:rsidP="00152736">
            <w:pPr>
              <w:rPr>
                <w:rFonts w:ascii="Arial" w:hAnsi="Arial" w:cs="Arial"/>
                <w:color w:val="000000"/>
                <w:sz w:val="22"/>
                <w:szCs w:val="22"/>
              </w:rPr>
            </w:pPr>
            <w:r w:rsidRPr="00152736">
              <w:rPr>
                <w:rFonts w:ascii="Arial" w:hAnsi="Arial" w:cs="Arial"/>
                <w:color w:val="000000"/>
                <w:sz w:val="22"/>
                <w:szCs w:val="22"/>
              </w:rPr>
              <w:t> </w:t>
            </w:r>
          </w:p>
        </w:tc>
        <w:tc>
          <w:tcPr>
            <w:tcW w:w="1852" w:type="dxa"/>
            <w:tcBorders>
              <w:top w:val="nil"/>
              <w:left w:val="nil"/>
              <w:bottom w:val="single" w:sz="8" w:space="0" w:color="auto"/>
              <w:right w:val="single" w:sz="8" w:space="0" w:color="auto"/>
            </w:tcBorders>
            <w:shd w:val="clear" w:color="auto" w:fill="BFBFBF" w:themeFill="background1" w:themeFillShade="BF"/>
            <w:noWrap/>
            <w:vAlign w:val="center"/>
            <w:hideMark/>
          </w:tcPr>
          <w:p w14:paraId="1F7BCA24" w14:textId="5F3DB804" w:rsidR="00152736" w:rsidRPr="00152736" w:rsidRDefault="00152736" w:rsidP="00152736">
            <w:pPr>
              <w:jc w:val="center"/>
              <w:rPr>
                <w:rFonts w:ascii="Arial" w:hAnsi="Arial" w:cs="Arial"/>
                <w:b/>
                <w:bCs/>
                <w:color w:val="000000"/>
                <w:sz w:val="22"/>
                <w:szCs w:val="22"/>
              </w:rPr>
            </w:pPr>
            <w:r w:rsidRPr="00152736">
              <w:rPr>
                <w:rFonts w:ascii="Arial" w:hAnsi="Arial" w:cs="Arial"/>
                <w:b/>
                <w:bCs/>
                <w:color w:val="000000"/>
                <w:sz w:val="22"/>
                <w:szCs w:val="22"/>
              </w:rPr>
              <w:t>Less than 2.5ac</w:t>
            </w:r>
          </w:p>
        </w:tc>
        <w:tc>
          <w:tcPr>
            <w:tcW w:w="1946" w:type="dxa"/>
            <w:tcBorders>
              <w:top w:val="nil"/>
              <w:left w:val="nil"/>
              <w:bottom w:val="single" w:sz="8" w:space="0" w:color="auto"/>
              <w:right w:val="single" w:sz="8" w:space="0" w:color="auto"/>
            </w:tcBorders>
            <w:shd w:val="clear" w:color="auto" w:fill="BFBFBF" w:themeFill="background1" w:themeFillShade="BF"/>
            <w:noWrap/>
            <w:vAlign w:val="center"/>
            <w:hideMark/>
          </w:tcPr>
          <w:p w14:paraId="6B068424" w14:textId="7C93FBBA" w:rsidR="00152736" w:rsidRPr="00152736" w:rsidRDefault="00152736" w:rsidP="00152736">
            <w:pPr>
              <w:jc w:val="center"/>
              <w:rPr>
                <w:rFonts w:ascii="Arial" w:hAnsi="Arial" w:cs="Arial"/>
                <w:b/>
                <w:bCs/>
                <w:color w:val="000000"/>
                <w:sz w:val="22"/>
                <w:szCs w:val="22"/>
              </w:rPr>
            </w:pPr>
            <w:r w:rsidRPr="00152736">
              <w:rPr>
                <w:rFonts w:ascii="Arial" w:hAnsi="Arial" w:cs="Arial"/>
                <w:b/>
                <w:bCs/>
                <w:color w:val="000000"/>
                <w:sz w:val="22"/>
                <w:szCs w:val="22"/>
              </w:rPr>
              <w:t>2.5ac</w:t>
            </w:r>
            <w:r>
              <w:rPr>
                <w:rFonts w:ascii="Arial" w:hAnsi="Arial" w:cs="Arial"/>
                <w:b/>
                <w:bCs/>
                <w:color w:val="000000"/>
                <w:sz w:val="22"/>
                <w:szCs w:val="22"/>
              </w:rPr>
              <w:t xml:space="preserve"> to</w:t>
            </w:r>
            <w:r w:rsidRPr="00152736">
              <w:rPr>
                <w:rFonts w:ascii="Arial" w:hAnsi="Arial" w:cs="Arial"/>
                <w:b/>
                <w:bCs/>
                <w:color w:val="000000"/>
                <w:sz w:val="22"/>
                <w:szCs w:val="22"/>
              </w:rPr>
              <w:t xml:space="preserve"> less than 4.5ac</w:t>
            </w:r>
          </w:p>
        </w:tc>
        <w:tc>
          <w:tcPr>
            <w:tcW w:w="1727" w:type="dxa"/>
            <w:tcBorders>
              <w:top w:val="nil"/>
              <w:left w:val="nil"/>
              <w:bottom w:val="single" w:sz="8" w:space="0" w:color="auto"/>
              <w:right w:val="single" w:sz="8" w:space="0" w:color="auto"/>
            </w:tcBorders>
            <w:shd w:val="clear" w:color="auto" w:fill="BFBFBF" w:themeFill="background1" w:themeFillShade="BF"/>
            <w:noWrap/>
            <w:vAlign w:val="center"/>
            <w:hideMark/>
          </w:tcPr>
          <w:p w14:paraId="74085AB4" w14:textId="542D0C4D" w:rsidR="00152736" w:rsidRPr="00152736" w:rsidRDefault="00152736" w:rsidP="00152736">
            <w:pPr>
              <w:jc w:val="center"/>
              <w:rPr>
                <w:rFonts w:ascii="Arial" w:hAnsi="Arial" w:cs="Arial"/>
                <w:b/>
                <w:bCs/>
                <w:color w:val="000000"/>
                <w:sz w:val="22"/>
                <w:szCs w:val="22"/>
              </w:rPr>
            </w:pPr>
            <w:r w:rsidRPr="00152736">
              <w:rPr>
                <w:rFonts w:ascii="Arial" w:hAnsi="Arial" w:cs="Arial"/>
                <w:b/>
                <w:bCs/>
                <w:color w:val="000000"/>
                <w:sz w:val="22"/>
                <w:szCs w:val="22"/>
              </w:rPr>
              <w:t>4.5ac or more</w:t>
            </w:r>
          </w:p>
        </w:tc>
        <w:tc>
          <w:tcPr>
            <w:tcW w:w="1354" w:type="dxa"/>
            <w:tcBorders>
              <w:top w:val="nil"/>
              <w:left w:val="nil"/>
              <w:bottom w:val="single" w:sz="8" w:space="0" w:color="auto"/>
              <w:right w:val="single" w:sz="8" w:space="0" w:color="auto"/>
            </w:tcBorders>
            <w:shd w:val="clear" w:color="auto" w:fill="BFBFBF" w:themeFill="background1" w:themeFillShade="BF"/>
            <w:noWrap/>
            <w:vAlign w:val="center"/>
            <w:hideMark/>
          </w:tcPr>
          <w:p w14:paraId="7F8C8E84" w14:textId="77777777" w:rsidR="00152736" w:rsidRPr="00152736" w:rsidRDefault="00152736" w:rsidP="00152736">
            <w:pPr>
              <w:jc w:val="center"/>
              <w:rPr>
                <w:rFonts w:ascii="Arial" w:hAnsi="Arial" w:cs="Arial"/>
                <w:b/>
                <w:bCs/>
                <w:color w:val="000000"/>
                <w:sz w:val="22"/>
                <w:szCs w:val="22"/>
              </w:rPr>
            </w:pPr>
            <w:r w:rsidRPr="00152736">
              <w:rPr>
                <w:rFonts w:ascii="Arial" w:hAnsi="Arial" w:cs="Arial"/>
                <w:b/>
                <w:bCs/>
                <w:color w:val="000000"/>
                <w:sz w:val="22"/>
                <w:szCs w:val="22"/>
              </w:rPr>
              <w:t>All properties</w:t>
            </w:r>
          </w:p>
        </w:tc>
      </w:tr>
      <w:tr w:rsidR="00152736" w:rsidRPr="00152736" w14:paraId="5D2715C5" w14:textId="77777777" w:rsidTr="00433631">
        <w:trPr>
          <w:gridAfter w:val="1"/>
          <w:wAfter w:w="20" w:type="dxa"/>
          <w:trHeight w:val="315"/>
        </w:trPr>
        <w:tc>
          <w:tcPr>
            <w:tcW w:w="2582"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31A8E196" w14:textId="77777777" w:rsidR="00152736" w:rsidRPr="00152736" w:rsidRDefault="00152736" w:rsidP="00152736">
            <w:pPr>
              <w:rPr>
                <w:rFonts w:ascii="Arial" w:hAnsi="Arial" w:cs="Arial"/>
                <w:color w:val="000000"/>
                <w:sz w:val="22"/>
                <w:szCs w:val="22"/>
              </w:rPr>
            </w:pPr>
            <w:r w:rsidRPr="00152736">
              <w:rPr>
                <w:rFonts w:ascii="Arial" w:hAnsi="Arial" w:cs="Arial"/>
                <w:color w:val="000000"/>
                <w:sz w:val="22"/>
                <w:szCs w:val="22"/>
              </w:rPr>
              <w:t>All properties</w:t>
            </w:r>
          </w:p>
        </w:tc>
        <w:tc>
          <w:tcPr>
            <w:tcW w:w="1852" w:type="dxa"/>
            <w:tcBorders>
              <w:top w:val="nil"/>
              <w:left w:val="nil"/>
              <w:bottom w:val="single" w:sz="8" w:space="0" w:color="auto"/>
              <w:right w:val="single" w:sz="8" w:space="0" w:color="auto"/>
            </w:tcBorders>
            <w:shd w:val="clear" w:color="auto" w:fill="auto"/>
            <w:noWrap/>
            <w:vAlign w:val="center"/>
            <w:hideMark/>
          </w:tcPr>
          <w:p w14:paraId="36E310A8"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32,662</w:t>
            </w:r>
          </w:p>
        </w:tc>
        <w:tc>
          <w:tcPr>
            <w:tcW w:w="1946" w:type="dxa"/>
            <w:tcBorders>
              <w:top w:val="nil"/>
              <w:left w:val="nil"/>
              <w:bottom w:val="single" w:sz="8" w:space="0" w:color="auto"/>
              <w:right w:val="single" w:sz="8" w:space="0" w:color="auto"/>
            </w:tcBorders>
            <w:shd w:val="clear" w:color="auto" w:fill="auto"/>
            <w:noWrap/>
            <w:vAlign w:val="center"/>
            <w:hideMark/>
          </w:tcPr>
          <w:p w14:paraId="4002DCB7"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4,498</w:t>
            </w:r>
          </w:p>
        </w:tc>
        <w:tc>
          <w:tcPr>
            <w:tcW w:w="1727" w:type="dxa"/>
            <w:tcBorders>
              <w:top w:val="nil"/>
              <w:left w:val="nil"/>
              <w:bottom w:val="single" w:sz="8" w:space="0" w:color="auto"/>
              <w:right w:val="single" w:sz="8" w:space="0" w:color="auto"/>
            </w:tcBorders>
            <w:shd w:val="clear" w:color="auto" w:fill="auto"/>
            <w:noWrap/>
            <w:vAlign w:val="center"/>
            <w:hideMark/>
          </w:tcPr>
          <w:p w14:paraId="48DA3099"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10,247</w:t>
            </w:r>
          </w:p>
        </w:tc>
        <w:tc>
          <w:tcPr>
            <w:tcW w:w="1354" w:type="dxa"/>
            <w:tcBorders>
              <w:top w:val="nil"/>
              <w:left w:val="nil"/>
              <w:bottom w:val="single" w:sz="8" w:space="0" w:color="auto"/>
              <w:right w:val="single" w:sz="8" w:space="0" w:color="auto"/>
            </w:tcBorders>
            <w:shd w:val="clear" w:color="auto" w:fill="auto"/>
            <w:noWrap/>
            <w:vAlign w:val="center"/>
            <w:hideMark/>
          </w:tcPr>
          <w:p w14:paraId="7587286F"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47,407</w:t>
            </w:r>
          </w:p>
        </w:tc>
      </w:tr>
      <w:tr w:rsidR="00152736" w:rsidRPr="00152736" w14:paraId="14F8C439" w14:textId="77777777" w:rsidTr="00433631">
        <w:trPr>
          <w:gridAfter w:val="1"/>
          <w:wAfter w:w="20" w:type="dxa"/>
          <w:trHeight w:val="315"/>
        </w:trPr>
        <w:tc>
          <w:tcPr>
            <w:tcW w:w="2582"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3F7B12B0" w14:textId="1499F5ED" w:rsidR="00152736" w:rsidRPr="00152736" w:rsidRDefault="00152736" w:rsidP="00152736">
            <w:pPr>
              <w:rPr>
                <w:rFonts w:ascii="Arial" w:hAnsi="Arial" w:cs="Arial"/>
                <w:color w:val="000000"/>
                <w:sz w:val="22"/>
                <w:szCs w:val="22"/>
              </w:rPr>
            </w:pPr>
            <w:r w:rsidRPr="00152736">
              <w:rPr>
                <w:rFonts w:ascii="Arial" w:hAnsi="Arial" w:cs="Arial"/>
                <w:color w:val="000000"/>
                <w:sz w:val="22"/>
                <w:szCs w:val="22"/>
              </w:rPr>
              <w:t>Accessible by a public road</w:t>
            </w:r>
            <w:r w:rsidR="00947964">
              <w:rPr>
                <w:rFonts w:ascii="Arial" w:hAnsi="Arial" w:cs="Arial"/>
                <w:color w:val="000000"/>
                <w:sz w:val="22"/>
                <w:szCs w:val="22"/>
              </w:rPr>
              <w:t xml:space="preserve"> (inc. arterial)</w:t>
            </w:r>
          </w:p>
        </w:tc>
        <w:tc>
          <w:tcPr>
            <w:tcW w:w="1852" w:type="dxa"/>
            <w:tcBorders>
              <w:top w:val="nil"/>
              <w:left w:val="nil"/>
              <w:bottom w:val="single" w:sz="8" w:space="0" w:color="auto"/>
              <w:right w:val="single" w:sz="8" w:space="0" w:color="auto"/>
            </w:tcBorders>
            <w:shd w:val="clear" w:color="auto" w:fill="auto"/>
            <w:noWrap/>
            <w:vAlign w:val="center"/>
            <w:hideMark/>
          </w:tcPr>
          <w:p w14:paraId="6F88C7E5"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21,041</w:t>
            </w:r>
          </w:p>
        </w:tc>
        <w:tc>
          <w:tcPr>
            <w:tcW w:w="1946" w:type="dxa"/>
            <w:tcBorders>
              <w:top w:val="nil"/>
              <w:left w:val="nil"/>
              <w:bottom w:val="single" w:sz="8" w:space="0" w:color="auto"/>
              <w:right w:val="single" w:sz="8" w:space="0" w:color="auto"/>
            </w:tcBorders>
            <w:shd w:val="clear" w:color="auto" w:fill="auto"/>
            <w:noWrap/>
            <w:vAlign w:val="center"/>
            <w:hideMark/>
          </w:tcPr>
          <w:p w14:paraId="6D6993D9"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1,948</w:t>
            </w:r>
          </w:p>
        </w:tc>
        <w:tc>
          <w:tcPr>
            <w:tcW w:w="1727" w:type="dxa"/>
            <w:tcBorders>
              <w:top w:val="nil"/>
              <w:left w:val="nil"/>
              <w:bottom w:val="single" w:sz="8" w:space="0" w:color="auto"/>
              <w:right w:val="single" w:sz="8" w:space="0" w:color="auto"/>
            </w:tcBorders>
            <w:shd w:val="clear" w:color="auto" w:fill="auto"/>
            <w:noWrap/>
            <w:vAlign w:val="center"/>
            <w:hideMark/>
          </w:tcPr>
          <w:p w14:paraId="0659EF2F"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3,732</w:t>
            </w:r>
          </w:p>
        </w:tc>
        <w:tc>
          <w:tcPr>
            <w:tcW w:w="1354" w:type="dxa"/>
            <w:tcBorders>
              <w:top w:val="nil"/>
              <w:left w:val="nil"/>
              <w:bottom w:val="single" w:sz="8" w:space="0" w:color="auto"/>
              <w:right w:val="single" w:sz="8" w:space="0" w:color="auto"/>
            </w:tcBorders>
            <w:shd w:val="clear" w:color="auto" w:fill="auto"/>
            <w:noWrap/>
            <w:vAlign w:val="center"/>
            <w:hideMark/>
          </w:tcPr>
          <w:p w14:paraId="4339A196"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26,721</w:t>
            </w:r>
          </w:p>
        </w:tc>
      </w:tr>
      <w:tr w:rsidR="00152736" w:rsidRPr="00152736" w14:paraId="2A749869" w14:textId="77777777" w:rsidTr="00433631">
        <w:trPr>
          <w:gridAfter w:val="1"/>
          <w:wAfter w:w="20" w:type="dxa"/>
          <w:trHeight w:val="315"/>
        </w:trPr>
        <w:tc>
          <w:tcPr>
            <w:tcW w:w="2582"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268C722F" w14:textId="77777777" w:rsidR="00152736" w:rsidRPr="00152736" w:rsidRDefault="00152736" w:rsidP="00152736">
            <w:pPr>
              <w:rPr>
                <w:rFonts w:ascii="Arial" w:hAnsi="Arial" w:cs="Arial"/>
                <w:color w:val="000000"/>
                <w:sz w:val="22"/>
                <w:szCs w:val="22"/>
              </w:rPr>
            </w:pPr>
            <w:r w:rsidRPr="00152736">
              <w:rPr>
                <w:rFonts w:ascii="Arial" w:hAnsi="Arial" w:cs="Arial"/>
                <w:color w:val="000000"/>
                <w:sz w:val="22"/>
                <w:szCs w:val="22"/>
              </w:rPr>
              <w:t>Accessible by arterial</w:t>
            </w:r>
          </w:p>
        </w:tc>
        <w:tc>
          <w:tcPr>
            <w:tcW w:w="1852" w:type="dxa"/>
            <w:tcBorders>
              <w:top w:val="nil"/>
              <w:left w:val="nil"/>
              <w:bottom w:val="single" w:sz="8" w:space="0" w:color="auto"/>
              <w:right w:val="single" w:sz="8" w:space="0" w:color="auto"/>
            </w:tcBorders>
            <w:shd w:val="clear" w:color="auto" w:fill="auto"/>
            <w:noWrap/>
            <w:vAlign w:val="center"/>
            <w:hideMark/>
          </w:tcPr>
          <w:p w14:paraId="750546BE"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4,441</w:t>
            </w:r>
          </w:p>
        </w:tc>
        <w:tc>
          <w:tcPr>
            <w:tcW w:w="1946" w:type="dxa"/>
            <w:tcBorders>
              <w:top w:val="nil"/>
              <w:left w:val="nil"/>
              <w:bottom w:val="single" w:sz="8" w:space="0" w:color="auto"/>
              <w:right w:val="single" w:sz="8" w:space="0" w:color="auto"/>
            </w:tcBorders>
            <w:shd w:val="clear" w:color="auto" w:fill="auto"/>
            <w:noWrap/>
            <w:vAlign w:val="center"/>
            <w:hideMark/>
          </w:tcPr>
          <w:p w14:paraId="6677E6C6"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970</w:t>
            </w:r>
          </w:p>
        </w:tc>
        <w:tc>
          <w:tcPr>
            <w:tcW w:w="1727" w:type="dxa"/>
            <w:tcBorders>
              <w:top w:val="nil"/>
              <w:left w:val="nil"/>
              <w:bottom w:val="single" w:sz="8" w:space="0" w:color="auto"/>
              <w:right w:val="single" w:sz="8" w:space="0" w:color="auto"/>
            </w:tcBorders>
            <w:shd w:val="clear" w:color="auto" w:fill="auto"/>
            <w:noWrap/>
            <w:vAlign w:val="center"/>
            <w:hideMark/>
          </w:tcPr>
          <w:p w14:paraId="20DD2E98"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2,021</w:t>
            </w:r>
          </w:p>
        </w:tc>
        <w:tc>
          <w:tcPr>
            <w:tcW w:w="1354" w:type="dxa"/>
            <w:tcBorders>
              <w:top w:val="nil"/>
              <w:left w:val="nil"/>
              <w:bottom w:val="single" w:sz="8" w:space="0" w:color="auto"/>
              <w:right w:val="single" w:sz="8" w:space="0" w:color="auto"/>
            </w:tcBorders>
            <w:shd w:val="clear" w:color="auto" w:fill="auto"/>
            <w:noWrap/>
            <w:vAlign w:val="center"/>
            <w:hideMark/>
          </w:tcPr>
          <w:p w14:paraId="60514FF0"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7,432</w:t>
            </w:r>
          </w:p>
        </w:tc>
      </w:tr>
      <w:tr w:rsidR="00152736" w:rsidRPr="00152736" w14:paraId="6E28C6F0" w14:textId="77777777" w:rsidTr="00433631">
        <w:trPr>
          <w:trHeight w:val="1096"/>
        </w:trPr>
        <w:tc>
          <w:tcPr>
            <w:tcW w:w="9481" w:type="dxa"/>
            <w:gridSpan w:val="6"/>
            <w:tcBorders>
              <w:top w:val="nil"/>
              <w:left w:val="nil"/>
              <w:right w:val="nil"/>
            </w:tcBorders>
            <w:shd w:val="clear" w:color="auto" w:fill="auto"/>
            <w:noWrap/>
            <w:hideMark/>
          </w:tcPr>
          <w:p w14:paraId="7D820CB3" w14:textId="4CCB8826" w:rsidR="00152736" w:rsidRPr="0083235F" w:rsidRDefault="00152736" w:rsidP="00433631">
            <w:pPr>
              <w:pStyle w:val="ListParagraph0"/>
              <w:numPr>
                <w:ilvl w:val="0"/>
                <w:numId w:val="7"/>
              </w:numPr>
              <w:ind w:left="337" w:right="-242" w:hanging="180"/>
              <w:rPr>
                <w:rFonts w:ascii="Arial" w:hAnsi="Arial" w:cs="Arial"/>
                <w:sz w:val="22"/>
                <w:szCs w:val="22"/>
              </w:rPr>
            </w:pPr>
            <w:r w:rsidRPr="0083235F">
              <w:rPr>
                <w:rFonts w:ascii="Arial" w:hAnsi="Arial" w:cs="Arial"/>
                <w:sz w:val="22"/>
                <w:szCs w:val="22"/>
              </w:rPr>
              <w:t>47,407 properties could have attempted to establish a home occupation WBD</w:t>
            </w:r>
            <w:r w:rsidR="00DA7512" w:rsidRPr="0083235F">
              <w:rPr>
                <w:rFonts w:ascii="Arial" w:hAnsi="Arial" w:cs="Arial"/>
                <w:sz w:val="22"/>
                <w:szCs w:val="22"/>
              </w:rPr>
              <w:t xml:space="preserve"> </w:t>
            </w:r>
            <w:r w:rsidRPr="0083235F">
              <w:rPr>
                <w:rFonts w:ascii="Arial" w:hAnsi="Arial" w:cs="Arial"/>
                <w:sz w:val="22"/>
                <w:szCs w:val="22"/>
              </w:rPr>
              <w:t>prior to 19030</w:t>
            </w:r>
          </w:p>
          <w:p w14:paraId="012E1828" w14:textId="1D131456" w:rsidR="00152736" w:rsidRPr="0083235F" w:rsidRDefault="00152736" w:rsidP="00433631">
            <w:pPr>
              <w:pStyle w:val="ListParagraph0"/>
              <w:numPr>
                <w:ilvl w:val="0"/>
                <w:numId w:val="7"/>
              </w:numPr>
              <w:ind w:left="337" w:hanging="180"/>
              <w:rPr>
                <w:rFonts w:ascii="Arial" w:hAnsi="Arial" w:cs="Arial"/>
                <w:sz w:val="22"/>
                <w:szCs w:val="22"/>
              </w:rPr>
            </w:pPr>
            <w:r w:rsidRPr="0083235F">
              <w:rPr>
                <w:rFonts w:ascii="Arial" w:hAnsi="Arial" w:cs="Arial"/>
                <w:sz w:val="22"/>
                <w:szCs w:val="22"/>
              </w:rPr>
              <w:t>10,2</w:t>
            </w:r>
            <w:r w:rsidR="00DA7512" w:rsidRPr="0083235F">
              <w:rPr>
                <w:rFonts w:ascii="Arial" w:hAnsi="Arial" w:cs="Arial"/>
                <w:sz w:val="22"/>
                <w:szCs w:val="22"/>
              </w:rPr>
              <w:t>4</w:t>
            </w:r>
            <w:r w:rsidRPr="0083235F">
              <w:rPr>
                <w:rFonts w:ascii="Arial" w:hAnsi="Arial" w:cs="Arial"/>
                <w:sz w:val="22"/>
                <w:szCs w:val="22"/>
              </w:rPr>
              <w:t>7 properties could have attempted to establish a WBD</w:t>
            </w:r>
            <w:r w:rsidR="00DA7512" w:rsidRPr="0083235F">
              <w:rPr>
                <w:rFonts w:ascii="Arial" w:hAnsi="Arial" w:cs="Arial"/>
                <w:sz w:val="22"/>
                <w:szCs w:val="22"/>
              </w:rPr>
              <w:t xml:space="preserve"> II</w:t>
            </w:r>
            <w:r w:rsidRPr="0083235F">
              <w:rPr>
                <w:rFonts w:ascii="Arial" w:hAnsi="Arial" w:cs="Arial"/>
                <w:sz w:val="22"/>
                <w:szCs w:val="22"/>
              </w:rPr>
              <w:t xml:space="preserve"> prior to 19030</w:t>
            </w:r>
          </w:p>
          <w:p w14:paraId="60616403" w14:textId="56DBE420" w:rsidR="00152736" w:rsidRPr="0083235F" w:rsidRDefault="00152736" w:rsidP="00433631">
            <w:pPr>
              <w:pStyle w:val="ListParagraph0"/>
              <w:numPr>
                <w:ilvl w:val="0"/>
                <w:numId w:val="7"/>
              </w:numPr>
              <w:ind w:left="337" w:hanging="180"/>
              <w:rPr>
                <w:rFonts w:ascii="Arial" w:hAnsi="Arial" w:cs="Arial"/>
                <w:sz w:val="22"/>
                <w:szCs w:val="22"/>
              </w:rPr>
            </w:pPr>
            <w:r w:rsidRPr="0083235F">
              <w:rPr>
                <w:rFonts w:ascii="Arial" w:hAnsi="Arial" w:cs="Arial"/>
                <w:sz w:val="22"/>
                <w:szCs w:val="22"/>
              </w:rPr>
              <w:t>5,680 (1,948 plus 3,732) properties could attempt to establish a WBD</w:t>
            </w:r>
            <w:r w:rsidR="00DA7512" w:rsidRPr="0083235F">
              <w:rPr>
                <w:rFonts w:ascii="Arial" w:hAnsi="Arial" w:cs="Arial"/>
                <w:sz w:val="22"/>
                <w:szCs w:val="22"/>
              </w:rPr>
              <w:t xml:space="preserve"> II</w:t>
            </w:r>
            <w:r w:rsidRPr="0083235F">
              <w:rPr>
                <w:rFonts w:ascii="Arial" w:hAnsi="Arial" w:cs="Arial"/>
                <w:sz w:val="22"/>
                <w:szCs w:val="22"/>
              </w:rPr>
              <w:t xml:space="preserve"> under 19030</w:t>
            </w:r>
          </w:p>
          <w:p w14:paraId="2C986A0A" w14:textId="77777777" w:rsidR="00152736" w:rsidRPr="00152736" w:rsidRDefault="00152736" w:rsidP="001B382A">
            <w:pPr>
              <w:rPr>
                <w:rFonts w:ascii="Arial" w:hAnsi="Arial" w:cs="Arial"/>
                <w:sz w:val="22"/>
                <w:szCs w:val="22"/>
              </w:rPr>
            </w:pPr>
          </w:p>
        </w:tc>
      </w:tr>
      <w:tr w:rsidR="0083235F" w:rsidRPr="00152736" w14:paraId="4D762A2F" w14:textId="77777777" w:rsidTr="00433631">
        <w:trPr>
          <w:trHeight w:val="315"/>
        </w:trPr>
        <w:tc>
          <w:tcPr>
            <w:tcW w:w="9481" w:type="dxa"/>
            <w:gridSpan w:val="6"/>
            <w:tcBorders>
              <w:top w:val="nil"/>
              <w:left w:val="nil"/>
              <w:bottom w:val="nil"/>
              <w:right w:val="nil"/>
            </w:tcBorders>
            <w:shd w:val="clear" w:color="auto" w:fill="auto"/>
            <w:noWrap/>
            <w:vAlign w:val="bottom"/>
          </w:tcPr>
          <w:p w14:paraId="64B9F844" w14:textId="2EB2C4B8" w:rsidR="0083235F" w:rsidRPr="00152736" w:rsidRDefault="0083235F" w:rsidP="0083235F">
            <w:pPr>
              <w:jc w:val="center"/>
              <w:rPr>
                <w:rFonts w:ascii="Arial" w:hAnsi="Arial" w:cs="Arial"/>
                <w:sz w:val="22"/>
                <w:szCs w:val="22"/>
              </w:rPr>
            </w:pPr>
            <w:bookmarkStart w:id="0" w:name="_Hlk98253441"/>
            <w:r w:rsidRPr="00DA7512">
              <w:rPr>
                <w:rFonts w:ascii="Arial" w:hAnsi="Arial" w:cs="Arial"/>
                <w:b/>
                <w:bCs/>
                <w:szCs w:val="24"/>
              </w:rPr>
              <w:t>Table 1</w:t>
            </w:r>
            <w:r>
              <w:rPr>
                <w:rFonts w:ascii="Arial" w:hAnsi="Arial" w:cs="Arial"/>
                <w:b/>
                <w:bCs/>
                <w:szCs w:val="24"/>
              </w:rPr>
              <w:t>b</w:t>
            </w:r>
            <w:r w:rsidRPr="00DA7512">
              <w:rPr>
                <w:rFonts w:ascii="Arial" w:hAnsi="Arial" w:cs="Arial"/>
                <w:b/>
                <w:bCs/>
                <w:szCs w:val="24"/>
              </w:rPr>
              <w:t>. GIS analysis of parcels available for WBDs</w:t>
            </w:r>
            <w:r>
              <w:rPr>
                <w:rFonts w:ascii="Arial" w:hAnsi="Arial" w:cs="Arial"/>
                <w:b/>
                <w:bCs/>
                <w:szCs w:val="24"/>
              </w:rPr>
              <w:t xml:space="preserve"> II – RA zone </w:t>
            </w:r>
          </w:p>
        </w:tc>
      </w:tr>
      <w:bookmarkEnd w:id="0"/>
      <w:tr w:rsidR="00152736" w:rsidRPr="00152736" w14:paraId="12DADDD7" w14:textId="77777777" w:rsidTr="00433631">
        <w:trPr>
          <w:trHeight w:val="315"/>
        </w:trPr>
        <w:tc>
          <w:tcPr>
            <w:tcW w:w="9481" w:type="dxa"/>
            <w:gridSpan w:val="6"/>
            <w:tcBorders>
              <w:top w:val="single" w:sz="8" w:space="0" w:color="auto"/>
              <w:left w:val="single" w:sz="8" w:space="0" w:color="auto"/>
              <w:bottom w:val="single" w:sz="8" w:space="0" w:color="auto"/>
              <w:right w:val="single" w:sz="8" w:space="0" w:color="000000"/>
            </w:tcBorders>
            <w:shd w:val="clear" w:color="auto" w:fill="000000" w:themeFill="text1"/>
            <w:noWrap/>
            <w:vAlign w:val="center"/>
            <w:hideMark/>
          </w:tcPr>
          <w:p w14:paraId="2D64E611" w14:textId="77777777" w:rsidR="00152736" w:rsidRPr="00152736" w:rsidRDefault="00152736" w:rsidP="00152736">
            <w:pPr>
              <w:jc w:val="center"/>
              <w:rPr>
                <w:rFonts w:ascii="Arial" w:hAnsi="Arial" w:cs="Arial"/>
                <w:b/>
                <w:bCs/>
                <w:color w:val="FFFFFF"/>
                <w:sz w:val="22"/>
                <w:szCs w:val="22"/>
              </w:rPr>
            </w:pPr>
            <w:r w:rsidRPr="00152736">
              <w:rPr>
                <w:rFonts w:ascii="Arial" w:hAnsi="Arial" w:cs="Arial"/>
                <w:b/>
                <w:bCs/>
                <w:color w:val="FFFFFF"/>
                <w:sz w:val="22"/>
                <w:szCs w:val="22"/>
              </w:rPr>
              <w:t>Vashon-Maury Island - RA zone</w:t>
            </w:r>
          </w:p>
        </w:tc>
      </w:tr>
      <w:tr w:rsidR="00152736" w:rsidRPr="00152736" w14:paraId="0120A904" w14:textId="77777777" w:rsidTr="00433631">
        <w:trPr>
          <w:gridAfter w:val="1"/>
          <w:wAfter w:w="20" w:type="dxa"/>
          <w:trHeight w:val="315"/>
        </w:trPr>
        <w:tc>
          <w:tcPr>
            <w:tcW w:w="2582"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717D3567" w14:textId="77777777" w:rsidR="00152736" w:rsidRPr="00152736" w:rsidRDefault="00152736" w:rsidP="00152736">
            <w:pPr>
              <w:rPr>
                <w:rFonts w:ascii="Arial" w:hAnsi="Arial" w:cs="Arial"/>
                <w:color w:val="000000"/>
                <w:sz w:val="22"/>
                <w:szCs w:val="22"/>
              </w:rPr>
            </w:pPr>
            <w:r w:rsidRPr="00152736">
              <w:rPr>
                <w:rFonts w:ascii="Arial" w:hAnsi="Arial" w:cs="Arial"/>
                <w:color w:val="000000"/>
                <w:sz w:val="22"/>
                <w:szCs w:val="22"/>
              </w:rPr>
              <w:t> </w:t>
            </w:r>
          </w:p>
        </w:tc>
        <w:tc>
          <w:tcPr>
            <w:tcW w:w="1852" w:type="dxa"/>
            <w:tcBorders>
              <w:top w:val="nil"/>
              <w:left w:val="nil"/>
              <w:bottom w:val="single" w:sz="8" w:space="0" w:color="auto"/>
              <w:right w:val="single" w:sz="8" w:space="0" w:color="auto"/>
            </w:tcBorders>
            <w:shd w:val="clear" w:color="auto" w:fill="D9D9D9" w:themeFill="background1" w:themeFillShade="D9"/>
            <w:noWrap/>
            <w:vAlign w:val="center"/>
            <w:hideMark/>
          </w:tcPr>
          <w:p w14:paraId="6B76A860" w14:textId="71EDCFD0" w:rsidR="00152736" w:rsidRPr="00152736" w:rsidRDefault="00152736" w:rsidP="00152736">
            <w:pPr>
              <w:jc w:val="center"/>
              <w:rPr>
                <w:rFonts w:ascii="Arial" w:hAnsi="Arial" w:cs="Arial"/>
                <w:b/>
                <w:bCs/>
                <w:color w:val="000000"/>
                <w:sz w:val="22"/>
                <w:szCs w:val="22"/>
              </w:rPr>
            </w:pPr>
            <w:r w:rsidRPr="00152736">
              <w:rPr>
                <w:rFonts w:ascii="Arial" w:hAnsi="Arial" w:cs="Arial"/>
                <w:b/>
                <w:bCs/>
                <w:color w:val="000000"/>
                <w:sz w:val="22"/>
                <w:szCs w:val="22"/>
              </w:rPr>
              <w:t>Less than 2.5ac</w:t>
            </w:r>
          </w:p>
        </w:tc>
        <w:tc>
          <w:tcPr>
            <w:tcW w:w="1946" w:type="dxa"/>
            <w:tcBorders>
              <w:top w:val="nil"/>
              <w:left w:val="nil"/>
              <w:bottom w:val="single" w:sz="8" w:space="0" w:color="auto"/>
              <w:right w:val="single" w:sz="8" w:space="0" w:color="auto"/>
            </w:tcBorders>
            <w:shd w:val="clear" w:color="auto" w:fill="D9D9D9" w:themeFill="background1" w:themeFillShade="D9"/>
            <w:noWrap/>
            <w:vAlign w:val="center"/>
            <w:hideMark/>
          </w:tcPr>
          <w:p w14:paraId="422663BC" w14:textId="7CAFB324" w:rsidR="00152736" w:rsidRPr="00152736" w:rsidRDefault="00152736" w:rsidP="00152736">
            <w:pPr>
              <w:jc w:val="center"/>
              <w:rPr>
                <w:rFonts w:ascii="Arial" w:hAnsi="Arial" w:cs="Arial"/>
                <w:b/>
                <w:bCs/>
                <w:color w:val="000000"/>
                <w:sz w:val="22"/>
                <w:szCs w:val="22"/>
              </w:rPr>
            </w:pPr>
            <w:r w:rsidRPr="00152736">
              <w:rPr>
                <w:rFonts w:ascii="Arial" w:hAnsi="Arial" w:cs="Arial"/>
                <w:b/>
                <w:bCs/>
                <w:color w:val="000000"/>
                <w:sz w:val="22"/>
                <w:szCs w:val="22"/>
              </w:rPr>
              <w:t>2.5ac</w:t>
            </w:r>
            <w:r>
              <w:rPr>
                <w:rFonts w:ascii="Arial" w:hAnsi="Arial" w:cs="Arial"/>
                <w:b/>
                <w:bCs/>
                <w:color w:val="000000"/>
                <w:sz w:val="22"/>
                <w:szCs w:val="22"/>
              </w:rPr>
              <w:t xml:space="preserve"> to</w:t>
            </w:r>
            <w:r w:rsidRPr="00152736">
              <w:rPr>
                <w:rFonts w:ascii="Arial" w:hAnsi="Arial" w:cs="Arial"/>
                <w:b/>
                <w:bCs/>
                <w:color w:val="000000"/>
                <w:sz w:val="22"/>
                <w:szCs w:val="22"/>
              </w:rPr>
              <w:t xml:space="preserve"> less than 4.5ac</w:t>
            </w:r>
          </w:p>
        </w:tc>
        <w:tc>
          <w:tcPr>
            <w:tcW w:w="1727" w:type="dxa"/>
            <w:tcBorders>
              <w:top w:val="nil"/>
              <w:left w:val="nil"/>
              <w:bottom w:val="single" w:sz="8" w:space="0" w:color="auto"/>
              <w:right w:val="single" w:sz="8" w:space="0" w:color="auto"/>
            </w:tcBorders>
            <w:shd w:val="clear" w:color="auto" w:fill="D9D9D9" w:themeFill="background1" w:themeFillShade="D9"/>
            <w:noWrap/>
            <w:vAlign w:val="center"/>
            <w:hideMark/>
          </w:tcPr>
          <w:p w14:paraId="55CCFCAF" w14:textId="5380531D" w:rsidR="00152736" w:rsidRPr="00152736" w:rsidRDefault="00152736" w:rsidP="00152736">
            <w:pPr>
              <w:jc w:val="center"/>
              <w:rPr>
                <w:rFonts w:ascii="Arial" w:hAnsi="Arial" w:cs="Arial"/>
                <w:b/>
                <w:bCs/>
                <w:color w:val="000000"/>
                <w:sz w:val="22"/>
                <w:szCs w:val="22"/>
              </w:rPr>
            </w:pPr>
            <w:r w:rsidRPr="00152736">
              <w:rPr>
                <w:rFonts w:ascii="Arial" w:hAnsi="Arial" w:cs="Arial"/>
                <w:b/>
                <w:bCs/>
                <w:color w:val="000000"/>
                <w:sz w:val="22"/>
                <w:szCs w:val="22"/>
              </w:rPr>
              <w:t>4.5ac or more</w:t>
            </w:r>
          </w:p>
        </w:tc>
        <w:tc>
          <w:tcPr>
            <w:tcW w:w="1354" w:type="dxa"/>
            <w:tcBorders>
              <w:top w:val="nil"/>
              <w:left w:val="nil"/>
              <w:bottom w:val="single" w:sz="8" w:space="0" w:color="auto"/>
              <w:right w:val="single" w:sz="8" w:space="0" w:color="auto"/>
            </w:tcBorders>
            <w:shd w:val="clear" w:color="auto" w:fill="D9D9D9" w:themeFill="background1" w:themeFillShade="D9"/>
            <w:noWrap/>
            <w:vAlign w:val="center"/>
            <w:hideMark/>
          </w:tcPr>
          <w:p w14:paraId="3406BA2A" w14:textId="3B945E18" w:rsidR="00152736" w:rsidRPr="00152736" w:rsidRDefault="00152736" w:rsidP="00152736">
            <w:pPr>
              <w:jc w:val="center"/>
              <w:rPr>
                <w:rFonts w:ascii="Arial" w:hAnsi="Arial" w:cs="Arial"/>
                <w:b/>
                <w:bCs/>
                <w:color w:val="000000"/>
                <w:sz w:val="22"/>
                <w:szCs w:val="22"/>
              </w:rPr>
            </w:pPr>
            <w:r w:rsidRPr="00152736">
              <w:rPr>
                <w:rFonts w:ascii="Arial" w:hAnsi="Arial" w:cs="Arial"/>
                <w:b/>
                <w:bCs/>
                <w:color w:val="000000"/>
                <w:sz w:val="22"/>
                <w:szCs w:val="22"/>
              </w:rPr>
              <w:t>All properties</w:t>
            </w:r>
          </w:p>
        </w:tc>
      </w:tr>
      <w:tr w:rsidR="00152736" w:rsidRPr="00152736" w14:paraId="6C6B7590" w14:textId="77777777" w:rsidTr="00433631">
        <w:trPr>
          <w:gridAfter w:val="1"/>
          <w:wAfter w:w="20" w:type="dxa"/>
          <w:trHeight w:val="315"/>
        </w:trPr>
        <w:tc>
          <w:tcPr>
            <w:tcW w:w="2582"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5D00A411" w14:textId="77777777" w:rsidR="00152736" w:rsidRPr="00152736" w:rsidRDefault="00152736" w:rsidP="00152736">
            <w:pPr>
              <w:rPr>
                <w:rFonts w:ascii="Arial" w:hAnsi="Arial" w:cs="Arial"/>
                <w:color w:val="000000"/>
                <w:sz w:val="22"/>
                <w:szCs w:val="22"/>
              </w:rPr>
            </w:pPr>
            <w:r w:rsidRPr="00152736">
              <w:rPr>
                <w:rFonts w:ascii="Arial" w:hAnsi="Arial" w:cs="Arial"/>
                <w:color w:val="000000"/>
                <w:sz w:val="22"/>
                <w:szCs w:val="22"/>
              </w:rPr>
              <w:t>All properties</w:t>
            </w:r>
          </w:p>
        </w:tc>
        <w:tc>
          <w:tcPr>
            <w:tcW w:w="1852" w:type="dxa"/>
            <w:tcBorders>
              <w:top w:val="nil"/>
              <w:left w:val="nil"/>
              <w:bottom w:val="single" w:sz="8" w:space="0" w:color="auto"/>
              <w:right w:val="single" w:sz="8" w:space="0" w:color="auto"/>
            </w:tcBorders>
            <w:shd w:val="clear" w:color="auto" w:fill="auto"/>
            <w:noWrap/>
            <w:vAlign w:val="center"/>
            <w:hideMark/>
          </w:tcPr>
          <w:p w14:paraId="7CA3010E"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5,059</w:t>
            </w:r>
          </w:p>
        </w:tc>
        <w:tc>
          <w:tcPr>
            <w:tcW w:w="1946" w:type="dxa"/>
            <w:tcBorders>
              <w:top w:val="nil"/>
              <w:left w:val="nil"/>
              <w:bottom w:val="single" w:sz="8" w:space="0" w:color="auto"/>
              <w:right w:val="single" w:sz="8" w:space="0" w:color="auto"/>
            </w:tcBorders>
            <w:shd w:val="clear" w:color="auto" w:fill="auto"/>
            <w:noWrap/>
            <w:vAlign w:val="center"/>
            <w:hideMark/>
          </w:tcPr>
          <w:p w14:paraId="146C7C6F"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803</w:t>
            </w:r>
          </w:p>
        </w:tc>
        <w:tc>
          <w:tcPr>
            <w:tcW w:w="1727" w:type="dxa"/>
            <w:tcBorders>
              <w:top w:val="nil"/>
              <w:left w:val="nil"/>
              <w:bottom w:val="single" w:sz="8" w:space="0" w:color="auto"/>
              <w:right w:val="single" w:sz="8" w:space="0" w:color="auto"/>
            </w:tcBorders>
            <w:shd w:val="clear" w:color="auto" w:fill="auto"/>
            <w:noWrap/>
            <w:vAlign w:val="center"/>
            <w:hideMark/>
          </w:tcPr>
          <w:p w14:paraId="20EE7C07"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1,557</w:t>
            </w:r>
          </w:p>
        </w:tc>
        <w:tc>
          <w:tcPr>
            <w:tcW w:w="1354" w:type="dxa"/>
            <w:tcBorders>
              <w:top w:val="nil"/>
              <w:left w:val="nil"/>
              <w:bottom w:val="single" w:sz="8" w:space="0" w:color="auto"/>
              <w:right w:val="single" w:sz="8" w:space="0" w:color="auto"/>
            </w:tcBorders>
            <w:shd w:val="clear" w:color="auto" w:fill="auto"/>
            <w:noWrap/>
            <w:vAlign w:val="center"/>
            <w:hideMark/>
          </w:tcPr>
          <w:p w14:paraId="7818D9E1"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7,419</w:t>
            </w:r>
          </w:p>
        </w:tc>
      </w:tr>
      <w:tr w:rsidR="00152736" w:rsidRPr="00152736" w14:paraId="3B15D625" w14:textId="77777777" w:rsidTr="00433631">
        <w:trPr>
          <w:gridAfter w:val="1"/>
          <w:wAfter w:w="20" w:type="dxa"/>
          <w:trHeight w:val="315"/>
        </w:trPr>
        <w:tc>
          <w:tcPr>
            <w:tcW w:w="2582"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7189F3A5" w14:textId="4736DE31" w:rsidR="00152736" w:rsidRPr="00152736" w:rsidRDefault="00152736" w:rsidP="00152736">
            <w:pPr>
              <w:rPr>
                <w:rFonts w:ascii="Arial" w:hAnsi="Arial" w:cs="Arial"/>
                <w:color w:val="000000"/>
                <w:sz w:val="22"/>
                <w:szCs w:val="22"/>
              </w:rPr>
            </w:pPr>
            <w:r w:rsidRPr="00152736">
              <w:rPr>
                <w:rFonts w:ascii="Arial" w:hAnsi="Arial" w:cs="Arial"/>
                <w:color w:val="000000"/>
                <w:sz w:val="22"/>
                <w:szCs w:val="22"/>
              </w:rPr>
              <w:t>Accessible by a public road</w:t>
            </w:r>
            <w:r w:rsidR="00947964">
              <w:rPr>
                <w:rFonts w:ascii="Arial" w:hAnsi="Arial" w:cs="Arial"/>
                <w:color w:val="000000"/>
                <w:sz w:val="22"/>
                <w:szCs w:val="22"/>
              </w:rPr>
              <w:t xml:space="preserve"> (inc. arterial)</w:t>
            </w:r>
          </w:p>
        </w:tc>
        <w:tc>
          <w:tcPr>
            <w:tcW w:w="1852" w:type="dxa"/>
            <w:tcBorders>
              <w:top w:val="nil"/>
              <w:left w:val="nil"/>
              <w:bottom w:val="single" w:sz="4" w:space="0" w:color="auto"/>
              <w:right w:val="single" w:sz="8" w:space="0" w:color="auto"/>
            </w:tcBorders>
            <w:shd w:val="clear" w:color="auto" w:fill="auto"/>
            <w:noWrap/>
            <w:vAlign w:val="center"/>
            <w:hideMark/>
          </w:tcPr>
          <w:p w14:paraId="5454F527"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2,947</w:t>
            </w:r>
          </w:p>
        </w:tc>
        <w:tc>
          <w:tcPr>
            <w:tcW w:w="1946" w:type="dxa"/>
            <w:tcBorders>
              <w:top w:val="nil"/>
              <w:left w:val="nil"/>
              <w:bottom w:val="single" w:sz="4" w:space="0" w:color="auto"/>
              <w:right w:val="single" w:sz="8" w:space="0" w:color="auto"/>
            </w:tcBorders>
            <w:shd w:val="clear" w:color="auto" w:fill="auto"/>
            <w:noWrap/>
            <w:vAlign w:val="center"/>
            <w:hideMark/>
          </w:tcPr>
          <w:p w14:paraId="5A4DCEE1"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432</w:t>
            </w:r>
          </w:p>
        </w:tc>
        <w:tc>
          <w:tcPr>
            <w:tcW w:w="1727" w:type="dxa"/>
            <w:tcBorders>
              <w:top w:val="nil"/>
              <w:left w:val="nil"/>
              <w:bottom w:val="single" w:sz="4" w:space="0" w:color="auto"/>
              <w:right w:val="single" w:sz="8" w:space="0" w:color="auto"/>
            </w:tcBorders>
            <w:shd w:val="clear" w:color="auto" w:fill="auto"/>
            <w:noWrap/>
            <w:vAlign w:val="center"/>
            <w:hideMark/>
          </w:tcPr>
          <w:p w14:paraId="76067549"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884</w:t>
            </w:r>
          </w:p>
        </w:tc>
        <w:tc>
          <w:tcPr>
            <w:tcW w:w="1354" w:type="dxa"/>
            <w:tcBorders>
              <w:top w:val="nil"/>
              <w:left w:val="nil"/>
              <w:bottom w:val="single" w:sz="4" w:space="0" w:color="auto"/>
              <w:right w:val="single" w:sz="8" w:space="0" w:color="auto"/>
            </w:tcBorders>
            <w:shd w:val="clear" w:color="auto" w:fill="auto"/>
            <w:noWrap/>
            <w:vAlign w:val="center"/>
            <w:hideMark/>
          </w:tcPr>
          <w:p w14:paraId="70CE72C5"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4,263</w:t>
            </w:r>
          </w:p>
        </w:tc>
      </w:tr>
      <w:tr w:rsidR="00152736" w:rsidRPr="00152736" w14:paraId="2BCE2792" w14:textId="77777777" w:rsidTr="00433631">
        <w:trPr>
          <w:gridAfter w:val="1"/>
          <w:wAfter w:w="20" w:type="dxa"/>
          <w:trHeight w:val="315"/>
        </w:trPr>
        <w:tc>
          <w:tcPr>
            <w:tcW w:w="2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FC5168B" w14:textId="77777777" w:rsidR="00152736" w:rsidRPr="00152736" w:rsidRDefault="00152736" w:rsidP="00152736">
            <w:pPr>
              <w:rPr>
                <w:rFonts w:ascii="Arial" w:hAnsi="Arial" w:cs="Arial"/>
                <w:color w:val="000000"/>
                <w:sz w:val="22"/>
                <w:szCs w:val="22"/>
              </w:rPr>
            </w:pPr>
            <w:r w:rsidRPr="00152736">
              <w:rPr>
                <w:rFonts w:ascii="Arial" w:hAnsi="Arial" w:cs="Arial"/>
                <w:color w:val="000000"/>
                <w:sz w:val="22"/>
                <w:szCs w:val="22"/>
              </w:rPr>
              <w:t>Accessible by arterial</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EA8D0"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1,077</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F16FF"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218</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1E98A"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506</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90FC0" w14:textId="77777777" w:rsidR="00152736" w:rsidRPr="00152736" w:rsidRDefault="00152736" w:rsidP="00433631">
            <w:pPr>
              <w:ind w:right="194"/>
              <w:jc w:val="right"/>
              <w:rPr>
                <w:rFonts w:ascii="Arial" w:hAnsi="Arial" w:cs="Arial"/>
                <w:color w:val="000000"/>
                <w:sz w:val="22"/>
                <w:szCs w:val="22"/>
              </w:rPr>
            </w:pPr>
            <w:r w:rsidRPr="00152736">
              <w:rPr>
                <w:rFonts w:ascii="Arial" w:hAnsi="Arial" w:cs="Arial"/>
                <w:color w:val="000000"/>
                <w:sz w:val="22"/>
                <w:szCs w:val="22"/>
              </w:rPr>
              <w:t>1,801</w:t>
            </w:r>
          </w:p>
        </w:tc>
      </w:tr>
      <w:tr w:rsidR="00152736" w:rsidRPr="00152736" w14:paraId="569F5A22" w14:textId="77777777" w:rsidTr="00433631">
        <w:trPr>
          <w:trHeight w:val="315"/>
        </w:trPr>
        <w:tc>
          <w:tcPr>
            <w:tcW w:w="9481" w:type="dxa"/>
            <w:gridSpan w:val="6"/>
            <w:tcBorders>
              <w:top w:val="single" w:sz="4" w:space="0" w:color="auto"/>
            </w:tcBorders>
            <w:shd w:val="clear" w:color="auto" w:fill="auto"/>
            <w:noWrap/>
            <w:vAlign w:val="center"/>
          </w:tcPr>
          <w:p w14:paraId="0DCBE67B" w14:textId="2918B324" w:rsidR="00152736" w:rsidRPr="0083235F" w:rsidRDefault="00152736" w:rsidP="00433631">
            <w:pPr>
              <w:pStyle w:val="ListParagraph0"/>
              <w:numPr>
                <w:ilvl w:val="0"/>
                <w:numId w:val="7"/>
              </w:numPr>
              <w:ind w:left="337" w:right="-163" w:hanging="180"/>
              <w:rPr>
                <w:rFonts w:ascii="Arial" w:hAnsi="Arial" w:cs="Arial"/>
                <w:sz w:val="22"/>
                <w:szCs w:val="22"/>
              </w:rPr>
            </w:pPr>
            <w:r w:rsidRPr="0083235F">
              <w:rPr>
                <w:rFonts w:ascii="Arial" w:hAnsi="Arial" w:cs="Arial"/>
                <w:sz w:val="22"/>
                <w:szCs w:val="22"/>
              </w:rPr>
              <w:t>7,419 properties could have attempted to establish a home occupation WBD prior to 19030</w:t>
            </w:r>
          </w:p>
          <w:p w14:paraId="6255B1CE" w14:textId="423CD8F6" w:rsidR="00152736" w:rsidRPr="0083235F" w:rsidRDefault="00DA7512" w:rsidP="00433631">
            <w:pPr>
              <w:pStyle w:val="ListParagraph0"/>
              <w:numPr>
                <w:ilvl w:val="0"/>
                <w:numId w:val="7"/>
              </w:numPr>
              <w:ind w:left="337" w:hanging="180"/>
              <w:rPr>
                <w:rFonts w:ascii="Arial" w:hAnsi="Arial" w:cs="Arial"/>
                <w:sz w:val="22"/>
                <w:szCs w:val="22"/>
              </w:rPr>
            </w:pPr>
            <w:r w:rsidRPr="0083235F">
              <w:rPr>
                <w:rFonts w:ascii="Arial" w:hAnsi="Arial" w:cs="Arial"/>
                <w:sz w:val="22"/>
                <w:szCs w:val="22"/>
              </w:rPr>
              <w:t>1,557</w:t>
            </w:r>
            <w:r w:rsidR="00152736" w:rsidRPr="0083235F">
              <w:rPr>
                <w:rFonts w:ascii="Arial" w:hAnsi="Arial" w:cs="Arial"/>
                <w:sz w:val="22"/>
                <w:szCs w:val="22"/>
              </w:rPr>
              <w:t xml:space="preserve"> properties could have attempted to establish a WBD</w:t>
            </w:r>
            <w:r w:rsidRPr="0083235F">
              <w:rPr>
                <w:rFonts w:ascii="Arial" w:hAnsi="Arial" w:cs="Arial"/>
                <w:sz w:val="22"/>
                <w:szCs w:val="22"/>
              </w:rPr>
              <w:t xml:space="preserve"> II</w:t>
            </w:r>
            <w:r w:rsidR="00152736" w:rsidRPr="0083235F">
              <w:rPr>
                <w:rFonts w:ascii="Arial" w:hAnsi="Arial" w:cs="Arial"/>
                <w:sz w:val="22"/>
                <w:szCs w:val="22"/>
              </w:rPr>
              <w:t xml:space="preserve"> prior to 19030</w:t>
            </w:r>
          </w:p>
          <w:p w14:paraId="0C9323BA" w14:textId="761AF40A" w:rsidR="00152736" w:rsidRPr="0083235F" w:rsidRDefault="00DA7512" w:rsidP="00433631">
            <w:pPr>
              <w:pStyle w:val="ListParagraph0"/>
              <w:numPr>
                <w:ilvl w:val="0"/>
                <w:numId w:val="7"/>
              </w:numPr>
              <w:ind w:left="337" w:hanging="180"/>
              <w:rPr>
                <w:rFonts w:ascii="Arial" w:hAnsi="Arial" w:cs="Arial"/>
                <w:sz w:val="22"/>
                <w:szCs w:val="22"/>
              </w:rPr>
            </w:pPr>
            <w:r w:rsidRPr="0083235F">
              <w:rPr>
                <w:rFonts w:ascii="Arial" w:hAnsi="Arial" w:cs="Arial"/>
                <w:sz w:val="22"/>
                <w:szCs w:val="22"/>
              </w:rPr>
              <w:t xml:space="preserve">1,316 (432 </w:t>
            </w:r>
            <w:r w:rsidR="00B7081E">
              <w:rPr>
                <w:rFonts w:ascii="Arial" w:hAnsi="Arial" w:cs="Arial"/>
                <w:sz w:val="22"/>
                <w:szCs w:val="22"/>
              </w:rPr>
              <w:t>plus</w:t>
            </w:r>
            <w:r w:rsidRPr="0083235F">
              <w:rPr>
                <w:rFonts w:ascii="Arial" w:hAnsi="Arial" w:cs="Arial"/>
                <w:sz w:val="22"/>
                <w:szCs w:val="22"/>
              </w:rPr>
              <w:t xml:space="preserve"> 884) </w:t>
            </w:r>
            <w:r w:rsidR="00152736" w:rsidRPr="0083235F">
              <w:rPr>
                <w:rFonts w:ascii="Arial" w:hAnsi="Arial" w:cs="Arial"/>
                <w:sz w:val="22"/>
                <w:szCs w:val="22"/>
              </w:rPr>
              <w:t>properties could attempt to establish a WBD</w:t>
            </w:r>
            <w:r w:rsidRPr="0083235F">
              <w:rPr>
                <w:rFonts w:ascii="Arial" w:hAnsi="Arial" w:cs="Arial"/>
                <w:sz w:val="22"/>
                <w:szCs w:val="22"/>
              </w:rPr>
              <w:t xml:space="preserve"> II</w:t>
            </w:r>
            <w:r w:rsidR="00152736" w:rsidRPr="0083235F">
              <w:rPr>
                <w:rFonts w:ascii="Arial" w:hAnsi="Arial" w:cs="Arial"/>
                <w:sz w:val="22"/>
                <w:szCs w:val="22"/>
              </w:rPr>
              <w:t xml:space="preserve"> under 19030</w:t>
            </w:r>
          </w:p>
          <w:p w14:paraId="4DF8A359" w14:textId="77777777" w:rsidR="00152736" w:rsidRPr="00152736" w:rsidRDefault="00152736" w:rsidP="00152736">
            <w:pPr>
              <w:jc w:val="right"/>
              <w:rPr>
                <w:rFonts w:ascii="Arial" w:hAnsi="Arial" w:cs="Arial"/>
                <w:color w:val="000000"/>
                <w:sz w:val="22"/>
                <w:szCs w:val="22"/>
              </w:rPr>
            </w:pPr>
          </w:p>
        </w:tc>
      </w:tr>
    </w:tbl>
    <w:p w14:paraId="50D76B92" w14:textId="77777777" w:rsidR="00242922" w:rsidRDefault="00242922">
      <w:r>
        <w:br w:type="page"/>
      </w:r>
    </w:p>
    <w:tbl>
      <w:tblPr>
        <w:tblW w:w="9481" w:type="dxa"/>
        <w:tblInd w:w="128" w:type="dxa"/>
        <w:tblLook w:val="04A0" w:firstRow="1" w:lastRow="0" w:firstColumn="1" w:lastColumn="0" w:noHBand="0" w:noVBand="1"/>
      </w:tblPr>
      <w:tblGrid>
        <w:gridCol w:w="2582"/>
        <w:gridCol w:w="1852"/>
        <w:gridCol w:w="1946"/>
        <w:gridCol w:w="1727"/>
        <w:gridCol w:w="1354"/>
        <w:gridCol w:w="20"/>
      </w:tblGrid>
      <w:tr w:rsidR="0083235F" w:rsidRPr="00152736" w14:paraId="58D7A9E2" w14:textId="77777777" w:rsidTr="0077714E">
        <w:trPr>
          <w:trHeight w:val="315"/>
        </w:trPr>
        <w:tc>
          <w:tcPr>
            <w:tcW w:w="9481" w:type="dxa"/>
            <w:gridSpan w:val="6"/>
            <w:tcBorders>
              <w:top w:val="nil"/>
              <w:left w:val="nil"/>
              <w:bottom w:val="nil"/>
              <w:right w:val="nil"/>
            </w:tcBorders>
            <w:shd w:val="clear" w:color="auto" w:fill="auto"/>
            <w:noWrap/>
            <w:vAlign w:val="bottom"/>
          </w:tcPr>
          <w:p w14:paraId="16871FB2" w14:textId="47A038CC" w:rsidR="0083235F" w:rsidRPr="00152736" w:rsidRDefault="0083235F" w:rsidP="00A6773E">
            <w:pPr>
              <w:jc w:val="center"/>
              <w:rPr>
                <w:rFonts w:ascii="Arial" w:hAnsi="Arial" w:cs="Arial"/>
                <w:sz w:val="22"/>
                <w:szCs w:val="22"/>
              </w:rPr>
            </w:pPr>
            <w:r w:rsidRPr="00DA7512">
              <w:rPr>
                <w:rFonts w:ascii="Arial" w:hAnsi="Arial" w:cs="Arial"/>
                <w:b/>
                <w:bCs/>
                <w:szCs w:val="24"/>
              </w:rPr>
              <w:lastRenderedPageBreak/>
              <w:t>Table 1</w:t>
            </w:r>
            <w:r>
              <w:rPr>
                <w:rFonts w:ascii="Arial" w:hAnsi="Arial" w:cs="Arial"/>
                <w:b/>
                <w:bCs/>
                <w:szCs w:val="24"/>
              </w:rPr>
              <w:t>c</w:t>
            </w:r>
            <w:r w:rsidRPr="00DA7512">
              <w:rPr>
                <w:rFonts w:ascii="Arial" w:hAnsi="Arial" w:cs="Arial"/>
                <w:b/>
                <w:bCs/>
                <w:szCs w:val="24"/>
              </w:rPr>
              <w:t>. GIS analysis of parcels available for WBDs</w:t>
            </w:r>
            <w:r>
              <w:rPr>
                <w:rFonts w:ascii="Arial" w:hAnsi="Arial" w:cs="Arial"/>
                <w:b/>
                <w:bCs/>
                <w:szCs w:val="24"/>
              </w:rPr>
              <w:t xml:space="preserve"> II –</w:t>
            </w:r>
            <w:r w:rsidR="00B7081E">
              <w:rPr>
                <w:rFonts w:ascii="Arial" w:hAnsi="Arial" w:cs="Arial"/>
                <w:b/>
                <w:bCs/>
                <w:szCs w:val="24"/>
              </w:rPr>
              <w:t xml:space="preserve"> </w:t>
            </w:r>
            <w:r>
              <w:rPr>
                <w:rFonts w:ascii="Arial" w:hAnsi="Arial" w:cs="Arial"/>
                <w:b/>
                <w:bCs/>
                <w:szCs w:val="24"/>
              </w:rPr>
              <w:t>A zone</w:t>
            </w:r>
          </w:p>
        </w:tc>
      </w:tr>
      <w:tr w:rsidR="0083235F" w:rsidRPr="0083235F" w14:paraId="7B12D2CB" w14:textId="77777777" w:rsidTr="0077714E">
        <w:trPr>
          <w:trHeight w:val="315"/>
        </w:trPr>
        <w:tc>
          <w:tcPr>
            <w:tcW w:w="9481" w:type="dxa"/>
            <w:gridSpan w:val="6"/>
            <w:tcBorders>
              <w:top w:val="single" w:sz="8" w:space="0" w:color="auto"/>
              <w:left w:val="single" w:sz="8" w:space="0" w:color="auto"/>
              <w:bottom w:val="single" w:sz="8" w:space="0" w:color="auto"/>
              <w:right w:val="single" w:sz="8" w:space="0" w:color="000000"/>
            </w:tcBorders>
            <w:shd w:val="clear" w:color="auto" w:fill="000000" w:themeFill="text1"/>
            <w:noWrap/>
            <w:vAlign w:val="center"/>
            <w:hideMark/>
          </w:tcPr>
          <w:p w14:paraId="13ECB61B" w14:textId="77777777" w:rsidR="0083235F" w:rsidRPr="0083235F" w:rsidRDefault="0083235F" w:rsidP="0083235F">
            <w:pPr>
              <w:jc w:val="center"/>
              <w:rPr>
                <w:rFonts w:ascii="Arial" w:hAnsi="Arial" w:cs="Arial"/>
                <w:b/>
                <w:bCs/>
                <w:color w:val="FFFFFF"/>
                <w:sz w:val="22"/>
                <w:szCs w:val="22"/>
              </w:rPr>
            </w:pPr>
            <w:r w:rsidRPr="0083235F">
              <w:rPr>
                <w:rFonts w:ascii="Arial" w:hAnsi="Arial" w:cs="Arial"/>
                <w:b/>
                <w:bCs/>
                <w:color w:val="FFFFFF"/>
                <w:sz w:val="22"/>
                <w:szCs w:val="22"/>
              </w:rPr>
              <w:t>King County minus Vashon-Maury Island - A Zones</w:t>
            </w:r>
          </w:p>
        </w:tc>
      </w:tr>
      <w:tr w:rsidR="0083235F" w:rsidRPr="0083235F" w14:paraId="654E6D5B" w14:textId="77777777" w:rsidTr="0077714E">
        <w:trPr>
          <w:gridAfter w:val="1"/>
          <w:wAfter w:w="20" w:type="dxa"/>
          <w:trHeight w:val="315"/>
        </w:trPr>
        <w:tc>
          <w:tcPr>
            <w:tcW w:w="2582"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1C2D9D4D" w14:textId="77777777" w:rsidR="0083235F" w:rsidRPr="0083235F" w:rsidRDefault="0083235F" w:rsidP="0083235F">
            <w:pPr>
              <w:rPr>
                <w:rFonts w:ascii="Arial" w:hAnsi="Arial" w:cs="Arial"/>
                <w:color w:val="000000"/>
                <w:sz w:val="22"/>
                <w:szCs w:val="22"/>
              </w:rPr>
            </w:pPr>
            <w:r w:rsidRPr="0083235F">
              <w:rPr>
                <w:rFonts w:ascii="Arial" w:hAnsi="Arial" w:cs="Arial"/>
                <w:color w:val="000000"/>
                <w:sz w:val="22"/>
                <w:szCs w:val="22"/>
              </w:rPr>
              <w:t> </w:t>
            </w:r>
          </w:p>
        </w:tc>
        <w:tc>
          <w:tcPr>
            <w:tcW w:w="1852" w:type="dxa"/>
            <w:tcBorders>
              <w:top w:val="nil"/>
              <w:left w:val="nil"/>
              <w:bottom w:val="nil"/>
              <w:right w:val="single" w:sz="8" w:space="0" w:color="auto"/>
            </w:tcBorders>
            <w:shd w:val="clear" w:color="auto" w:fill="D9D9D9" w:themeFill="background1" w:themeFillShade="D9"/>
            <w:noWrap/>
            <w:vAlign w:val="center"/>
            <w:hideMark/>
          </w:tcPr>
          <w:p w14:paraId="1CF847A6" w14:textId="138C8CCD" w:rsidR="0083235F" w:rsidRPr="0083235F" w:rsidRDefault="0083235F" w:rsidP="0083235F">
            <w:pPr>
              <w:jc w:val="center"/>
              <w:rPr>
                <w:rFonts w:ascii="Arial" w:hAnsi="Arial" w:cs="Arial"/>
                <w:b/>
                <w:bCs/>
                <w:color w:val="000000"/>
                <w:sz w:val="22"/>
                <w:szCs w:val="22"/>
              </w:rPr>
            </w:pPr>
            <w:r w:rsidRPr="00152736">
              <w:rPr>
                <w:rFonts w:ascii="Arial" w:hAnsi="Arial" w:cs="Arial"/>
                <w:b/>
                <w:bCs/>
                <w:color w:val="000000"/>
                <w:sz w:val="22"/>
                <w:szCs w:val="22"/>
              </w:rPr>
              <w:t>Less than 2.5ac</w:t>
            </w:r>
          </w:p>
        </w:tc>
        <w:tc>
          <w:tcPr>
            <w:tcW w:w="1946" w:type="dxa"/>
            <w:tcBorders>
              <w:top w:val="nil"/>
              <w:left w:val="nil"/>
              <w:bottom w:val="nil"/>
              <w:right w:val="single" w:sz="8" w:space="0" w:color="auto"/>
            </w:tcBorders>
            <w:shd w:val="clear" w:color="auto" w:fill="D9D9D9" w:themeFill="background1" w:themeFillShade="D9"/>
            <w:noWrap/>
            <w:vAlign w:val="center"/>
            <w:hideMark/>
          </w:tcPr>
          <w:p w14:paraId="7BE17960" w14:textId="7D1340FF" w:rsidR="0083235F" w:rsidRPr="0083235F" w:rsidRDefault="0083235F" w:rsidP="0083235F">
            <w:pPr>
              <w:jc w:val="center"/>
              <w:rPr>
                <w:rFonts w:ascii="Arial" w:hAnsi="Arial" w:cs="Arial"/>
                <w:b/>
                <w:bCs/>
                <w:color w:val="000000"/>
                <w:sz w:val="22"/>
                <w:szCs w:val="22"/>
              </w:rPr>
            </w:pPr>
            <w:r w:rsidRPr="00152736">
              <w:rPr>
                <w:rFonts w:ascii="Arial" w:hAnsi="Arial" w:cs="Arial"/>
                <w:b/>
                <w:bCs/>
                <w:color w:val="000000"/>
                <w:sz w:val="22"/>
                <w:szCs w:val="22"/>
              </w:rPr>
              <w:t>2.5ac</w:t>
            </w:r>
            <w:r>
              <w:rPr>
                <w:rFonts w:ascii="Arial" w:hAnsi="Arial" w:cs="Arial"/>
                <w:b/>
                <w:bCs/>
                <w:color w:val="000000"/>
                <w:sz w:val="22"/>
                <w:szCs w:val="22"/>
              </w:rPr>
              <w:t xml:space="preserve"> to</w:t>
            </w:r>
            <w:r w:rsidRPr="00152736">
              <w:rPr>
                <w:rFonts w:ascii="Arial" w:hAnsi="Arial" w:cs="Arial"/>
                <w:b/>
                <w:bCs/>
                <w:color w:val="000000"/>
                <w:sz w:val="22"/>
                <w:szCs w:val="22"/>
              </w:rPr>
              <w:t xml:space="preserve"> less than 4.5ac</w:t>
            </w:r>
          </w:p>
        </w:tc>
        <w:tc>
          <w:tcPr>
            <w:tcW w:w="1727" w:type="dxa"/>
            <w:tcBorders>
              <w:top w:val="nil"/>
              <w:left w:val="nil"/>
              <w:bottom w:val="nil"/>
              <w:right w:val="single" w:sz="8" w:space="0" w:color="auto"/>
            </w:tcBorders>
            <w:shd w:val="clear" w:color="auto" w:fill="D9D9D9" w:themeFill="background1" w:themeFillShade="D9"/>
            <w:noWrap/>
            <w:vAlign w:val="center"/>
            <w:hideMark/>
          </w:tcPr>
          <w:p w14:paraId="13FA626C" w14:textId="416DE4C0" w:rsidR="0083235F" w:rsidRPr="0083235F" w:rsidRDefault="0083235F" w:rsidP="0083235F">
            <w:pPr>
              <w:jc w:val="center"/>
              <w:rPr>
                <w:rFonts w:ascii="Arial" w:hAnsi="Arial" w:cs="Arial"/>
                <w:b/>
                <w:bCs/>
                <w:color w:val="000000"/>
                <w:sz w:val="22"/>
                <w:szCs w:val="22"/>
              </w:rPr>
            </w:pPr>
            <w:r w:rsidRPr="00152736">
              <w:rPr>
                <w:rFonts w:ascii="Arial" w:hAnsi="Arial" w:cs="Arial"/>
                <w:b/>
                <w:bCs/>
                <w:color w:val="000000"/>
                <w:sz w:val="22"/>
                <w:szCs w:val="22"/>
              </w:rPr>
              <w:t>4.5ac or more</w:t>
            </w:r>
          </w:p>
        </w:tc>
        <w:tc>
          <w:tcPr>
            <w:tcW w:w="1354" w:type="dxa"/>
            <w:tcBorders>
              <w:top w:val="nil"/>
              <w:left w:val="nil"/>
              <w:bottom w:val="nil"/>
              <w:right w:val="single" w:sz="8" w:space="0" w:color="auto"/>
            </w:tcBorders>
            <w:shd w:val="clear" w:color="auto" w:fill="D9D9D9" w:themeFill="background1" w:themeFillShade="D9"/>
            <w:noWrap/>
            <w:vAlign w:val="center"/>
            <w:hideMark/>
          </w:tcPr>
          <w:p w14:paraId="079E772B" w14:textId="411F748F" w:rsidR="0083235F" w:rsidRPr="0083235F" w:rsidRDefault="0083235F" w:rsidP="0083235F">
            <w:pPr>
              <w:jc w:val="center"/>
              <w:rPr>
                <w:rFonts w:ascii="Arial" w:hAnsi="Arial" w:cs="Arial"/>
                <w:b/>
                <w:bCs/>
                <w:color w:val="000000"/>
                <w:sz w:val="22"/>
                <w:szCs w:val="22"/>
              </w:rPr>
            </w:pPr>
            <w:r w:rsidRPr="00152736">
              <w:rPr>
                <w:rFonts w:ascii="Arial" w:hAnsi="Arial" w:cs="Arial"/>
                <w:b/>
                <w:bCs/>
                <w:color w:val="000000"/>
                <w:sz w:val="22"/>
                <w:szCs w:val="22"/>
              </w:rPr>
              <w:t>All properties</w:t>
            </w:r>
          </w:p>
        </w:tc>
      </w:tr>
      <w:tr w:rsidR="0083235F" w:rsidRPr="0083235F" w14:paraId="30E49607" w14:textId="77777777" w:rsidTr="0077714E">
        <w:trPr>
          <w:gridAfter w:val="1"/>
          <w:wAfter w:w="20" w:type="dxa"/>
          <w:trHeight w:val="315"/>
        </w:trPr>
        <w:tc>
          <w:tcPr>
            <w:tcW w:w="2582" w:type="dxa"/>
            <w:tcBorders>
              <w:top w:val="nil"/>
              <w:left w:val="single" w:sz="8" w:space="0" w:color="auto"/>
              <w:bottom w:val="single" w:sz="8" w:space="0" w:color="auto"/>
              <w:right w:val="nil"/>
            </w:tcBorders>
            <w:shd w:val="clear" w:color="auto" w:fill="F2F2F2" w:themeFill="background1" w:themeFillShade="F2"/>
            <w:noWrap/>
            <w:vAlign w:val="center"/>
            <w:hideMark/>
          </w:tcPr>
          <w:p w14:paraId="0CC639DE" w14:textId="77777777" w:rsidR="0083235F" w:rsidRPr="0083235F" w:rsidRDefault="0083235F" w:rsidP="0083235F">
            <w:pPr>
              <w:rPr>
                <w:rFonts w:ascii="Arial" w:hAnsi="Arial" w:cs="Arial"/>
                <w:color w:val="000000"/>
                <w:sz w:val="22"/>
                <w:szCs w:val="22"/>
              </w:rPr>
            </w:pPr>
            <w:r w:rsidRPr="0083235F">
              <w:rPr>
                <w:rFonts w:ascii="Arial" w:hAnsi="Arial" w:cs="Arial"/>
                <w:color w:val="000000"/>
                <w:sz w:val="22"/>
                <w:szCs w:val="22"/>
              </w:rPr>
              <w:t>All properties</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6AC27"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1,049</w:t>
            </w: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14:paraId="342717FB" w14:textId="77777777" w:rsidR="0083235F" w:rsidRPr="0083235F" w:rsidRDefault="0083235F" w:rsidP="00433631">
            <w:pPr>
              <w:ind w:right="165"/>
              <w:jc w:val="right"/>
              <w:rPr>
                <w:rFonts w:ascii="Arial" w:hAnsi="Arial" w:cs="Arial"/>
                <w:color w:val="000000"/>
                <w:sz w:val="22"/>
                <w:szCs w:val="22"/>
              </w:rPr>
            </w:pPr>
            <w:r w:rsidRPr="0083235F">
              <w:rPr>
                <w:rFonts w:ascii="Arial" w:hAnsi="Arial" w:cs="Arial"/>
                <w:color w:val="000000"/>
                <w:sz w:val="22"/>
                <w:szCs w:val="22"/>
              </w:rPr>
              <w:t>332</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14:paraId="5ACFBA6B" w14:textId="77777777" w:rsidR="0083235F" w:rsidRPr="0083235F" w:rsidRDefault="0083235F" w:rsidP="00433631">
            <w:pPr>
              <w:ind w:right="165"/>
              <w:jc w:val="right"/>
              <w:rPr>
                <w:rFonts w:ascii="Arial" w:hAnsi="Arial" w:cs="Arial"/>
                <w:color w:val="000000"/>
                <w:sz w:val="22"/>
                <w:szCs w:val="22"/>
              </w:rPr>
            </w:pPr>
            <w:r w:rsidRPr="0083235F">
              <w:rPr>
                <w:rFonts w:ascii="Arial" w:hAnsi="Arial" w:cs="Arial"/>
                <w:color w:val="000000"/>
                <w:sz w:val="22"/>
                <w:szCs w:val="22"/>
              </w:rPr>
              <w:t>2,135</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6E2F8A96" w14:textId="77777777" w:rsidR="0083235F" w:rsidRPr="0083235F" w:rsidRDefault="0083235F" w:rsidP="00433631">
            <w:pPr>
              <w:ind w:right="165"/>
              <w:jc w:val="right"/>
              <w:rPr>
                <w:rFonts w:ascii="Arial" w:hAnsi="Arial" w:cs="Arial"/>
                <w:color w:val="000000"/>
                <w:sz w:val="22"/>
                <w:szCs w:val="22"/>
              </w:rPr>
            </w:pPr>
            <w:r w:rsidRPr="0083235F">
              <w:rPr>
                <w:rFonts w:ascii="Arial" w:hAnsi="Arial" w:cs="Arial"/>
                <w:color w:val="000000"/>
                <w:sz w:val="22"/>
                <w:szCs w:val="22"/>
              </w:rPr>
              <w:t>3,516</w:t>
            </w:r>
          </w:p>
        </w:tc>
      </w:tr>
      <w:tr w:rsidR="0083235F" w:rsidRPr="0083235F" w14:paraId="3886ADB2" w14:textId="77777777" w:rsidTr="0077714E">
        <w:trPr>
          <w:gridAfter w:val="1"/>
          <w:wAfter w:w="20" w:type="dxa"/>
          <w:trHeight w:val="315"/>
        </w:trPr>
        <w:tc>
          <w:tcPr>
            <w:tcW w:w="2582" w:type="dxa"/>
            <w:tcBorders>
              <w:top w:val="nil"/>
              <w:left w:val="single" w:sz="8" w:space="0" w:color="auto"/>
              <w:bottom w:val="single" w:sz="8" w:space="0" w:color="auto"/>
              <w:right w:val="nil"/>
            </w:tcBorders>
            <w:shd w:val="clear" w:color="auto" w:fill="F2F2F2" w:themeFill="background1" w:themeFillShade="F2"/>
            <w:noWrap/>
            <w:vAlign w:val="center"/>
            <w:hideMark/>
          </w:tcPr>
          <w:p w14:paraId="4C5C55FF" w14:textId="1EF6E355" w:rsidR="0083235F" w:rsidRPr="0083235F" w:rsidRDefault="0083235F" w:rsidP="0083235F">
            <w:pPr>
              <w:rPr>
                <w:rFonts w:ascii="Arial" w:hAnsi="Arial" w:cs="Arial"/>
                <w:color w:val="000000"/>
                <w:sz w:val="22"/>
                <w:szCs w:val="22"/>
              </w:rPr>
            </w:pPr>
            <w:r w:rsidRPr="0083235F">
              <w:rPr>
                <w:rFonts w:ascii="Arial" w:hAnsi="Arial" w:cs="Arial"/>
                <w:color w:val="000000"/>
                <w:sz w:val="22"/>
                <w:szCs w:val="22"/>
              </w:rPr>
              <w:t>Accessible by a public road</w:t>
            </w:r>
            <w:r w:rsidR="00947964">
              <w:rPr>
                <w:rFonts w:ascii="Arial" w:hAnsi="Arial" w:cs="Arial"/>
                <w:color w:val="000000"/>
                <w:sz w:val="22"/>
                <w:szCs w:val="22"/>
              </w:rPr>
              <w:t xml:space="preserve"> (inc. arterial)</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0D5BEE1B"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722</w:t>
            </w:r>
          </w:p>
        </w:tc>
        <w:tc>
          <w:tcPr>
            <w:tcW w:w="1946" w:type="dxa"/>
            <w:tcBorders>
              <w:top w:val="nil"/>
              <w:left w:val="nil"/>
              <w:bottom w:val="single" w:sz="4" w:space="0" w:color="auto"/>
              <w:right w:val="single" w:sz="4" w:space="0" w:color="auto"/>
            </w:tcBorders>
            <w:shd w:val="clear" w:color="auto" w:fill="auto"/>
            <w:noWrap/>
            <w:vAlign w:val="bottom"/>
            <w:hideMark/>
          </w:tcPr>
          <w:p w14:paraId="1ACA4CD0" w14:textId="77777777" w:rsidR="0083235F" w:rsidRPr="0083235F" w:rsidRDefault="0083235F" w:rsidP="00433631">
            <w:pPr>
              <w:ind w:right="165"/>
              <w:jc w:val="right"/>
              <w:rPr>
                <w:rFonts w:ascii="Arial" w:hAnsi="Arial" w:cs="Arial"/>
                <w:color w:val="000000"/>
                <w:sz w:val="22"/>
                <w:szCs w:val="22"/>
              </w:rPr>
            </w:pPr>
            <w:r w:rsidRPr="0083235F">
              <w:rPr>
                <w:rFonts w:ascii="Arial" w:hAnsi="Arial" w:cs="Arial"/>
                <w:color w:val="000000"/>
                <w:sz w:val="22"/>
                <w:szCs w:val="22"/>
              </w:rPr>
              <w:t>180</w:t>
            </w:r>
          </w:p>
        </w:tc>
        <w:tc>
          <w:tcPr>
            <w:tcW w:w="1727" w:type="dxa"/>
            <w:tcBorders>
              <w:top w:val="nil"/>
              <w:left w:val="nil"/>
              <w:bottom w:val="single" w:sz="4" w:space="0" w:color="auto"/>
              <w:right w:val="single" w:sz="4" w:space="0" w:color="auto"/>
            </w:tcBorders>
            <w:shd w:val="clear" w:color="auto" w:fill="auto"/>
            <w:noWrap/>
            <w:vAlign w:val="bottom"/>
            <w:hideMark/>
          </w:tcPr>
          <w:p w14:paraId="5DF19A95" w14:textId="77777777" w:rsidR="0083235F" w:rsidRPr="0083235F" w:rsidRDefault="0083235F" w:rsidP="00433631">
            <w:pPr>
              <w:ind w:right="165"/>
              <w:jc w:val="right"/>
              <w:rPr>
                <w:rFonts w:ascii="Arial" w:hAnsi="Arial" w:cs="Arial"/>
                <w:color w:val="000000"/>
                <w:sz w:val="22"/>
                <w:szCs w:val="22"/>
              </w:rPr>
            </w:pPr>
            <w:r w:rsidRPr="0083235F">
              <w:rPr>
                <w:rFonts w:ascii="Arial" w:hAnsi="Arial" w:cs="Arial"/>
                <w:color w:val="000000"/>
                <w:sz w:val="22"/>
                <w:szCs w:val="22"/>
              </w:rPr>
              <w:t>1,203</w:t>
            </w:r>
          </w:p>
        </w:tc>
        <w:tc>
          <w:tcPr>
            <w:tcW w:w="1354" w:type="dxa"/>
            <w:tcBorders>
              <w:top w:val="nil"/>
              <w:left w:val="nil"/>
              <w:bottom w:val="single" w:sz="4" w:space="0" w:color="auto"/>
              <w:right w:val="single" w:sz="4" w:space="0" w:color="auto"/>
            </w:tcBorders>
            <w:shd w:val="clear" w:color="auto" w:fill="auto"/>
            <w:noWrap/>
            <w:vAlign w:val="bottom"/>
            <w:hideMark/>
          </w:tcPr>
          <w:p w14:paraId="18C429DC" w14:textId="77777777" w:rsidR="0083235F" w:rsidRPr="0083235F" w:rsidRDefault="0083235F" w:rsidP="00433631">
            <w:pPr>
              <w:ind w:right="165"/>
              <w:jc w:val="right"/>
              <w:rPr>
                <w:rFonts w:ascii="Arial" w:hAnsi="Arial" w:cs="Arial"/>
                <w:color w:val="000000"/>
                <w:sz w:val="22"/>
                <w:szCs w:val="22"/>
              </w:rPr>
            </w:pPr>
            <w:r w:rsidRPr="0083235F">
              <w:rPr>
                <w:rFonts w:ascii="Arial" w:hAnsi="Arial" w:cs="Arial"/>
                <w:color w:val="000000"/>
                <w:sz w:val="22"/>
                <w:szCs w:val="22"/>
              </w:rPr>
              <w:t>2,105</w:t>
            </w:r>
          </w:p>
        </w:tc>
      </w:tr>
      <w:tr w:rsidR="0083235F" w:rsidRPr="0083235F" w14:paraId="4FF97E99" w14:textId="77777777" w:rsidTr="0077714E">
        <w:trPr>
          <w:gridAfter w:val="1"/>
          <w:wAfter w:w="20" w:type="dxa"/>
          <w:trHeight w:val="315"/>
        </w:trPr>
        <w:tc>
          <w:tcPr>
            <w:tcW w:w="2582" w:type="dxa"/>
            <w:tcBorders>
              <w:top w:val="nil"/>
              <w:left w:val="single" w:sz="8" w:space="0" w:color="auto"/>
              <w:bottom w:val="single" w:sz="8" w:space="0" w:color="auto"/>
              <w:right w:val="nil"/>
            </w:tcBorders>
            <w:shd w:val="clear" w:color="auto" w:fill="F2F2F2" w:themeFill="background1" w:themeFillShade="F2"/>
            <w:noWrap/>
            <w:vAlign w:val="center"/>
            <w:hideMark/>
          </w:tcPr>
          <w:p w14:paraId="21C2582A" w14:textId="77777777" w:rsidR="0083235F" w:rsidRPr="0083235F" w:rsidRDefault="0083235F" w:rsidP="0083235F">
            <w:pPr>
              <w:rPr>
                <w:rFonts w:ascii="Arial" w:hAnsi="Arial" w:cs="Arial"/>
                <w:color w:val="000000"/>
                <w:sz w:val="22"/>
                <w:szCs w:val="22"/>
              </w:rPr>
            </w:pPr>
            <w:r w:rsidRPr="0083235F">
              <w:rPr>
                <w:rFonts w:ascii="Arial" w:hAnsi="Arial" w:cs="Arial"/>
                <w:color w:val="000000"/>
                <w:sz w:val="22"/>
                <w:szCs w:val="22"/>
              </w:rPr>
              <w:t>Accessible by arterial</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37BCF636"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325</w:t>
            </w:r>
          </w:p>
        </w:tc>
        <w:tc>
          <w:tcPr>
            <w:tcW w:w="1946" w:type="dxa"/>
            <w:tcBorders>
              <w:top w:val="nil"/>
              <w:left w:val="nil"/>
              <w:bottom w:val="single" w:sz="4" w:space="0" w:color="auto"/>
              <w:right w:val="single" w:sz="4" w:space="0" w:color="auto"/>
            </w:tcBorders>
            <w:shd w:val="clear" w:color="auto" w:fill="auto"/>
            <w:noWrap/>
            <w:vAlign w:val="bottom"/>
            <w:hideMark/>
          </w:tcPr>
          <w:p w14:paraId="673E3CDF" w14:textId="77777777" w:rsidR="0083235F" w:rsidRPr="0083235F" w:rsidRDefault="0083235F" w:rsidP="00433631">
            <w:pPr>
              <w:ind w:right="165"/>
              <w:jc w:val="right"/>
              <w:rPr>
                <w:rFonts w:ascii="Arial" w:hAnsi="Arial" w:cs="Arial"/>
                <w:color w:val="000000"/>
                <w:sz w:val="22"/>
                <w:szCs w:val="22"/>
              </w:rPr>
            </w:pPr>
            <w:r w:rsidRPr="0083235F">
              <w:rPr>
                <w:rFonts w:ascii="Arial" w:hAnsi="Arial" w:cs="Arial"/>
                <w:color w:val="000000"/>
                <w:sz w:val="22"/>
                <w:szCs w:val="22"/>
              </w:rPr>
              <w:t>104</w:t>
            </w:r>
          </w:p>
        </w:tc>
        <w:tc>
          <w:tcPr>
            <w:tcW w:w="1727" w:type="dxa"/>
            <w:tcBorders>
              <w:top w:val="nil"/>
              <w:left w:val="nil"/>
              <w:bottom w:val="single" w:sz="4" w:space="0" w:color="auto"/>
              <w:right w:val="single" w:sz="4" w:space="0" w:color="auto"/>
            </w:tcBorders>
            <w:shd w:val="clear" w:color="auto" w:fill="auto"/>
            <w:noWrap/>
            <w:vAlign w:val="bottom"/>
            <w:hideMark/>
          </w:tcPr>
          <w:p w14:paraId="59B22D3F" w14:textId="77777777" w:rsidR="0083235F" w:rsidRPr="0083235F" w:rsidRDefault="0083235F" w:rsidP="00433631">
            <w:pPr>
              <w:ind w:right="165"/>
              <w:jc w:val="right"/>
              <w:rPr>
                <w:rFonts w:ascii="Arial" w:hAnsi="Arial" w:cs="Arial"/>
                <w:color w:val="000000"/>
                <w:sz w:val="22"/>
                <w:szCs w:val="22"/>
              </w:rPr>
            </w:pPr>
            <w:r w:rsidRPr="0083235F">
              <w:rPr>
                <w:rFonts w:ascii="Arial" w:hAnsi="Arial" w:cs="Arial"/>
                <w:color w:val="000000"/>
                <w:sz w:val="22"/>
                <w:szCs w:val="22"/>
              </w:rPr>
              <w:t>858</w:t>
            </w:r>
          </w:p>
        </w:tc>
        <w:tc>
          <w:tcPr>
            <w:tcW w:w="1354" w:type="dxa"/>
            <w:tcBorders>
              <w:top w:val="nil"/>
              <w:left w:val="nil"/>
              <w:bottom w:val="single" w:sz="4" w:space="0" w:color="auto"/>
              <w:right w:val="single" w:sz="4" w:space="0" w:color="auto"/>
            </w:tcBorders>
            <w:shd w:val="clear" w:color="auto" w:fill="auto"/>
            <w:noWrap/>
            <w:vAlign w:val="bottom"/>
            <w:hideMark/>
          </w:tcPr>
          <w:p w14:paraId="237EBBDB" w14:textId="77777777" w:rsidR="0083235F" w:rsidRPr="0083235F" w:rsidRDefault="0083235F" w:rsidP="00433631">
            <w:pPr>
              <w:ind w:right="165"/>
              <w:jc w:val="right"/>
              <w:rPr>
                <w:rFonts w:ascii="Arial" w:hAnsi="Arial" w:cs="Arial"/>
                <w:color w:val="000000"/>
                <w:sz w:val="22"/>
                <w:szCs w:val="22"/>
              </w:rPr>
            </w:pPr>
            <w:r w:rsidRPr="0083235F">
              <w:rPr>
                <w:rFonts w:ascii="Arial" w:hAnsi="Arial" w:cs="Arial"/>
                <w:color w:val="000000"/>
                <w:sz w:val="22"/>
                <w:szCs w:val="22"/>
              </w:rPr>
              <w:t>1,287</w:t>
            </w:r>
          </w:p>
        </w:tc>
      </w:tr>
      <w:tr w:rsidR="0083235F" w:rsidRPr="0083235F" w14:paraId="689182E7" w14:textId="77777777" w:rsidTr="0077714E">
        <w:trPr>
          <w:trHeight w:val="1060"/>
        </w:trPr>
        <w:tc>
          <w:tcPr>
            <w:tcW w:w="9481" w:type="dxa"/>
            <w:gridSpan w:val="6"/>
            <w:tcBorders>
              <w:top w:val="nil"/>
              <w:left w:val="nil"/>
              <w:bottom w:val="nil"/>
              <w:right w:val="nil"/>
            </w:tcBorders>
            <w:shd w:val="clear" w:color="auto" w:fill="auto"/>
            <w:noWrap/>
            <w:hideMark/>
          </w:tcPr>
          <w:p w14:paraId="39F85ED0" w14:textId="1E356DDC" w:rsidR="0083235F" w:rsidRPr="0083235F" w:rsidRDefault="0083235F" w:rsidP="001B382A">
            <w:pPr>
              <w:pStyle w:val="ListParagraph0"/>
              <w:numPr>
                <w:ilvl w:val="0"/>
                <w:numId w:val="7"/>
              </w:numPr>
              <w:ind w:left="330" w:hanging="180"/>
              <w:rPr>
                <w:rFonts w:ascii="Arial" w:hAnsi="Arial" w:cs="Arial"/>
                <w:sz w:val="22"/>
                <w:szCs w:val="22"/>
              </w:rPr>
            </w:pPr>
            <w:r>
              <w:rPr>
                <w:rFonts w:ascii="Arial" w:hAnsi="Arial" w:cs="Arial"/>
                <w:sz w:val="22"/>
                <w:szCs w:val="22"/>
              </w:rPr>
              <w:t>3,516</w:t>
            </w:r>
            <w:r w:rsidRPr="0083235F">
              <w:rPr>
                <w:rFonts w:ascii="Arial" w:hAnsi="Arial" w:cs="Arial"/>
                <w:sz w:val="22"/>
                <w:szCs w:val="22"/>
              </w:rPr>
              <w:t xml:space="preserve"> properties could have attempted to establish a home occupation WBD prior to 19030</w:t>
            </w:r>
          </w:p>
          <w:p w14:paraId="085A3047" w14:textId="03110977" w:rsidR="0083235F" w:rsidRPr="0083235F" w:rsidRDefault="00B7081E" w:rsidP="001B382A">
            <w:pPr>
              <w:pStyle w:val="ListParagraph0"/>
              <w:numPr>
                <w:ilvl w:val="0"/>
                <w:numId w:val="7"/>
              </w:numPr>
              <w:ind w:left="330" w:hanging="180"/>
              <w:rPr>
                <w:rFonts w:ascii="Arial" w:hAnsi="Arial" w:cs="Arial"/>
                <w:sz w:val="22"/>
                <w:szCs w:val="22"/>
              </w:rPr>
            </w:pPr>
            <w:r>
              <w:rPr>
                <w:rFonts w:ascii="Arial" w:hAnsi="Arial" w:cs="Arial"/>
                <w:sz w:val="22"/>
                <w:szCs w:val="22"/>
              </w:rPr>
              <w:t>2,135</w:t>
            </w:r>
            <w:r w:rsidR="00242922" w:rsidRPr="0083235F">
              <w:rPr>
                <w:rFonts w:ascii="Arial" w:hAnsi="Arial" w:cs="Arial"/>
                <w:sz w:val="22"/>
                <w:szCs w:val="22"/>
              </w:rPr>
              <w:t xml:space="preserve"> </w:t>
            </w:r>
            <w:r w:rsidR="0083235F" w:rsidRPr="0083235F">
              <w:rPr>
                <w:rFonts w:ascii="Arial" w:hAnsi="Arial" w:cs="Arial"/>
                <w:sz w:val="22"/>
                <w:szCs w:val="22"/>
              </w:rPr>
              <w:t>properties could have attempted to establish a WBD II prior to 19030</w:t>
            </w:r>
          </w:p>
          <w:p w14:paraId="06FAB7B0" w14:textId="51F23387" w:rsidR="0083235F" w:rsidRPr="0083235F" w:rsidRDefault="0083235F" w:rsidP="00433631">
            <w:pPr>
              <w:pStyle w:val="ListParagraph0"/>
              <w:numPr>
                <w:ilvl w:val="0"/>
                <w:numId w:val="7"/>
              </w:numPr>
              <w:ind w:left="330" w:hanging="180"/>
              <w:rPr>
                <w:rFonts w:ascii="Arial" w:hAnsi="Arial" w:cs="Arial"/>
                <w:sz w:val="22"/>
                <w:szCs w:val="22"/>
              </w:rPr>
            </w:pPr>
            <w:r w:rsidRPr="0083235F">
              <w:rPr>
                <w:rFonts w:ascii="Arial" w:hAnsi="Arial" w:cs="Arial"/>
                <w:sz w:val="22"/>
                <w:szCs w:val="22"/>
              </w:rPr>
              <w:t>1</w:t>
            </w:r>
            <w:r>
              <w:rPr>
                <w:rFonts w:ascii="Arial" w:hAnsi="Arial" w:cs="Arial"/>
                <w:sz w:val="22"/>
                <w:szCs w:val="22"/>
              </w:rPr>
              <w:t>,</w:t>
            </w:r>
            <w:r w:rsidRPr="0083235F">
              <w:rPr>
                <w:rFonts w:ascii="Arial" w:hAnsi="Arial" w:cs="Arial"/>
                <w:sz w:val="22"/>
                <w:szCs w:val="22"/>
              </w:rPr>
              <w:t>383 (</w:t>
            </w:r>
            <w:r>
              <w:rPr>
                <w:rFonts w:ascii="Arial" w:hAnsi="Arial" w:cs="Arial"/>
                <w:sz w:val="22"/>
                <w:szCs w:val="22"/>
              </w:rPr>
              <w:t>180 plus 1,203</w:t>
            </w:r>
            <w:r w:rsidRPr="0083235F">
              <w:rPr>
                <w:rFonts w:ascii="Arial" w:hAnsi="Arial" w:cs="Arial"/>
                <w:sz w:val="22"/>
                <w:szCs w:val="22"/>
              </w:rPr>
              <w:t>) properties could attempt to establish a WBD II under 19030</w:t>
            </w:r>
          </w:p>
          <w:p w14:paraId="1FF3D726" w14:textId="77777777" w:rsidR="0083235F" w:rsidRPr="0083235F" w:rsidRDefault="0083235F" w:rsidP="001B382A">
            <w:pPr>
              <w:rPr>
                <w:rFonts w:ascii="Arial" w:hAnsi="Arial" w:cs="Arial"/>
                <w:sz w:val="22"/>
                <w:szCs w:val="22"/>
              </w:rPr>
            </w:pPr>
          </w:p>
        </w:tc>
      </w:tr>
    </w:tbl>
    <w:p w14:paraId="278CEAA1" w14:textId="3EFCCFA5" w:rsidR="00BB7D80" w:rsidRDefault="00BB7D80"/>
    <w:tbl>
      <w:tblPr>
        <w:tblW w:w="9481" w:type="dxa"/>
        <w:tblInd w:w="118" w:type="dxa"/>
        <w:tblLook w:val="04A0" w:firstRow="1" w:lastRow="0" w:firstColumn="1" w:lastColumn="0" w:noHBand="0" w:noVBand="1"/>
      </w:tblPr>
      <w:tblGrid>
        <w:gridCol w:w="2582"/>
        <w:gridCol w:w="1852"/>
        <w:gridCol w:w="1946"/>
        <w:gridCol w:w="1727"/>
        <w:gridCol w:w="1354"/>
        <w:gridCol w:w="20"/>
      </w:tblGrid>
      <w:tr w:rsidR="0083235F" w:rsidRPr="00152736" w14:paraId="2A71DB18" w14:textId="77777777" w:rsidTr="00433631">
        <w:trPr>
          <w:trHeight w:val="315"/>
        </w:trPr>
        <w:tc>
          <w:tcPr>
            <w:tcW w:w="9481" w:type="dxa"/>
            <w:gridSpan w:val="6"/>
            <w:tcBorders>
              <w:top w:val="nil"/>
              <w:left w:val="nil"/>
              <w:bottom w:val="nil"/>
              <w:right w:val="nil"/>
            </w:tcBorders>
            <w:shd w:val="clear" w:color="auto" w:fill="auto"/>
            <w:noWrap/>
            <w:vAlign w:val="bottom"/>
          </w:tcPr>
          <w:p w14:paraId="62BDE7C8" w14:textId="1FC0F7CE" w:rsidR="0083235F" w:rsidRPr="00152736" w:rsidRDefault="0083235F" w:rsidP="00A6773E">
            <w:pPr>
              <w:jc w:val="center"/>
              <w:rPr>
                <w:rFonts w:ascii="Arial" w:hAnsi="Arial" w:cs="Arial"/>
                <w:sz w:val="22"/>
                <w:szCs w:val="22"/>
              </w:rPr>
            </w:pPr>
            <w:r w:rsidRPr="00DA7512">
              <w:rPr>
                <w:rFonts w:ascii="Arial" w:hAnsi="Arial" w:cs="Arial"/>
                <w:b/>
                <w:bCs/>
                <w:szCs w:val="24"/>
              </w:rPr>
              <w:t>Table 1</w:t>
            </w:r>
            <w:r>
              <w:rPr>
                <w:rFonts w:ascii="Arial" w:hAnsi="Arial" w:cs="Arial"/>
                <w:b/>
                <w:bCs/>
                <w:szCs w:val="24"/>
              </w:rPr>
              <w:t>d</w:t>
            </w:r>
            <w:r w:rsidRPr="00DA7512">
              <w:rPr>
                <w:rFonts w:ascii="Arial" w:hAnsi="Arial" w:cs="Arial"/>
                <w:b/>
                <w:bCs/>
                <w:szCs w:val="24"/>
              </w:rPr>
              <w:t>. GIS analysis of parcels available for WBDs</w:t>
            </w:r>
            <w:r>
              <w:rPr>
                <w:rFonts w:ascii="Arial" w:hAnsi="Arial" w:cs="Arial"/>
                <w:b/>
                <w:bCs/>
                <w:szCs w:val="24"/>
              </w:rPr>
              <w:t xml:space="preserve"> II –</w:t>
            </w:r>
            <w:r w:rsidR="00B7081E">
              <w:rPr>
                <w:rFonts w:ascii="Arial" w:hAnsi="Arial" w:cs="Arial"/>
                <w:b/>
                <w:bCs/>
                <w:szCs w:val="24"/>
              </w:rPr>
              <w:t xml:space="preserve"> </w:t>
            </w:r>
            <w:r>
              <w:rPr>
                <w:rFonts w:ascii="Arial" w:hAnsi="Arial" w:cs="Arial"/>
                <w:b/>
                <w:bCs/>
                <w:szCs w:val="24"/>
              </w:rPr>
              <w:t>A zone</w:t>
            </w:r>
          </w:p>
        </w:tc>
      </w:tr>
      <w:tr w:rsidR="0083235F" w:rsidRPr="0083235F" w14:paraId="0D1FE795" w14:textId="77777777" w:rsidTr="00433631">
        <w:trPr>
          <w:trHeight w:val="315"/>
        </w:trPr>
        <w:tc>
          <w:tcPr>
            <w:tcW w:w="9481" w:type="dxa"/>
            <w:gridSpan w:val="6"/>
            <w:tcBorders>
              <w:top w:val="single" w:sz="8" w:space="0" w:color="auto"/>
              <w:left w:val="single" w:sz="8" w:space="0" w:color="auto"/>
              <w:bottom w:val="single" w:sz="8" w:space="0" w:color="auto"/>
              <w:right w:val="single" w:sz="8" w:space="0" w:color="000000"/>
            </w:tcBorders>
            <w:shd w:val="clear" w:color="auto" w:fill="000000" w:themeFill="text1"/>
            <w:noWrap/>
            <w:vAlign w:val="center"/>
            <w:hideMark/>
          </w:tcPr>
          <w:p w14:paraId="3157B74E" w14:textId="77777777" w:rsidR="0083235F" w:rsidRPr="0083235F" w:rsidRDefault="0083235F" w:rsidP="0083235F">
            <w:pPr>
              <w:jc w:val="center"/>
              <w:rPr>
                <w:rFonts w:ascii="Arial" w:hAnsi="Arial" w:cs="Arial"/>
                <w:b/>
                <w:bCs/>
                <w:color w:val="FFFFFF"/>
                <w:sz w:val="22"/>
                <w:szCs w:val="22"/>
              </w:rPr>
            </w:pPr>
            <w:r w:rsidRPr="0083235F">
              <w:rPr>
                <w:rFonts w:ascii="Arial" w:hAnsi="Arial" w:cs="Arial"/>
                <w:b/>
                <w:bCs/>
                <w:color w:val="FFFFFF"/>
                <w:sz w:val="22"/>
                <w:szCs w:val="22"/>
              </w:rPr>
              <w:t>Vashon-Maury Island - A Zones</w:t>
            </w:r>
          </w:p>
        </w:tc>
      </w:tr>
      <w:tr w:rsidR="0083235F" w:rsidRPr="0083235F" w14:paraId="1B849CB5" w14:textId="77777777" w:rsidTr="00433631">
        <w:trPr>
          <w:gridAfter w:val="1"/>
          <w:wAfter w:w="20" w:type="dxa"/>
          <w:trHeight w:val="315"/>
        </w:trPr>
        <w:tc>
          <w:tcPr>
            <w:tcW w:w="2582"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1C03F41B" w14:textId="77777777" w:rsidR="0083235F" w:rsidRPr="0083235F" w:rsidRDefault="0083235F" w:rsidP="0083235F">
            <w:pPr>
              <w:rPr>
                <w:rFonts w:ascii="Arial" w:hAnsi="Arial" w:cs="Arial"/>
                <w:color w:val="000000"/>
                <w:sz w:val="22"/>
                <w:szCs w:val="22"/>
              </w:rPr>
            </w:pPr>
            <w:r w:rsidRPr="0083235F">
              <w:rPr>
                <w:rFonts w:ascii="Arial" w:hAnsi="Arial" w:cs="Arial"/>
                <w:color w:val="000000"/>
                <w:sz w:val="22"/>
                <w:szCs w:val="22"/>
              </w:rPr>
              <w:t> </w:t>
            </w:r>
          </w:p>
        </w:tc>
        <w:tc>
          <w:tcPr>
            <w:tcW w:w="1852" w:type="dxa"/>
            <w:tcBorders>
              <w:top w:val="nil"/>
              <w:left w:val="nil"/>
              <w:bottom w:val="nil"/>
              <w:right w:val="single" w:sz="8" w:space="0" w:color="auto"/>
            </w:tcBorders>
            <w:shd w:val="clear" w:color="auto" w:fill="D9D9D9" w:themeFill="background1" w:themeFillShade="D9"/>
            <w:noWrap/>
            <w:vAlign w:val="center"/>
            <w:hideMark/>
          </w:tcPr>
          <w:p w14:paraId="5EB87364" w14:textId="335CCEF5" w:rsidR="0083235F" w:rsidRPr="0083235F" w:rsidRDefault="0083235F" w:rsidP="0083235F">
            <w:pPr>
              <w:jc w:val="center"/>
              <w:rPr>
                <w:rFonts w:ascii="Arial" w:hAnsi="Arial" w:cs="Arial"/>
                <w:b/>
                <w:bCs/>
                <w:color w:val="000000"/>
                <w:sz w:val="22"/>
                <w:szCs w:val="22"/>
              </w:rPr>
            </w:pPr>
            <w:r w:rsidRPr="00152736">
              <w:rPr>
                <w:rFonts w:ascii="Arial" w:hAnsi="Arial" w:cs="Arial"/>
                <w:b/>
                <w:bCs/>
                <w:color w:val="000000"/>
                <w:sz w:val="22"/>
                <w:szCs w:val="22"/>
              </w:rPr>
              <w:t>Less than 2.5ac</w:t>
            </w:r>
          </w:p>
        </w:tc>
        <w:tc>
          <w:tcPr>
            <w:tcW w:w="1946" w:type="dxa"/>
            <w:tcBorders>
              <w:top w:val="nil"/>
              <w:left w:val="nil"/>
              <w:bottom w:val="nil"/>
              <w:right w:val="single" w:sz="8" w:space="0" w:color="auto"/>
            </w:tcBorders>
            <w:shd w:val="clear" w:color="auto" w:fill="D9D9D9" w:themeFill="background1" w:themeFillShade="D9"/>
            <w:noWrap/>
            <w:vAlign w:val="center"/>
            <w:hideMark/>
          </w:tcPr>
          <w:p w14:paraId="652FBD62" w14:textId="62039852" w:rsidR="0083235F" w:rsidRPr="0083235F" w:rsidRDefault="0083235F" w:rsidP="0083235F">
            <w:pPr>
              <w:jc w:val="center"/>
              <w:rPr>
                <w:rFonts w:ascii="Arial" w:hAnsi="Arial" w:cs="Arial"/>
                <w:b/>
                <w:bCs/>
                <w:color w:val="000000"/>
                <w:sz w:val="22"/>
                <w:szCs w:val="22"/>
              </w:rPr>
            </w:pPr>
            <w:r w:rsidRPr="00152736">
              <w:rPr>
                <w:rFonts w:ascii="Arial" w:hAnsi="Arial" w:cs="Arial"/>
                <w:b/>
                <w:bCs/>
                <w:color w:val="000000"/>
                <w:sz w:val="22"/>
                <w:szCs w:val="22"/>
              </w:rPr>
              <w:t>2.5ac</w:t>
            </w:r>
            <w:r>
              <w:rPr>
                <w:rFonts w:ascii="Arial" w:hAnsi="Arial" w:cs="Arial"/>
                <w:b/>
                <w:bCs/>
                <w:color w:val="000000"/>
                <w:sz w:val="22"/>
                <w:szCs w:val="22"/>
              </w:rPr>
              <w:t xml:space="preserve"> to</w:t>
            </w:r>
            <w:r w:rsidRPr="00152736">
              <w:rPr>
                <w:rFonts w:ascii="Arial" w:hAnsi="Arial" w:cs="Arial"/>
                <w:b/>
                <w:bCs/>
                <w:color w:val="000000"/>
                <w:sz w:val="22"/>
                <w:szCs w:val="22"/>
              </w:rPr>
              <w:t xml:space="preserve"> less than 4.5ac</w:t>
            </w:r>
          </w:p>
        </w:tc>
        <w:tc>
          <w:tcPr>
            <w:tcW w:w="1727" w:type="dxa"/>
            <w:tcBorders>
              <w:top w:val="nil"/>
              <w:left w:val="nil"/>
              <w:bottom w:val="nil"/>
              <w:right w:val="single" w:sz="8" w:space="0" w:color="auto"/>
            </w:tcBorders>
            <w:shd w:val="clear" w:color="auto" w:fill="D9D9D9" w:themeFill="background1" w:themeFillShade="D9"/>
            <w:noWrap/>
            <w:vAlign w:val="center"/>
            <w:hideMark/>
          </w:tcPr>
          <w:p w14:paraId="738154AE" w14:textId="336616F2" w:rsidR="0083235F" w:rsidRPr="0083235F" w:rsidRDefault="0083235F" w:rsidP="0083235F">
            <w:pPr>
              <w:jc w:val="center"/>
              <w:rPr>
                <w:rFonts w:ascii="Arial" w:hAnsi="Arial" w:cs="Arial"/>
                <w:b/>
                <w:bCs/>
                <w:color w:val="000000"/>
                <w:sz w:val="22"/>
                <w:szCs w:val="22"/>
              </w:rPr>
            </w:pPr>
            <w:r w:rsidRPr="00152736">
              <w:rPr>
                <w:rFonts w:ascii="Arial" w:hAnsi="Arial" w:cs="Arial"/>
                <w:b/>
                <w:bCs/>
                <w:color w:val="000000"/>
                <w:sz w:val="22"/>
                <w:szCs w:val="22"/>
              </w:rPr>
              <w:t>4.5ac or more</w:t>
            </w:r>
          </w:p>
        </w:tc>
        <w:tc>
          <w:tcPr>
            <w:tcW w:w="1354" w:type="dxa"/>
            <w:tcBorders>
              <w:top w:val="nil"/>
              <w:left w:val="nil"/>
              <w:bottom w:val="nil"/>
              <w:right w:val="single" w:sz="8" w:space="0" w:color="auto"/>
            </w:tcBorders>
            <w:shd w:val="clear" w:color="auto" w:fill="D9D9D9" w:themeFill="background1" w:themeFillShade="D9"/>
            <w:noWrap/>
            <w:vAlign w:val="center"/>
            <w:hideMark/>
          </w:tcPr>
          <w:p w14:paraId="439A8F9F" w14:textId="66D78DC3" w:rsidR="0083235F" w:rsidRPr="0083235F" w:rsidRDefault="0083235F" w:rsidP="0083235F">
            <w:pPr>
              <w:jc w:val="center"/>
              <w:rPr>
                <w:rFonts w:ascii="Arial" w:hAnsi="Arial" w:cs="Arial"/>
                <w:b/>
                <w:bCs/>
                <w:color w:val="000000"/>
                <w:sz w:val="22"/>
                <w:szCs w:val="22"/>
              </w:rPr>
            </w:pPr>
            <w:r w:rsidRPr="00152736">
              <w:rPr>
                <w:rFonts w:ascii="Arial" w:hAnsi="Arial" w:cs="Arial"/>
                <w:b/>
                <w:bCs/>
                <w:color w:val="000000"/>
                <w:sz w:val="22"/>
                <w:szCs w:val="22"/>
              </w:rPr>
              <w:t>All properties</w:t>
            </w:r>
          </w:p>
        </w:tc>
      </w:tr>
      <w:tr w:rsidR="0083235F" w:rsidRPr="0083235F" w14:paraId="460ECF67" w14:textId="77777777" w:rsidTr="00433631">
        <w:trPr>
          <w:gridAfter w:val="1"/>
          <w:wAfter w:w="20" w:type="dxa"/>
          <w:trHeight w:val="315"/>
        </w:trPr>
        <w:tc>
          <w:tcPr>
            <w:tcW w:w="2582" w:type="dxa"/>
            <w:tcBorders>
              <w:top w:val="nil"/>
              <w:left w:val="single" w:sz="8" w:space="0" w:color="auto"/>
              <w:bottom w:val="single" w:sz="8" w:space="0" w:color="auto"/>
              <w:right w:val="nil"/>
            </w:tcBorders>
            <w:shd w:val="clear" w:color="auto" w:fill="F2F2F2" w:themeFill="background1" w:themeFillShade="F2"/>
            <w:noWrap/>
            <w:vAlign w:val="center"/>
            <w:hideMark/>
          </w:tcPr>
          <w:p w14:paraId="497C8C58" w14:textId="77777777" w:rsidR="0083235F" w:rsidRPr="0083235F" w:rsidRDefault="0083235F" w:rsidP="0083235F">
            <w:pPr>
              <w:rPr>
                <w:rFonts w:ascii="Arial" w:hAnsi="Arial" w:cs="Arial"/>
                <w:color w:val="000000"/>
                <w:sz w:val="22"/>
                <w:szCs w:val="22"/>
              </w:rPr>
            </w:pPr>
            <w:r w:rsidRPr="0083235F">
              <w:rPr>
                <w:rFonts w:ascii="Arial" w:hAnsi="Arial" w:cs="Arial"/>
                <w:color w:val="000000"/>
                <w:sz w:val="22"/>
                <w:szCs w:val="22"/>
              </w:rPr>
              <w:t>All properties</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0D579"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4</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14:paraId="68AA6410"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4</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6BCDA33C"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17</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4AFC2471"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25</w:t>
            </w:r>
          </w:p>
        </w:tc>
      </w:tr>
      <w:tr w:rsidR="0083235F" w:rsidRPr="0083235F" w14:paraId="7E9CBEB5" w14:textId="77777777" w:rsidTr="00433631">
        <w:trPr>
          <w:gridAfter w:val="1"/>
          <w:wAfter w:w="20" w:type="dxa"/>
          <w:trHeight w:val="315"/>
        </w:trPr>
        <w:tc>
          <w:tcPr>
            <w:tcW w:w="2582" w:type="dxa"/>
            <w:tcBorders>
              <w:top w:val="nil"/>
              <w:left w:val="single" w:sz="8" w:space="0" w:color="auto"/>
              <w:bottom w:val="single" w:sz="8" w:space="0" w:color="auto"/>
              <w:right w:val="nil"/>
            </w:tcBorders>
            <w:shd w:val="clear" w:color="auto" w:fill="F2F2F2" w:themeFill="background1" w:themeFillShade="F2"/>
            <w:noWrap/>
            <w:vAlign w:val="center"/>
            <w:hideMark/>
          </w:tcPr>
          <w:p w14:paraId="41377FC7" w14:textId="007BEC14" w:rsidR="0083235F" w:rsidRPr="0083235F" w:rsidRDefault="0083235F" w:rsidP="0083235F">
            <w:pPr>
              <w:rPr>
                <w:rFonts w:ascii="Arial" w:hAnsi="Arial" w:cs="Arial"/>
                <w:color w:val="000000"/>
                <w:sz w:val="22"/>
                <w:szCs w:val="22"/>
              </w:rPr>
            </w:pPr>
            <w:r w:rsidRPr="0083235F">
              <w:rPr>
                <w:rFonts w:ascii="Arial" w:hAnsi="Arial" w:cs="Arial"/>
                <w:color w:val="000000"/>
                <w:sz w:val="22"/>
                <w:szCs w:val="22"/>
              </w:rPr>
              <w:t>Accessible by a public road</w:t>
            </w:r>
            <w:r w:rsidR="00947964">
              <w:rPr>
                <w:rFonts w:ascii="Arial" w:hAnsi="Arial" w:cs="Arial"/>
                <w:color w:val="000000"/>
                <w:sz w:val="22"/>
                <w:szCs w:val="22"/>
              </w:rPr>
              <w:t xml:space="preserve"> (inc. arterial)</w:t>
            </w:r>
          </w:p>
        </w:tc>
        <w:tc>
          <w:tcPr>
            <w:tcW w:w="1852" w:type="dxa"/>
            <w:tcBorders>
              <w:top w:val="nil"/>
              <w:left w:val="single" w:sz="4" w:space="0" w:color="auto"/>
              <w:bottom w:val="single" w:sz="4" w:space="0" w:color="auto"/>
              <w:right w:val="single" w:sz="4" w:space="0" w:color="auto"/>
            </w:tcBorders>
            <w:shd w:val="clear" w:color="auto" w:fill="auto"/>
            <w:noWrap/>
            <w:vAlign w:val="center"/>
            <w:hideMark/>
          </w:tcPr>
          <w:p w14:paraId="092DDB93"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1</w:t>
            </w:r>
          </w:p>
        </w:tc>
        <w:tc>
          <w:tcPr>
            <w:tcW w:w="1946" w:type="dxa"/>
            <w:tcBorders>
              <w:top w:val="nil"/>
              <w:left w:val="nil"/>
              <w:bottom w:val="single" w:sz="4" w:space="0" w:color="auto"/>
              <w:right w:val="single" w:sz="4" w:space="0" w:color="auto"/>
            </w:tcBorders>
            <w:shd w:val="clear" w:color="auto" w:fill="auto"/>
            <w:noWrap/>
            <w:vAlign w:val="center"/>
            <w:hideMark/>
          </w:tcPr>
          <w:p w14:paraId="3F4D478E"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2</w:t>
            </w:r>
          </w:p>
        </w:tc>
        <w:tc>
          <w:tcPr>
            <w:tcW w:w="1727" w:type="dxa"/>
            <w:tcBorders>
              <w:top w:val="nil"/>
              <w:left w:val="nil"/>
              <w:bottom w:val="single" w:sz="4" w:space="0" w:color="auto"/>
              <w:right w:val="single" w:sz="4" w:space="0" w:color="auto"/>
            </w:tcBorders>
            <w:shd w:val="clear" w:color="auto" w:fill="auto"/>
            <w:noWrap/>
            <w:vAlign w:val="center"/>
            <w:hideMark/>
          </w:tcPr>
          <w:p w14:paraId="12BEF26C"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14</w:t>
            </w:r>
          </w:p>
        </w:tc>
        <w:tc>
          <w:tcPr>
            <w:tcW w:w="1354" w:type="dxa"/>
            <w:tcBorders>
              <w:top w:val="nil"/>
              <w:left w:val="nil"/>
              <w:bottom w:val="single" w:sz="4" w:space="0" w:color="auto"/>
              <w:right w:val="single" w:sz="4" w:space="0" w:color="auto"/>
            </w:tcBorders>
            <w:shd w:val="clear" w:color="auto" w:fill="auto"/>
            <w:noWrap/>
            <w:vAlign w:val="center"/>
            <w:hideMark/>
          </w:tcPr>
          <w:p w14:paraId="4266D8EC"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17</w:t>
            </w:r>
          </w:p>
        </w:tc>
      </w:tr>
      <w:tr w:rsidR="0083235F" w:rsidRPr="0083235F" w14:paraId="51891CAC" w14:textId="77777777" w:rsidTr="00433631">
        <w:trPr>
          <w:gridAfter w:val="1"/>
          <w:wAfter w:w="20" w:type="dxa"/>
          <w:trHeight w:val="315"/>
        </w:trPr>
        <w:tc>
          <w:tcPr>
            <w:tcW w:w="2582" w:type="dxa"/>
            <w:tcBorders>
              <w:top w:val="nil"/>
              <w:left w:val="single" w:sz="8" w:space="0" w:color="auto"/>
              <w:bottom w:val="single" w:sz="8" w:space="0" w:color="auto"/>
              <w:right w:val="nil"/>
            </w:tcBorders>
            <w:shd w:val="clear" w:color="auto" w:fill="F2F2F2" w:themeFill="background1" w:themeFillShade="F2"/>
            <w:noWrap/>
            <w:vAlign w:val="center"/>
            <w:hideMark/>
          </w:tcPr>
          <w:p w14:paraId="5E4D11F3" w14:textId="77777777" w:rsidR="0083235F" w:rsidRPr="0083235F" w:rsidRDefault="0083235F" w:rsidP="0083235F">
            <w:pPr>
              <w:rPr>
                <w:rFonts w:ascii="Arial" w:hAnsi="Arial" w:cs="Arial"/>
                <w:color w:val="000000"/>
                <w:sz w:val="22"/>
                <w:szCs w:val="22"/>
              </w:rPr>
            </w:pPr>
            <w:r w:rsidRPr="0083235F">
              <w:rPr>
                <w:rFonts w:ascii="Arial" w:hAnsi="Arial" w:cs="Arial"/>
                <w:color w:val="000000"/>
                <w:sz w:val="22"/>
                <w:szCs w:val="22"/>
              </w:rPr>
              <w:t>Accessible by arterial</w:t>
            </w:r>
          </w:p>
        </w:tc>
        <w:tc>
          <w:tcPr>
            <w:tcW w:w="1852" w:type="dxa"/>
            <w:tcBorders>
              <w:top w:val="nil"/>
              <w:left w:val="single" w:sz="4" w:space="0" w:color="auto"/>
              <w:bottom w:val="single" w:sz="4" w:space="0" w:color="auto"/>
              <w:right w:val="single" w:sz="4" w:space="0" w:color="auto"/>
            </w:tcBorders>
            <w:shd w:val="clear" w:color="auto" w:fill="auto"/>
            <w:noWrap/>
            <w:vAlign w:val="center"/>
            <w:hideMark/>
          </w:tcPr>
          <w:p w14:paraId="4DB67C35"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1</w:t>
            </w:r>
          </w:p>
        </w:tc>
        <w:tc>
          <w:tcPr>
            <w:tcW w:w="1946" w:type="dxa"/>
            <w:tcBorders>
              <w:top w:val="nil"/>
              <w:left w:val="nil"/>
              <w:bottom w:val="single" w:sz="4" w:space="0" w:color="auto"/>
              <w:right w:val="single" w:sz="4" w:space="0" w:color="auto"/>
            </w:tcBorders>
            <w:shd w:val="clear" w:color="auto" w:fill="auto"/>
            <w:noWrap/>
            <w:vAlign w:val="center"/>
            <w:hideMark/>
          </w:tcPr>
          <w:p w14:paraId="6CC7CA6D"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1</w:t>
            </w:r>
          </w:p>
        </w:tc>
        <w:tc>
          <w:tcPr>
            <w:tcW w:w="1727" w:type="dxa"/>
            <w:tcBorders>
              <w:top w:val="nil"/>
              <w:left w:val="nil"/>
              <w:bottom w:val="single" w:sz="4" w:space="0" w:color="auto"/>
              <w:right w:val="single" w:sz="4" w:space="0" w:color="auto"/>
            </w:tcBorders>
            <w:shd w:val="clear" w:color="auto" w:fill="auto"/>
            <w:noWrap/>
            <w:vAlign w:val="center"/>
            <w:hideMark/>
          </w:tcPr>
          <w:p w14:paraId="47ADBB3F"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12</w:t>
            </w:r>
          </w:p>
        </w:tc>
        <w:tc>
          <w:tcPr>
            <w:tcW w:w="1354" w:type="dxa"/>
            <w:tcBorders>
              <w:top w:val="nil"/>
              <w:left w:val="nil"/>
              <w:bottom w:val="single" w:sz="4" w:space="0" w:color="auto"/>
              <w:right w:val="single" w:sz="4" w:space="0" w:color="auto"/>
            </w:tcBorders>
            <w:shd w:val="clear" w:color="auto" w:fill="auto"/>
            <w:noWrap/>
            <w:vAlign w:val="center"/>
            <w:hideMark/>
          </w:tcPr>
          <w:p w14:paraId="6EF53F45" w14:textId="77777777" w:rsidR="0083235F" w:rsidRPr="0083235F" w:rsidRDefault="0083235F" w:rsidP="00433631">
            <w:pPr>
              <w:ind w:right="195"/>
              <w:jc w:val="right"/>
              <w:rPr>
                <w:rFonts w:ascii="Arial" w:hAnsi="Arial" w:cs="Arial"/>
                <w:color w:val="000000"/>
                <w:sz w:val="22"/>
                <w:szCs w:val="22"/>
              </w:rPr>
            </w:pPr>
            <w:r w:rsidRPr="0083235F">
              <w:rPr>
                <w:rFonts w:ascii="Arial" w:hAnsi="Arial" w:cs="Arial"/>
                <w:color w:val="000000"/>
                <w:sz w:val="22"/>
                <w:szCs w:val="22"/>
              </w:rPr>
              <w:t>14</w:t>
            </w:r>
          </w:p>
        </w:tc>
      </w:tr>
      <w:tr w:rsidR="0083235F" w:rsidRPr="0083235F" w14:paraId="5C35F4E0" w14:textId="77777777" w:rsidTr="00433631">
        <w:trPr>
          <w:trHeight w:val="1033"/>
        </w:trPr>
        <w:tc>
          <w:tcPr>
            <w:tcW w:w="9481" w:type="dxa"/>
            <w:gridSpan w:val="6"/>
            <w:tcBorders>
              <w:top w:val="nil"/>
              <w:left w:val="nil"/>
              <w:bottom w:val="nil"/>
              <w:right w:val="nil"/>
            </w:tcBorders>
            <w:shd w:val="clear" w:color="auto" w:fill="auto"/>
            <w:noWrap/>
            <w:hideMark/>
          </w:tcPr>
          <w:p w14:paraId="4D3AF6D7" w14:textId="2185C556" w:rsidR="0083235F" w:rsidRPr="0083235F" w:rsidRDefault="0083235F" w:rsidP="00433631">
            <w:pPr>
              <w:pStyle w:val="ListParagraph0"/>
              <w:numPr>
                <w:ilvl w:val="0"/>
                <w:numId w:val="7"/>
              </w:numPr>
              <w:ind w:left="330" w:hanging="180"/>
              <w:rPr>
                <w:rFonts w:ascii="Arial" w:hAnsi="Arial" w:cs="Arial"/>
                <w:sz w:val="22"/>
                <w:szCs w:val="22"/>
              </w:rPr>
            </w:pPr>
            <w:r>
              <w:rPr>
                <w:rFonts w:ascii="Arial" w:hAnsi="Arial" w:cs="Arial"/>
                <w:sz w:val="22"/>
                <w:szCs w:val="22"/>
              </w:rPr>
              <w:t>25</w:t>
            </w:r>
            <w:r w:rsidRPr="0083235F">
              <w:rPr>
                <w:rFonts w:ascii="Arial" w:hAnsi="Arial" w:cs="Arial"/>
                <w:sz w:val="22"/>
                <w:szCs w:val="22"/>
              </w:rPr>
              <w:t xml:space="preserve"> properties could have attempted to establish a home occupation WBD prior to 19030</w:t>
            </w:r>
          </w:p>
          <w:p w14:paraId="6A1C7962" w14:textId="3FA4C803" w:rsidR="0083235F" w:rsidRPr="0083235F" w:rsidRDefault="00B7081E" w:rsidP="00433631">
            <w:pPr>
              <w:pStyle w:val="ListParagraph0"/>
              <w:numPr>
                <w:ilvl w:val="0"/>
                <w:numId w:val="7"/>
              </w:numPr>
              <w:ind w:left="330" w:hanging="180"/>
              <w:rPr>
                <w:rFonts w:ascii="Arial" w:hAnsi="Arial" w:cs="Arial"/>
                <w:sz w:val="22"/>
                <w:szCs w:val="22"/>
              </w:rPr>
            </w:pPr>
            <w:r>
              <w:rPr>
                <w:rFonts w:ascii="Arial" w:hAnsi="Arial" w:cs="Arial"/>
                <w:sz w:val="22"/>
                <w:szCs w:val="22"/>
              </w:rPr>
              <w:t>17</w:t>
            </w:r>
            <w:r w:rsidR="0083235F" w:rsidRPr="0083235F">
              <w:rPr>
                <w:rFonts w:ascii="Arial" w:hAnsi="Arial" w:cs="Arial"/>
                <w:sz w:val="22"/>
                <w:szCs w:val="22"/>
              </w:rPr>
              <w:t xml:space="preserve"> properties could have attempted to establish a WBD II prior to 19030</w:t>
            </w:r>
          </w:p>
          <w:p w14:paraId="6169984A" w14:textId="7921839A" w:rsidR="0083235F" w:rsidRPr="0083235F" w:rsidRDefault="0083235F" w:rsidP="00433631">
            <w:pPr>
              <w:pStyle w:val="ListParagraph0"/>
              <w:numPr>
                <w:ilvl w:val="0"/>
                <w:numId w:val="7"/>
              </w:numPr>
              <w:ind w:left="330" w:hanging="180"/>
              <w:rPr>
                <w:rFonts w:ascii="Arial" w:hAnsi="Arial" w:cs="Arial"/>
                <w:sz w:val="22"/>
                <w:szCs w:val="22"/>
              </w:rPr>
            </w:pPr>
            <w:r>
              <w:rPr>
                <w:rFonts w:ascii="Arial" w:hAnsi="Arial" w:cs="Arial"/>
                <w:sz w:val="22"/>
                <w:szCs w:val="22"/>
              </w:rPr>
              <w:t>16</w:t>
            </w:r>
            <w:r w:rsidRPr="0083235F">
              <w:rPr>
                <w:rFonts w:ascii="Arial" w:hAnsi="Arial" w:cs="Arial"/>
                <w:sz w:val="22"/>
                <w:szCs w:val="22"/>
              </w:rPr>
              <w:t xml:space="preserve"> (</w:t>
            </w:r>
            <w:r>
              <w:rPr>
                <w:rFonts w:ascii="Arial" w:hAnsi="Arial" w:cs="Arial"/>
                <w:sz w:val="22"/>
                <w:szCs w:val="22"/>
              </w:rPr>
              <w:t>2 plus 14</w:t>
            </w:r>
            <w:r w:rsidRPr="0083235F">
              <w:rPr>
                <w:rFonts w:ascii="Arial" w:hAnsi="Arial" w:cs="Arial"/>
                <w:sz w:val="22"/>
                <w:szCs w:val="22"/>
              </w:rPr>
              <w:t>) properties could attempt to establish a WBD II under 19030</w:t>
            </w:r>
          </w:p>
          <w:p w14:paraId="2B043A1B" w14:textId="77777777" w:rsidR="0083235F" w:rsidRPr="0083235F" w:rsidRDefault="0083235F" w:rsidP="001B382A">
            <w:pPr>
              <w:rPr>
                <w:rFonts w:ascii="Arial" w:hAnsi="Arial" w:cs="Arial"/>
                <w:sz w:val="22"/>
                <w:szCs w:val="22"/>
              </w:rPr>
            </w:pPr>
          </w:p>
        </w:tc>
      </w:tr>
    </w:tbl>
    <w:p w14:paraId="3C16E80D" w14:textId="31364A30" w:rsidR="0083235F" w:rsidRPr="00433631" w:rsidRDefault="00433631" w:rsidP="00433631">
      <w:pPr>
        <w:pStyle w:val="ListParagraph0"/>
        <w:ind w:left="90"/>
        <w:jc w:val="both"/>
        <w:rPr>
          <w:rFonts w:ascii="Arial" w:hAnsi="Arial" w:cs="Arial"/>
          <w:i/>
          <w:iCs/>
          <w:color w:val="000000"/>
          <w:sz w:val="20"/>
          <w:szCs w:val="20"/>
        </w:rPr>
      </w:pPr>
      <w:r>
        <w:rPr>
          <w:rFonts w:ascii="Arial" w:hAnsi="Arial" w:cs="Arial"/>
          <w:i/>
          <w:iCs/>
          <w:color w:val="000000"/>
          <w:sz w:val="20"/>
          <w:szCs w:val="20"/>
        </w:rPr>
        <w:t xml:space="preserve">Table </w:t>
      </w:r>
      <w:r w:rsidR="0083235F" w:rsidRPr="00433631">
        <w:rPr>
          <w:rFonts w:ascii="Arial" w:hAnsi="Arial" w:cs="Arial"/>
          <w:i/>
          <w:iCs/>
          <w:color w:val="000000"/>
          <w:sz w:val="20"/>
          <w:szCs w:val="20"/>
        </w:rPr>
        <w:t>Notes:</w:t>
      </w:r>
    </w:p>
    <w:p w14:paraId="55D10008" w14:textId="4ED8A131" w:rsidR="0083235F" w:rsidRPr="00433631" w:rsidRDefault="0083235F" w:rsidP="00433631">
      <w:pPr>
        <w:pStyle w:val="ListParagraph0"/>
        <w:numPr>
          <w:ilvl w:val="0"/>
          <w:numId w:val="6"/>
        </w:numPr>
        <w:ind w:left="450" w:hanging="180"/>
        <w:jc w:val="both"/>
        <w:rPr>
          <w:rFonts w:ascii="Arial" w:hAnsi="Arial" w:cs="Arial"/>
          <w:i/>
          <w:iCs/>
          <w:color w:val="000000"/>
          <w:sz w:val="20"/>
          <w:szCs w:val="20"/>
        </w:rPr>
      </w:pPr>
      <w:r w:rsidRPr="00433631">
        <w:rPr>
          <w:rFonts w:ascii="Arial" w:hAnsi="Arial" w:cs="Arial"/>
          <w:i/>
          <w:iCs/>
          <w:color w:val="000000"/>
          <w:sz w:val="20"/>
          <w:szCs w:val="20"/>
        </w:rPr>
        <w:t>These are estimates</w:t>
      </w:r>
      <w:r w:rsidR="00B7081E">
        <w:rPr>
          <w:rFonts w:ascii="Arial" w:hAnsi="Arial" w:cs="Arial"/>
          <w:i/>
          <w:iCs/>
          <w:color w:val="000000"/>
          <w:sz w:val="20"/>
          <w:szCs w:val="20"/>
        </w:rPr>
        <w:t xml:space="preserve"> using available GIS data</w:t>
      </w:r>
      <w:r w:rsidRPr="00433631">
        <w:rPr>
          <w:rFonts w:ascii="Arial" w:hAnsi="Arial" w:cs="Arial"/>
          <w:i/>
          <w:iCs/>
          <w:color w:val="000000"/>
          <w:sz w:val="20"/>
          <w:szCs w:val="20"/>
        </w:rPr>
        <w:t xml:space="preserve">. </w:t>
      </w:r>
    </w:p>
    <w:p w14:paraId="4DFB0D6B" w14:textId="66145105" w:rsidR="0083235F" w:rsidRPr="00433631" w:rsidRDefault="0083235F" w:rsidP="00433631">
      <w:pPr>
        <w:pStyle w:val="ListParagraph0"/>
        <w:numPr>
          <w:ilvl w:val="0"/>
          <w:numId w:val="6"/>
        </w:numPr>
        <w:ind w:left="450" w:hanging="180"/>
        <w:jc w:val="both"/>
        <w:rPr>
          <w:rFonts w:ascii="Arial" w:hAnsi="Arial" w:cs="Arial"/>
          <w:i/>
          <w:iCs/>
          <w:color w:val="000000"/>
          <w:sz w:val="20"/>
          <w:szCs w:val="20"/>
        </w:rPr>
      </w:pPr>
      <w:r w:rsidRPr="00433631">
        <w:rPr>
          <w:rFonts w:ascii="Arial" w:hAnsi="Arial" w:cs="Arial"/>
          <w:i/>
          <w:iCs/>
          <w:color w:val="000000"/>
          <w:sz w:val="20"/>
          <w:szCs w:val="20"/>
        </w:rPr>
        <w:t>Arterials are line features in ArcGIS. Parcels were selected based on an intersect with the Arterial feature line with a 50</w:t>
      </w:r>
      <w:r w:rsidR="00B7081E">
        <w:rPr>
          <w:rFonts w:ascii="Arial" w:hAnsi="Arial" w:cs="Arial"/>
          <w:i/>
          <w:iCs/>
          <w:color w:val="000000"/>
          <w:sz w:val="20"/>
          <w:szCs w:val="20"/>
        </w:rPr>
        <w:t xml:space="preserve"> </w:t>
      </w:r>
      <w:r w:rsidRPr="00433631">
        <w:rPr>
          <w:rFonts w:ascii="Arial" w:hAnsi="Arial" w:cs="Arial"/>
          <w:i/>
          <w:iCs/>
          <w:color w:val="000000"/>
          <w:sz w:val="20"/>
          <w:szCs w:val="20"/>
        </w:rPr>
        <w:t>ft tolerance. 50</w:t>
      </w:r>
      <w:r w:rsidR="00B7081E">
        <w:rPr>
          <w:rFonts w:ascii="Arial" w:hAnsi="Arial" w:cs="Arial"/>
          <w:i/>
          <w:iCs/>
          <w:color w:val="000000"/>
          <w:sz w:val="20"/>
          <w:szCs w:val="20"/>
        </w:rPr>
        <w:t xml:space="preserve"> </w:t>
      </w:r>
      <w:r w:rsidRPr="00433631">
        <w:rPr>
          <w:rFonts w:ascii="Arial" w:hAnsi="Arial" w:cs="Arial"/>
          <w:i/>
          <w:iCs/>
          <w:color w:val="000000"/>
          <w:sz w:val="20"/>
          <w:szCs w:val="20"/>
        </w:rPr>
        <w:t xml:space="preserve">ft was used because rights-of-way </w:t>
      </w:r>
      <w:r w:rsidR="00B7081E">
        <w:rPr>
          <w:rFonts w:ascii="Arial" w:hAnsi="Arial" w:cs="Arial"/>
          <w:i/>
          <w:iCs/>
          <w:color w:val="000000"/>
          <w:sz w:val="20"/>
          <w:szCs w:val="20"/>
        </w:rPr>
        <w:t xml:space="preserve">are </w:t>
      </w:r>
      <w:r w:rsidRPr="00433631">
        <w:rPr>
          <w:rFonts w:ascii="Arial" w:hAnsi="Arial" w:cs="Arial"/>
          <w:i/>
          <w:iCs/>
          <w:color w:val="000000"/>
          <w:sz w:val="20"/>
          <w:szCs w:val="20"/>
        </w:rPr>
        <w:t>typically 80-100 ft</w:t>
      </w:r>
      <w:r w:rsidR="00B7081E">
        <w:rPr>
          <w:rFonts w:ascii="Arial" w:hAnsi="Arial" w:cs="Arial"/>
          <w:i/>
          <w:iCs/>
          <w:color w:val="000000"/>
          <w:sz w:val="20"/>
          <w:szCs w:val="20"/>
        </w:rPr>
        <w:t xml:space="preserve"> wide</w:t>
      </w:r>
      <w:r w:rsidRPr="00433631">
        <w:rPr>
          <w:rFonts w:ascii="Arial" w:hAnsi="Arial" w:cs="Arial"/>
          <w:i/>
          <w:iCs/>
          <w:color w:val="000000"/>
          <w:sz w:val="20"/>
          <w:szCs w:val="20"/>
        </w:rPr>
        <w:t xml:space="preserve">. The arterial feature is not a centerline, </w:t>
      </w:r>
      <w:r w:rsidR="00B7081E">
        <w:rPr>
          <w:rFonts w:ascii="Arial" w:hAnsi="Arial" w:cs="Arial"/>
          <w:i/>
          <w:iCs/>
          <w:color w:val="000000"/>
          <w:sz w:val="20"/>
          <w:szCs w:val="20"/>
        </w:rPr>
        <w:t>and</w:t>
      </w:r>
      <w:r w:rsidRPr="00433631">
        <w:rPr>
          <w:rFonts w:ascii="Arial" w:hAnsi="Arial" w:cs="Arial"/>
          <w:i/>
          <w:iCs/>
          <w:color w:val="000000"/>
          <w:sz w:val="20"/>
          <w:szCs w:val="20"/>
        </w:rPr>
        <w:t xml:space="preserve"> there may be parcels that are accessible</w:t>
      </w:r>
      <w:r w:rsidR="00800EC7">
        <w:rPr>
          <w:rFonts w:ascii="Arial" w:hAnsi="Arial" w:cs="Arial"/>
          <w:i/>
          <w:iCs/>
          <w:color w:val="000000"/>
          <w:sz w:val="20"/>
          <w:szCs w:val="20"/>
        </w:rPr>
        <w:t xml:space="preserve"> by arterial</w:t>
      </w:r>
      <w:r w:rsidRPr="00433631">
        <w:rPr>
          <w:rFonts w:ascii="Arial" w:hAnsi="Arial" w:cs="Arial"/>
          <w:i/>
          <w:iCs/>
          <w:color w:val="000000"/>
          <w:sz w:val="20"/>
          <w:szCs w:val="20"/>
        </w:rPr>
        <w:t xml:space="preserve"> but not picked up in this analysis. The file is </w:t>
      </w:r>
      <w:proofErr w:type="spellStart"/>
      <w:r w:rsidRPr="00433631">
        <w:rPr>
          <w:rFonts w:ascii="Arial" w:hAnsi="Arial" w:cs="Arial"/>
          <w:i/>
          <w:iCs/>
          <w:color w:val="000000"/>
          <w:sz w:val="20"/>
          <w:szCs w:val="20"/>
        </w:rPr>
        <w:t>TNet</w:t>
      </w:r>
      <w:proofErr w:type="spellEnd"/>
      <w:r w:rsidRPr="00433631">
        <w:rPr>
          <w:rFonts w:ascii="Arial" w:hAnsi="Arial" w:cs="Arial"/>
          <w:i/>
          <w:iCs/>
          <w:color w:val="000000"/>
          <w:sz w:val="20"/>
          <w:szCs w:val="20"/>
        </w:rPr>
        <w:t xml:space="preserve"> (transportation network) with principal, minor, and collector selected.</w:t>
      </w:r>
    </w:p>
    <w:p w14:paraId="333EABE5" w14:textId="5574D2F1" w:rsidR="0083235F" w:rsidRPr="00433631" w:rsidRDefault="0083235F" w:rsidP="00433631">
      <w:pPr>
        <w:pStyle w:val="ListParagraph0"/>
        <w:numPr>
          <w:ilvl w:val="0"/>
          <w:numId w:val="6"/>
        </w:numPr>
        <w:ind w:left="450" w:hanging="180"/>
        <w:jc w:val="both"/>
        <w:rPr>
          <w:rFonts w:ascii="Arial" w:hAnsi="Arial" w:cs="Arial"/>
          <w:i/>
          <w:iCs/>
          <w:color w:val="000000"/>
          <w:sz w:val="20"/>
          <w:szCs w:val="20"/>
        </w:rPr>
      </w:pPr>
      <w:r w:rsidRPr="00433631">
        <w:rPr>
          <w:rFonts w:ascii="Arial" w:hAnsi="Arial" w:cs="Arial"/>
          <w:i/>
          <w:iCs/>
          <w:color w:val="000000"/>
          <w:sz w:val="20"/>
          <w:szCs w:val="20"/>
        </w:rPr>
        <w:t>Public roads are also line features in Arc</w:t>
      </w:r>
      <w:r w:rsidR="00B7081E">
        <w:rPr>
          <w:rFonts w:ascii="Arial" w:hAnsi="Arial" w:cs="Arial"/>
          <w:i/>
          <w:iCs/>
          <w:color w:val="000000"/>
          <w:sz w:val="20"/>
          <w:szCs w:val="20"/>
        </w:rPr>
        <w:t>GIS</w:t>
      </w:r>
      <w:r w:rsidRPr="00433631">
        <w:rPr>
          <w:rFonts w:ascii="Arial" w:hAnsi="Arial" w:cs="Arial"/>
          <w:i/>
          <w:iCs/>
          <w:color w:val="000000"/>
          <w:sz w:val="20"/>
          <w:szCs w:val="20"/>
        </w:rPr>
        <w:t xml:space="preserve">. The file used is </w:t>
      </w:r>
      <w:proofErr w:type="spellStart"/>
      <w:r w:rsidRPr="00433631">
        <w:rPr>
          <w:rFonts w:ascii="Arial" w:hAnsi="Arial" w:cs="Arial"/>
          <w:i/>
          <w:iCs/>
          <w:color w:val="000000"/>
          <w:sz w:val="20"/>
          <w:szCs w:val="20"/>
        </w:rPr>
        <w:t>Roadlog</w:t>
      </w:r>
      <w:proofErr w:type="spellEnd"/>
      <w:r w:rsidRPr="00433631">
        <w:rPr>
          <w:rFonts w:ascii="Arial" w:hAnsi="Arial" w:cs="Arial"/>
          <w:i/>
          <w:iCs/>
          <w:color w:val="000000"/>
          <w:sz w:val="20"/>
          <w:szCs w:val="20"/>
        </w:rPr>
        <w:t xml:space="preserve">, </w:t>
      </w:r>
      <w:r w:rsidR="001B382A" w:rsidRPr="00433631">
        <w:rPr>
          <w:rFonts w:ascii="Arial" w:hAnsi="Arial" w:cs="Arial"/>
          <w:i/>
          <w:iCs/>
          <w:color w:val="000000"/>
          <w:sz w:val="20"/>
          <w:szCs w:val="20"/>
        </w:rPr>
        <w:t>which</w:t>
      </w:r>
      <w:r w:rsidRPr="00433631">
        <w:rPr>
          <w:rFonts w:ascii="Arial" w:hAnsi="Arial" w:cs="Arial"/>
          <w:i/>
          <w:iCs/>
          <w:color w:val="000000"/>
          <w:sz w:val="20"/>
          <w:szCs w:val="20"/>
        </w:rPr>
        <w:t xml:space="preserve"> captures all unincorporated and maintained streets. Parcels were selected based on an intersect with the feature line with a 35 ft tolerance. These roads usually have a smaller right-of-way than arterials. </w:t>
      </w:r>
    </w:p>
    <w:p w14:paraId="5E4BB165" w14:textId="77777777" w:rsidR="0083235F" w:rsidRDefault="0083235F" w:rsidP="00DA7512">
      <w:pPr>
        <w:jc w:val="both"/>
        <w:rPr>
          <w:rFonts w:ascii="Arial" w:hAnsi="Arial" w:cs="Arial"/>
          <w:b/>
          <w:bCs/>
        </w:rPr>
      </w:pPr>
    </w:p>
    <w:p w14:paraId="038B4D54" w14:textId="0AC8ED21" w:rsidR="00DA7512" w:rsidRDefault="00DA7512" w:rsidP="00DA7512">
      <w:pPr>
        <w:jc w:val="both"/>
        <w:rPr>
          <w:rFonts w:ascii="Arial" w:hAnsi="Arial" w:cs="Arial"/>
        </w:rPr>
      </w:pPr>
      <w:r w:rsidRPr="00DA7512">
        <w:rPr>
          <w:rFonts w:ascii="Arial" w:hAnsi="Arial" w:cs="Arial"/>
          <w:b/>
          <w:bCs/>
        </w:rPr>
        <w:t>Litigation Related to Ordinance 19030.</w:t>
      </w:r>
      <w:r>
        <w:rPr>
          <w:rFonts w:ascii="Arial" w:hAnsi="Arial" w:cs="Arial"/>
        </w:rPr>
        <w:t xml:space="preserve"> </w:t>
      </w:r>
      <w:r w:rsidRPr="00E10A51">
        <w:rPr>
          <w:rFonts w:ascii="Arial" w:hAnsi="Arial" w:cs="Arial"/>
        </w:rPr>
        <w:t xml:space="preserve">Ordinance 19030 was challenged on SEPA and </w:t>
      </w:r>
      <w:r w:rsidRPr="00E10A51">
        <w:rPr>
          <w:rFonts w:ascii="Arial" w:hAnsi="Arial" w:cs="Arial"/>
          <w:color w:val="000000"/>
          <w:shd w:val="clear" w:color="auto" w:fill="FFFFFF"/>
        </w:rPr>
        <w:t xml:space="preserve">GMA </w:t>
      </w:r>
      <w:r w:rsidRPr="00E10A51">
        <w:rPr>
          <w:rFonts w:ascii="Arial" w:hAnsi="Arial" w:cs="Arial"/>
        </w:rPr>
        <w:t xml:space="preserve">grounds by </w:t>
      </w:r>
      <w:r w:rsidR="00F462B2">
        <w:rPr>
          <w:rFonts w:ascii="Arial" w:hAnsi="Arial" w:cs="Arial"/>
        </w:rPr>
        <w:t xml:space="preserve">petitioners that included </w:t>
      </w:r>
      <w:r w:rsidRPr="00E10A51">
        <w:rPr>
          <w:rFonts w:ascii="Arial" w:hAnsi="Arial" w:cs="Arial"/>
          <w:color w:val="000000"/>
          <w:shd w:val="clear" w:color="auto" w:fill="FFFFFF"/>
        </w:rPr>
        <w:t>Friends of Sammamish Valley, Futurewise, and other farming interests</w:t>
      </w:r>
      <w:r w:rsidR="00CD32FB">
        <w:rPr>
          <w:rFonts w:ascii="Arial" w:hAnsi="Arial" w:cs="Arial"/>
          <w:color w:val="000000"/>
          <w:shd w:val="clear" w:color="auto" w:fill="FFFFFF"/>
        </w:rPr>
        <w:t xml:space="preserve"> (FOSV, et al.)</w:t>
      </w:r>
      <w:r w:rsidRPr="00E10A51">
        <w:rPr>
          <w:rFonts w:ascii="Arial" w:hAnsi="Arial" w:cs="Arial"/>
          <w:color w:val="000000"/>
          <w:shd w:val="clear" w:color="auto" w:fill="FFFFFF"/>
        </w:rPr>
        <w:t xml:space="preserve"> to the</w:t>
      </w:r>
      <w:r w:rsidRPr="00E10A51">
        <w:rPr>
          <w:rFonts w:ascii="Arial" w:hAnsi="Arial" w:cs="Arial"/>
        </w:rPr>
        <w:t xml:space="preserve"> Central Puget Sound Growth Management Hearings Board.  On May 26, 2020, the board issued its Order on Dispositive Motions for Case No. 20-3-0004c (May 2020 order</w:t>
      </w:r>
      <w:r w:rsidR="00F462B2">
        <w:rPr>
          <w:rFonts w:ascii="Arial" w:hAnsi="Arial" w:cs="Arial"/>
        </w:rPr>
        <w:t>)</w:t>
      </w:r>
      <w:r w:rsidRPr="00E10A51">
        <w:rPr>
          <w:rFonts w:ascii="Arial" w:hAnsi="Arial" w:cs="Arial"/>
        </w:rPr>
        <w:t xml:space="preserve">, which granted the petitioners' summary judgment and invalidated most of the substantive sections of Ordinance 19030.  Ordinance 19030, Sections 12 through 30, and map amendments 1 and 2, which were Attachments A and B to Ordinance 19030, were </w:t>
      </w:r>
      <w:r w:rsidR="008B120F">
        <w:rPr>
          <w:rFonts w:ascii="Arial" w:hAnsi="Arial" w:cs="Arial"/>
        </w:rPr>
        <w:t xml:space="preserve">also </w:t>
      </w:r>
      <w:r w:rsidRPr="00E10A51">
        <w:rPr>
          <w:rFonts w:ascii="Arial" w:hAnsi="Arial" w:cs="Arial"/>
        </w:rPr>
        <w:t xml:space="preserve">invalidated by the </w:t>
      </w:r>
      <w:r w:rsidR="008B120F">
        <w:rPr>
          <w:rFonts w:ascii="Arial" w:hAnsi="Arial" w:cs="Arial"/>
        </w:rPr>
        <w:t>B</w:t>
      </w:r>
      <w:r w:rsidRPr="00E10A51">
        <w:rPr>
          <w:rFonts w:ascii="Arial" w:hAnsi="Arial" w:cs="Arial"/>
        </w:rPr>
        <w:t>oard. Ordinance 19030, Sections 12 through 30, include definitions, zoning conditions, parking restrictions, temporary use permit clarifications, home occupation and home industry limitations and a demonstration project.</w:t>
      </w:r>
    </w:p>
    <w:p w14:paraId="077D1A7F" w14:textId="656E1DBA" w:rsidR="00E10A51" w:rsidRPr="00C81D1A" w:rsidRDefault="00E10A51" w:rsidP="00256758">
      <w:pPr>
        <w:jc w:val="both"/>
        <w:rPr>
          <w:rFonts w:ascii="Arial" w:hAnsi="Arial" w:cs="Arial"/>
        </w:rPr>
      </w:pPr>
    </w:p>
    <w:p w14:paraId="490629B6" w14:textId="5AC49A22" w:rsidR="00DA7512" w:rsidRDefault="00DA7512" w:rsidP="00256758">
      <w:pPr>
        <w:widowControl w:val="0"/>
        <w:autoSpaceDE w:val="0"/>
        <w:autoSpaceDN w:val="0"/>
        <w:adjustRightInd w:val="0"/>
        <w:jc w:val="both"/>
        <w:rPr>
          <w:rFonts w:ascii="Arial" w:hAnsi="Arial" w:cs="Arial"/>
        </w:rPr>
      </w:pPr>
      <w:r w:rsidRPr="00C81D1A">
        <w:rPr>
          <w:rFonts w:ascii="Arial" w:hAnsi="Arial" w:cs="Arial"/>
        </w:rPr>
        <w:t xml:space="preserve">The May 2020 order was primarily focused on SEPA.  The </w:t>
      </w:r>
      <w:r w:rsidR="008B120F">
        <w:rPr>
          <w:rFonts w:ascii="Arial" w:hAnsi="Arial" w:cs="Arial"/>
        </w:rPr>
        <w:t>B</w:t>
      </w:r>
      <w:r w:rsidRPr="00C81D1A">
        <w:rPr>
          <w:rFonts w:ascii="Arial" w:hAnsi="Arial" w:cs="Arial"/>
        </w:rPr>
        <w:t>oard concluded that the analysis contained in the</w:t>
      </w:r>
      <w:r w:rsidR="00E10A51" w:rsidRPr="00C81D1A">
        <w:rPr>
          <w:rFonts w:ascii="Arial" w:hAnsi="Arial" w:cs="Arial"/>
        </w:rPr>
        <w:t xml:space="preserve"> April 2019</w:t>
      </w:r>
      <w:r w:rsidRPr="00C81D1A">
        <w:rPr>
          <w:rFonts w:ascii="Arial" w:hAnsi="Arial" w:cs="Arial"/>
        </w:rPr>
        <w:t xml:space="preserve"> SEPA checklist was insufficient to support the SEPA </w:t>
      </w:r>
      <w:r w:rsidR="00E10A51" w:rsidRPr="00C81D1A">
        <w:rPr>
          <w:rFonts w:ascii="Arial" w:hAnsi="Arial" w:cs="Arial"/>
        </w:rPr>
        <w:t xml:space="preserve">Threshold </w:t>
      </w:r>
      <w:r w:rsidRPr="00C81D1A">
        <w:rPr>
          <w:rFonts w:ascii="Arial" w:hAnsi="Arial" w:cs="Arial"/>
        </w:rPr>
        <w:t>Determination of Nonsignificance</w:t>
      </w:r>
      <w:r w:rsidR="00E10A51" w:rsidRPr="00C81D1A">
        <w:rPr>
          <w:rFonts w:ascii="Arial" w:hAnsi="Arial" w:cs="Arial"/>
        </w:rPr>
        <w:t xml:space="preserve"> issued in April 2019</w:t>
      </w:r>
      <w:r w:rsidRPr="00C81D1A">
        <w:rPr>
          <w:rFonts w:ascii="Arial" w:hAnsi="Arial" w:cs="Arial"/>
        </w:rPr>
        <w:t xml:space="preserve">.  The </w:t>
      </w:r>
      <w:r w:rsidR="008B120F">
        <w:rPr>
          <w:rFonts w:ascii="Arial" w:hAnsi="Arial" w:cs="Arial"/>
        </w:rPr>
        <w:t>B</w:t>
      </w:r>
      <w:r w:rsidRPr="00C81D1A">
        <w:rPr>
          <w:rFonts w:ascii="Arial" w:hAnsi="Arial" w:cs="Arial"/>
        </w:rPr>
        <w:t xml:space="preserve">oard set a compliance schedule requiring additional compliance action by the </w:t>
      </w:r>
      <w:r w:rsidR="008B120F">
        <w:rPr>
          <w:rFonts w:ascii="Arial" w:hAnsi="Arial" w:cs="Arial"/>
        </w:rPr>
        <w:t>C</w:t>
      </w:r>
      <w:r w:rsidRPr="00C81D1A">
        <w:rPr>
          <w:rFonts w:ascii="Arial" w:hAnsi="Arial" w:cs="Arial"/>
        </w:rPr>
        <w:t>ounty with a November 2020 deadline.</w:t>
      </w:r>
      <w:r w:rsidR="00E10A51" w:rsidRPr="00C81D1A">
        <w:rPr>
          <w:rFonts w:ascii="Arial" w:hAnsi="Arial" w:cs="Arial"/>
        </w:rPr>
        <w:t xml:space="preserve">  </w:t>
      </w:r>
      <w:r w:rsidRPr="00C81D1A">
        <w:rPr>
          <w:rFonts w:ascii="Arial" w:hAnsi="Arial" w:cs="Arial"/>
        </w:rPr>
        <w:t xml:space="preserve">As part of the May 2020 order, the uses that were defined and regulated as part of the ordinance were invalidated, including WBDs and remote tasting rooms. The </w:t>
      </w:r>
      <w:r w:rsidR="001245DE">
        <w:rPr>
          <w:rFonts w:ascii="Arial" w:hAnsi="Arial" w:cs="Arial"/>
        </w:rPr>
        <w:t>C</w:t>
      </w:r>
      <w:r w:rsidRPr="00C81D1A">
        <w:rPr>
          <w:rFonts w:ascii="Arial" w:hAnsi="Arial" w:cs="Arial"/>
        </w:rPr>
        <w:t xml:space="preserve">ounty </w:t>
      </w:r>
      <w:r w:rsidR="00E10A51" w:rsidRPr="00C81D1A">
        <w:rPr>
          <w:rFonts w:ascii="Arial" w:hAnsi="Arial" w:cs="Arial"/>
        </w:rPr>
        <w:t>then did</w:t>
      </w:r>
      <w:r w:rsidRPr="00C81D1A">
        <w:rPr>
          <w:rFonts w:ascii="Arial" w:hAnsi="Arial" w:cs="Arial"/>
        </w:rPr>
        <w:t xml:space="preserve"> not have clear regulations for residents and business owners to comply with and </w:t>
      </w:r>
      <w:r w:rsidR="00433631">
        <w:rPr>
          <w:rFonts w:ascii="Arial" w:hAnsi="Arial" w:cs="Arial"/>
        </w:rPr>
        <w:t>for the County to</w:t>
      </w:r>
      <w:r w:rsidRPr="00C81D1A">
        <w:rPr>
          <w:rFonts w:ascii="Arial" w:hAnsi="Arial" w:cs="Arial"/>
        </w:rPr>
        <w:t xml:space="preserve"> enforce.  </w:t>
      </w:r>
      <w:r w:rsidR="00E10A51" w:rsidRPr="00C81D1A">
        <w:rPr>
          <w:rFonts w:ascii="Arial" w:hAnsi="Arial" w:cs="Arial"/>
        </w:rPr>
        <w:t xml:space="preserve">As a result, the County adopted a moratorium on </w:t>
      </w:r>
      <w:r w:rsidR="00C81D1A">
        <w:rPr>
          <w:rFonts w:ascii="Arial" w:hAnsi="Arial" w:cs="Arial"/>
        </w:rPr>
        <w:t>June 23, 2020,</w:t>
      </w:r>
      <w:r w:rsidR="00C81D1A">
        <w:rPr>
          <w:rStyle w:val="FootnoteReference"/>
          <w:rFonts w:ascii="Arial" w:hAnsi="Arial" w:cs="Arial"/>
        </w:rPr>
        <w:footnoteReference w:id="8"/>
      </w:r>
      <w:r w:rsidR="00C81D1A">
        <w:rPr>
          <w:rFonts w:ascii="Arial" w:hAnsi="Arial" w:cs="Arial"/>
        </w:rPr>
        <w:t xml:space="preserve"> prohibiting establishment or expansion of WBDs</w:t>
      </w:r>
      <w:r w:rsidR="00256758">
        <w:rPr>
          <w:rFonts w:ascii="Arial" w:hAnsi="Arial" w:cs="Arial"/>
        </w:rPr>
        <w:t xml:space="preserve"> and remote tasting rooms.  The Council also adopted a motion the same day,</w:t>
      </w:r>
      <w:r w:rsidR="00256758">
        <w:rPr>
          <w:rStyle w:val="FootnoteReference"/>
          <w:rFonts w:ascii="Arial" w:hAnsi="Arial" w:cs="Arial"/>
        </w:rPr>
        <w:footnoteReference w:id="9"/>
      </w:r>
      <w:r w:rsidR="00256758">
        <w:rPr>
          <w:rFonts w:ascii="Arial" w:hAnsi="Arial" w:cs="Arial"/>
        </w:rPr>
        <w:t xml:space="preserve"> asking the Executive to develop a new SEPA checklist </w:t>
      </w:r>
      <w:r w:rsidR="000C565D">
        <w:rPr>
          <w:rFonts w:ascii="Arial" w:hAnsi="Arial" w:cs="Arial"/>
        </w:rPr>
        <w:t>in response to the Board's Order</w:t>
      </w:r>
      <w:r w:rsidR="00256758">
        <w:rPr>
          <w:rFonts w:ascii="Arial" w:hAnsi="Arial" w:cs="Arial"/>
        </w:rPr>
        <w:t>, and to issue a new, amended or addended threshold determination, in response to the May 2020 order.</w:t>
      </w:r>
    </w:p>
    <w:p w14:paraId="17A19EAD" w14:textId="2E511383" w:rsidR="00256758" w:rsidRPr="00F462B2" w:rsidRDefault="00256758" w:rsidP="00F462B2">
      <w:pPr>
        <w:widowControl w:val="0"/>
        <w:autoSpaceDE w:val="0"/>
        <w:autoSpaceDN w:val="0"/>
        <w:adjustRightInd w:val="0"/>
        <w:jc w:val="both"/>
        <w:rPr>
          <w:rFonts w:ascii="Arial" w:hAnsi="Arial" w:cs="Arial"/>
        </w:rPr>
      </w:pPr>
    </w:p>
    <w:p w14:paraId="59C87CA2" w14:textId="40E2B693" w:rsidR="00F462B2" w:rsidRPr="00F462B2" w:rsidRDefault="00F462B2" w:rsidP="00F462B2">
      <w:pPr>
        <w:widowControl w:val="0"/>
        <w:autoSpaceDE w:val="0"/>
        <w:autoSpaceDN w:val="0"/>
        <w:adjustRightInd w:val="0"/>
        <w:jc w:val="both"/>
        <w:rPr>
          <w:rFonts w:ascii="Arial" w:hAnsi="Arial" w:cs="Arial"/>
        </w:rPr>
      </w:pPr>
      <w:r w:rsidRPr="00F462B2">
        <w:rPr>
          <w:rFonts w:ascii="Arial" w:hAnsi="Arial" w:cs="Arial"/>
        </w:rPr>
        <w:t xml:space="preserve">In tandem </w:t>
      </w:r>
      <w:r w:rsidR="001245DE">
        <w:rPr>
          <w:rFonts w:ascii="Arial" w:hAnsi="Arial" w:cs="Arial"/>
        </w:rPr>
        <w:t>with</w:t>
      </w:r>
      <w:r w:rsidRPr="00F462B2">
        <w:rPr>
          <w:rFonts w:ascii="Arial" w:hAnsi="Arial" w:cs="Arial"/>
        </w:rPr>
        <w:t xml:space="preserve"> the work on the new SEPA checklist and threshold determination, the </w:t>
      </w:r>
      <w:r w:rsidR="00433631">
        <w:rPr>
          <w:rFonts w:ascii="Arial" w:hAnsi="Arial" w:cs="Arial"/>
        </w:rPr>
        <w:t>C</w:t>
      </w:r>
      <w:r w:rsidRPr="00F462B2">
        <w:rPr>
          <w:rFonts w:ascii="Arial" w:hAnsi="Arial" w:cs="Arial"/>
        </w:rPr>
        <w:t xml:space="preserve">ounty also filed an appeal of the </w:t>
      </w:r>
      <w:r w:rsidR="001245DE">
        <w:rPr>
          <w:rFonts w:ascii="Arial" w:hAnsi="Arial" w:cs="Arial"/>
        </w:rPr>
        <w:t>B</w:t>
      </w:r>
      <w:r w:rsidRPr="00F462B2">
        <w:rPr>
          <w:rFonts w:ascii="Arial" w:hAnsi="Arial" w:cs="Arial"/>
        </w:rPr>
        <w:t>oard's May 2020 order in King County Superior Court.  As part of this</w:t>
      </w:r>
      <w:r w:rsidR="00433631">
        <w:rPr>
          <w:rFonts w:ascii="Arial" w:hAnsi="Arial" w:cs="Arial"/>
        </w:rPr>
        <w:t>,</w:t>
      </w:r>
      <w:r w:rsidRPr="00F462B2">
        <w:rPr>
          <w:rFonts w:ascii="Arial" w:hAnsi="Arial" w:cs="Arial"/>
        </w:rPr>
        <w:t xml:space="preserve"> the </w:t>
      </w:r>
      <w:r w:rsidR="001245DE">
        <w:rPr>
          <w:rFonts w:ascii="Arial" w:hAnsi="Arial" w:cs="Arial"/>
        </w:rPr>
        <w:t>C</w:t>
      </w:r>
      <w:r w:rsidRPr="00F462B2">
        <w:rPr>
          <w:rFonts w:ascii="Arial" w:hAnsi="Arial" w:cs="Arial"/>
        </w:rPr>
        <w:t xml:space="preserve">ounty requested and the </w:t>
      </w:r>
      <w:r w:rsidR="001245DE">
        <w:rPr>
          <w:rFonts w:ascii="Arial" w:hAnsi="Arial" w:cs="Arial"/>
        </w:rPr>
        <w:t>S</w:t>
      </w:r>
      <w:r w:rsidRPr="00F462B2">
        <w:rPr>
          <w:rFonts w:ascii="Arial" w:hAnsi="Arial" w:cs="Arial"/>
        </w:rPr>
        <w:t xml:space="preserve">uperior </w:t>
      </w:r>
      <w:r w:rsidR="001245DE">
        <w:rPr>
          <w:rFonts w:ascii="Arial" w:hAnsi="Arial" w:cs="Arial"/>
        </w:rPr>
        <w:t>C</w:t>
      </w:r>
      <w:r w:rsidRPr="00F462B2">
        <w:rPr>
          <w:rFonts w:ascii="Arial" w:hAnsi="Arial" w:cs="Arial"/>
        </w:rPr>
        <w:t xml:space="preserve">ourt granted a stay on all further board activity, including compliance schedule requirements, pending resolution of the </w:t>
      </w:r>
      <w:r w:rsidR="001245DE">
        <w:rPr>
          <w:rFonts w:ascii="Arial" w:hAnsi="Arial" w:cs="Arial"/>
        </w:rPr>
        <w:t>C</w:t>
      </w:r>
      <w:r w:rsidRPr="00F462B2">
        <w:rPr>
          <w:rFonts w:ascii="Arial" w:hAnsi="Arial" w:cs="Arial"/>
        </w:rPr>
        <w:t xml:space="preserve">ounty's Superior Court appeal.  The </w:t>
      </w:r>
      <w:r w:rsidR="001245DE">
        <w:rPr>
          <w:rFonts w:ascii="Arial" w:hAnsi="Arial" w:cs="Arial"/>
        </w:rPr>
        <w:t>S</w:t>
      </w:r>
      <w:r w:rsidRPr="00F462B2">
        <w:rPr>
          <w:rFonts w:ascii="Arial" w:hAnsi="Arial" w:cs="Arial"/>
        </w:rPr>
        <w:t xml:space="preserve">uperior </w:t>
      </w:r>
      <w:r w:rsidR="001245DE">
        <w:rPr>
          <w:rFonts w:ascii="Arial" w:hAnsi="Arial" w:cs="Arial"/>
        </w:rPr>
        <w:t>C</w:t>
      </w:r>
      <w:r w:rsidRPr="00F462B2">
        <w:rPr>
          <w:rFonts w:ascii="Arial" w:hAnsi="Arial" w:cs="Arial"/>
        </w:rPr>
        <w:t xml:space="preserve">ourt reversed the </w:t>
      </w:r>
      <w:r w:rsidR="001245DE">
        <w:rPr>
          <w:rFonts w:ascii="Arial" w:hAnsi="Arial" w:cs="Arial"/>
        </w:rPr>
        <w:t>B</w:t>
      </w:r>
      <w:r w:rsidRPr="00F462B2">
        <w:rPr>
          <w:rFonts w:ascii="Arial" w:hAnsi="Arial" w:cs="Arial"/>
        </w:rPr>
        <w:t xml:space="preserve">oard's May 2020 order on April 16, 2021, by its Order Granting King County's Appeal </w:t>
      </w:r>
      <w:proofErr w:type="gramStart"/>
      <w:r w:rsidRPr="00F462B2">
        <w:rPr>
          <w:rFonts w:ascii="Arial" w:hAnsi="Arial" w:cs="Arial"/>
        </w:rPr>
        <w:t>From</w:t>
      </w:r>
      <w:proofErr w:type="gramEnd"/>
      <w:r w:rsidRPr="00F462B2">
        <w:rPr>
          <w:rFonts w:ascii="Arial" w:hAnsi="Arial" w:cs="Arial"/>
        </w:rPr>
        <w:t xml:space="preserve"> an Order of the Central Puget Sound Region Growth Management Hearings Board (</w:t>
      </w:r>
      <w:r w:rsidR="001245DE">
        <w:rPr>
          <w:rFonts w:ascii="Arial" w:hAnsi="Arial" w:cs="Arial"/>
        </w:rPr>
        <w:t>S</w:t>
      </w:r>
      <w:r w:rsidRPr="00F462B2">
        <w:rPr>
          <w:rFonts w:ascii="Arial" w:hAnsi="Arial" w:cs="Arial"/>
        </w:rPr>
        <w:t xml:space="preserve">uperior </w:t>
      </w:r>
      <w:r w:rsidR="001245DE">
        <w:rPr>
          <w:rFonts w:ascii="Arial" w:hAnsi="Arial" w:cs="Arial"/>
        </w:rPr>
        <w:t>C</w:t>
      </w:r>
      <w:r w:rsidRPr="00F462B2">
        <w:rPr>
          <w:rFonts w:ascii="Arial" w:hAnsi="Arial" w:cs="Arial"/>
        </w:rPr>
        <w:t xml:space="preserve">ourt's April 2021 order).  </w:t>
      </w:r>
    </w:p>
    <w:p w14:paraId="147F11D5" w14:textId="69DBC928" w:rsidR="00F462B2" w:rsidRPr="00F462B2" w:rsidRDefault="00F462B2" w:rsidP="00F462B2">
      <w:pPr>
        <w:widowControl w:val="0"/>
        <w:autoSpaceDE w:val="0"/>
        <w:autoSpaceDN w:val="0"/>
        <w:adjustRightInd w:val="0"/>
        <w:jc w:val="both"/>
        <w:rPr>
          <w:rFonts w:ascii="Arial" w:hAnsi="Arial" w:cs="Arial"/>
        </w:rPr>
      </w:pPr>
    </w:p>
    <w:p w14:paraId="3A858DEC" w14:textId="0C2DA2EF" w:rsidR="00F0581C" w:rsidRDefault="00F462B2" w:rsidP="00F462B2">
      <w:pPr>
        <w:widowControl w:val="0"/>
        <w:shd w:val="clear" w:color="auto" w:fill="FFFFFF"/>
        <w:autoSpaceDE w:val="0"/>
        <w:autoSpaceDN w:val="0"/>
        <w:adjustRightInd w:val="0"/>
        <w:jc w:val="both"/>
        <w:rPr>
          <w:rFonts w:ascii="Arial" w:hAnsi="Arial" w:cs="Arial"/>
        </w:rPr>
      </w:pPr>
      <w:r w:rsidRPr="00F462B2">
        <w:rPr>
          <w:rFonts w:ascii="Arial" w:hAnsi="Arial" w:cs="Arial"/>
        </w:rPr>
        <w:t xml:space="preserve">After an appeal by the petitioners to the Court of Appeals, a settlement agreement regarding </w:t>
      </w:r>
      <w:r w:rsidR="001245DE">
        <w:rPr>
          <w:rFonts w:ascii="Arial" w:hAnsi="Arial" w:cs="Arial"/>
        </w:rPr>
        <w:t xml:space="preserve">the </w:t>
      </w:r>
      <w:r w:rsidRPr="00F462B2">
        <w:rPr>
          <w:rFonts w:ascii="Arial" w:hAnsi="Arial" w:cs="Arial"/>
        </w:rPr>
        <w:t>Court of Appeals,</w:t>
      </w:r>
      <w:r w:rsidR="00812048">
        <w:rPr>
          <w:rFonts w:ascii="Arial" w:hAnsi="Arial" w:cs="Arial"/>
        </w:rPr>
        <w:t xml:space="preserve"> which included adoption of Ordinance 19309</w:t>
      </w:r>
      <w:r w:rsidR="00800EC7">
        <w:rPr>
          <w:rFonts w:ascii="Arial" w:hAnsi="Arial" w:cs="Arial"/>
        </w:rPr>
        <w:t xml:space="preserve"> declaring</w:t>
      </w:r>
      <w:r w:rsidR="00812048">
        <w:rPr>
          <w:rFonts w:ascii="Arial" w:hAnsi="Arial" w:cs="Arial"/>
        </w:rPr>
        <w:t xml:space="preserve"> a one</w:t>
      </w:r>
      <w:r w:rsidR="00800EC7">
        <w:rPr>
          <w:rFonts w:ascii="Arial" w:hAnsi="Arial" w:cs="Arial"/>
        </w:rPr>
        <w:t>-</w:t>
      </w:r>
      <w:r w:rsidR="00812048">
        <w:rPr>
          <w:rFonts w:ascii="Arial" w:hAnsi="Arial" w:cs="Arial"/>
        </w:rPr>
        <w:t>year moratorium on WBD uses through December 23, 2022,</w:t>
      </w:r>
      <w:r w:rsidRPr="00F462B2">
        <w:rPr>
          <w:rFonts w:ascii="Arial" w:hAnsi="Arial" w:cs="Arial"/>
        </w:rPr>
        <w:t xml:space="preserve"> </w:t>
      </w:r>
      <w:r w:rsidR="001245DE">
        <w:rPr>
          <w:rFonts w:ascii="Arial" w:hAnsi="Arial" w:cs="Arial"/>
        </w:rPr>
        <w:t xml:space="preserve">and </w:t>
      </w:r>
      <w:r w:rsidRPr="00F462B2">
        <w:rPr>
          <w:rFonts w:ascii="Arial" w:hAnsi="Arial" w:cs="Arial"/>
        </w:rPr>
        <w:t xml:space="preserve">settlement discussions between the County and the petitioners, the </w:t>
      </w:r>
      <w:r w:rsidR="00CD32FB">
        <w:rPr>
          <w:rFonts w:ascii="Arial" w:hAnsi="Arial" w:cs="Arial"/>
        </w:rPr>
        <w:t>B</w:t>
      </w:r>
      <w:r w:rsidRPr="00F462B2">
        <w:rPr>
          <w:rFonts w:ascii="Arial" w:hAnsi="Arial" w:cs="Arial"/>
        </w:rPr>
        <w:t xml:space="preserve">oard held a hearing on the merits of the FOSV, et al., appeal to Ordinance 19030 on November 17, 2021.  </w:t>
      </w:r>
    </w:p>
    <w:p w14:paraId="1AC02165" w14:textId="15252771" w:rsidR="00F462B2" w:rsidRPr="00F462B2" w:rsidRDefault="00F462B2" w:rsidP="00F462B2">
      <w:pPr>
        <w:widowControl w:val="0"/>
        <w:shd w:val="clear" w:color="auto" w:fill="FFFFFF"/>
        <w:autoSpaceDE w:val="0"/>
        <w:autoSpaceDN w:val="0"/>
        <w:adjustRightInd w:val="0"/>
        <w:jc w:val="both"/>
        <w:rPr>
          <w:rFonts w:ascii="Arial" w:hAnsi="Arial" w:cs="Arial"/>
        </w:rPr>
      </w:pPr>
      <w:r w:rsidRPr="00F462B2">
        <w:rPr>
          <w:rFonts w:ascii="Arial" w:hAnsi="Arial" w:cs="Arial"/>
        </w:rPr>
        <w:t xml:space="preserve">On January 3, 2022, the </w:t>
      </w:r>
      <w:r w:rsidR="00CD32FB">
        <w:rPr>
          <w:rFonts w:ascii="Arial" w:hAnsi="Arial" w:cs="Arial"/>
        </w:rPr>
        <w:t>B</w:t>
      </w:r>
      <w:r w:rsidRPr="00F462B2">
        <w:rPr>
          <w:rFonts w:ascii="Arial" w:hAnsi="Arial" w:cs="Arial"/>
        </w:rPr>
        <w:t>oard issued its Final Decision and Order for Case No. 20-3-0004c (</w:t>
      </w:r>
      <w:r w:rsidR="00CD32FB">
        <w:rPr>
          <w:rFonts w:ascii="Arial" w:hAnsi="Arial" w:cs="Arial"/>
        </w:rPr>
        <w:t>B</w:t>
      </w:r>
      <w:r w:rsidRPr="00F462B2">
        <w:rPr>
          <w:rFonts w:ascii="Arial" w:hAnsi="Arial" w:cs="Arial"/>
        </w:rPr>
        <w:t>oard's January 2022 order), which granted the petitioners' appeal and invalidated Ordinance 19030 Sections 12 through 30, and map amendments 1 and 2, which were Attachments A and B to Ordinance 19030.  These sections included definitions, zoning conditions, parking requirements, temporary use permit clarifications, home occupation and home industry limitations</w:t>
      </w:r>
      <w:r w:rsidR="00CD32FB">
        <w:rPr>
          <w:rFonts w:ascii="Arial" w:hAnsi="Arial" w:cs="Arial"/>
        </w:rPr>
        <w:t>,</w:t>
      </w:r>
      <w:r w:rsidRPr="00F462B2">
        <w:rPr>
          <w:rFonts w:ascii="Arial" w:hAnsi="Arial" w:cs="Arial"/>
        </w:rPr>
        <w:t xml:space="preserve"> and a demonstration project. The </w:t>
      </w:r>
      <w:r w:rsidR="00CD32FB">
        <w:rPr>
          <w:rFonts w:ascii="Arial" w:hAnsi="Arial" w:cs="Arial"/>
        </w:rPr>
        <w:t>B</w:t>
      </w:r>
      <w:r w:rsidRPr="00F462B2">
        <w:rPr>
          <w:rFonts w:ascii="Arial" w:hAnsi="Arial" w:cs="Arial"/>
        </w:rPr>
        <w:t xml:space="preserve">oard's January 2022 order also remanded Ordinance 19030 to the </w:t>
      </w:r>
      <w:r w:rsidR="00CD32FB">
        <w:rPr>
          <w:rFonts w:ascii="Arial" w:hAnsi="Arial" w:cs="Arial"/>
        </w:rPr>
        <w:t>C</w:t>
      </w:r>
      <w:r w:rsidRPr="00F462B2">
        <w:rPr>
          <w:rFonts w:ascii="Arial" w:hAnsi="Arial" w:cs="Arial"/>
        </w:rPr>
        <w:t xml:space="preserve">ounty.  The board </w:t>
      </w:r>
      <w:r w:rsidR="000C565D">
        <w:rPr>
          <w:rFonts w:ascii="Arial" w:hAnsi="Arial" w:cs="Arial"/>
        </w:rPr>
        <w:t>named</w:t>
      </w:r>
      <w:r w:rsidR="000C565D" w:rsidRPr="00F462B2">
        <w:rPr>
          <w:rFonts w:ascii="Arial" w:hAnsi="Arial" w:cs="Arial"/>
        </w:rPr>
        <w:t xml:space="preserve"> </w:t>
      </w:r>
      <w:r w:rsidRPr="00F462B2">
        <w:rPr>
          <w:rFonts w:ascii="Arial" w:hAnsi="Arial" w:cs="Arial"/>
        </w:rPr>
        <w:t>thirteen issues</w:t>
      </w:r>
      <w:r w:rsidR="002243CE">
        <w:rPr>
          <w:rFonts w:ascii="Arial" w:hAnsi="Arial" w:cs="Arial"/>
        </w:rPr>
        <w:t xml:space="preserve"> that led to the invalidity order, including issues with the April 2019 SEPA checklist, insufficient protection of agricultural lands, noncompliance with the County's Comprehensive Plan policies, and incompatibility of remote tasting room demonstration project overlay A.</w:t>
      </w:r>
    </w:p>
    <w:p w14:paraId="2FC0E6E3" w14:textId="57CDE54C" w:rsidR="00F462B2" w:rsidRPr="002243CE" w:rsidRDefault="00F462B2" w:rsidP="002243CE">
      <w:pPr>
        <w:widowControl w:val="0"/>
        <w:autoSpaceDE w:val="0"/>
        <w:autoSpaceDN w:val="0"/>
        <w:adjustRightInd w:val="0"/>
        <w:jc w:val="both"/>
        <w:rPr>
          <w:rFonts w:ascii="Arial" w:hAnsi="Arial" w:cs="Arial"/>
        </w:rPr>
      </w:pPr>
    </w:p>
    <w:p w14:paraId="594E46A1" w14:textId="4D66CAC1" w:rsidR="006C11DF" w:rsidRDefault="002243CE" w:rsidP="002243CE">
      <w:pPr>
        <w:jc w:val="both"/>
        <w:rPr>
          <w:rFonts w:ascii="Arial" w:hAnsi="Arial" w:cs="Arial"/>
        </w:rPr>
      </w:pPr>
      <w:r w:rsidRPr="002243CE">
        <w:rPr>
          <w:rFonts w:ascii="Arial" w:hAnsi="Arial" w:cs="Arial"/>
        </w:rPr>
        <w:t xml:space="preserve">On </w:t>
      </w:r>
      <w:r w:rsidR="00965A1E">
        <w:rPr>
          <w:rFonts w:ascii="Arial" w:hAnsi="Arial" w:cs="Arial"/>
        </w:rPr>
        <w:t>January 28, 2022</w:t>
      </w:r>
      <w:r w:rsidRPr="002243CE">
        <w:rPr>
          <w:rFonts w:ascii="Arial" w:hAnsi="Arial" w:cs="Arial"/>
        </w:rPr>
        <w:t xml:space="preserve">, the county </w:t>
      </w:r>
      <w:r w:rsidR="000C565D">
        <w:rPr>
          <w:rFonts w:ascii="Arial" w:hAnsi="Arial" w:cs="Arial"/>
        </w:rPr>
        <w:t>appealed</w:t>
      </w:r>
      <w:r w:rsidRPr="002243CE">
        <w:rPr>
          <w:rFonts w:ascii="Arial" w:hAnsi="Arial" w:cs="Arial"/>
        </w:rPr>
        <w:t xml:space="preserve"> the </w:t>
      </w:r>
      <w:r w:rsidR="00CD32FB">
        <w:rPr>
          <w:rFonts w:ascii="Arial" w:hAnsi="Arial" w:cs="Arial"/>
        </w:rPr>
        <w:t>B</w:t>
      </w:r>
      <w:r w:rsidRPr="002243CE">
        <w:rPr>
          <w:rFonts w:ascii="Arial" w:hAnsi="Arial" w:cs="Arial"/>
        </w:rPr>
        <w:t xml:space="preserve">oard's January 2022 order in </w:t>
      </w:r>
      <w:r w:rsidRPr="00965A1E">
        <w:rPr>
          <w:rFonts w:ascii="Arial" w:hAnsi="Arial" w:cs="Arial"/>
        </w:rPr>
        <w:t xml:space="preserve">King County </w:t>
      </w:r>
      <w:r w:rsidR="00CD32FB" w:rsidRPr="00965A1E">
        <w:rPr>
          <w:rFonts w:ascii="Arial" w:hAnsi="Arial" w:cs="Arial"/>
        </w:rPr>
        <w:t>S</w:t>
      </w:r>
      <w:r w:rsidRPr="00965A1E">
        <w:rPr>
          <w:rFonts w:ascii="Arial" w:hAnsi="Arial" w:cs="Arial"/>
        </w:rPr>
        <w:t xml:space="preserve">uperior </w:t>
      </w:r>
      <w:r w:rsidR="00CD32FB" w:rsidRPr="00965A1E">
        <w:rPr>
          <w:rFonts w:ascii="Arial" w:hAnsi="Arial" w:cs="Arial"/>
        </w:rPr>
        <w:t>C</w:t>
      </w:r>
      <w:r w:rsidRPr="00965A1E">
        <w:rPr>
          <w:rFonts w:ascii="Arial" w:hAnsi="Arial" w:cs="Arial"/>
        </w:rPr>
        <w:t xml:space="preserve">ourt.  On </w:t>
      </w:r>
      <w:r w:rsidR="00965A1E" w:rsidRPr="00965A1E">
        <w:rPr>
          <w:rFonts w:ascii="Arial" w:hAnsi="Arial" w:cs="Arial"/>
        </w:rPr>
        <w:t>March 7, 2022</w:t>
      </w:r>
      <w:r w:rsidRPr="002243CE">
        <w:rPr>
          <w:rFonts w:ascii="Arial" w:hAnsi="Arial" w:cs="Arial"/>
        </w:rPr>
        <w:t xml:space="preserve">, </w:t>
      </w:r>
      <w:r w:rsidR="00CD32FB">
        <w:rPr>
          <w:rFonts w:ascii="Arial" w:hAnsi="Arial" w:cs="Arial"/>
        </w:rPr>
        <w:t xml:space="preserve">the </w:t>
      </w:r>
      <w:r w:rsidRPr="002243CE">
        <w:rPr>
          <w:rFonts w:ascii="Arial" w:hAnsi="Arial" w:cs="Arial"/>
        </w:rPr>
        <w:t xml:space="preserve">Superior </w:t>
      </w:r>
      <w:r w:rsidR="00CD32FB">
        <w:rPr>
          <w:rFonts w:ascii="Arial" w:hAnsi="Arial" w:cs="Arial"/>
        </w:rPr>
        <w:t>C</w:t>
      </w:r>
      <w:r w:rsidRPr="002243CE">
        <w:rPr>
          <w:rFonts w:ascii="Arial" w:hAnsi="Arial" w:cs="Arial"/>
        </w:rPr>
        <w:t xml:space="preserve">ourt agreed to transfer the case to the </w:t>
      </w:r>
      <w:r w:rsidR="00CD32FB">
        <w:rPr>
          <w:rFonts w:ascii="Arial" w:hAnsi="Arial" w:cs="Arial"/>
        </w:rPr>
        <w:t>C</w:t>
      </w:r>
      <w:r w:rsidRPr="002243CE">
        <w:rPr>
          <w:rFonts w:ascii="Arial" w:hAnsi="Arial" w:cs="Arial"/>
        </w:rPr>
        <w:t xml:space="preserve">ourt of </w:t>
      </w:r>
      <w:r w:rsidR="00CD32FB">
        <w:rPr>
          <w:rFonts w:ascii="Arial" w:hAnsi="Arial" w:cs="Arial"/>
        </w:rPr>
        <w:t>A</w:t>
      </w:r>
      <w:r w:rsidRPr="002243CE">
        <w:rPr>
          <w:rFonts w:ascii="Arial" w:hAnsi="Arial" w:cs="Arial"/>
        </w:rPr>
        <w:t>ppeals.</w:t>
      </w:r>
      <w:r>
        <w:rPr>
          <w:rFonts w:ascii="Arial" w:hAnsi="Arial" w:cs="Arial"/>
        </w:rPr>
        <w:t xml:space="preserve">  The timing for a decision on the litigation in the </w:t>
      </w:r>
      <w:r w:rsidR="00CD32FB">
        <w:rPr>
          <w:rFonts w:ascii="Arial" w:hAnsi="Arial" w:cs="Arial"/>
        </w:rPr>
        <w:t>C</w:t>
      </w:r>
      <w:r>
        <w:rPr>
          <w:rFonts w:ascii="Arial" w:hAnsi="Arial" w:cs="Arial"/>
        </w:rPr>
        <w:t xml:space="preserve">ourt of </w:t>
      </w:r>
      <w:r w:rsidR="00CD32FB">
        <w:rPr>
          <w:rFonts w:ascii="Arial" w:hAnsi="Arial" w:cs="Arial"/>
        </w:rPr>
        <w:t>A</w:t>
      </w:r>
      <w:r>
        <w:rPr>
          <w:rFonts w:ascii="Arial" w:hAnsi="Arial" w:cs="Arial"/>
        </w:rPr>
        <w:t xml:space="preserve">ppeals is unknown </w:t>
      </w:r>
      <w:proofErr w:type="gramStart"/>
      <w:r>
        <w:rPr>
          <w:rFonts w:ascii="Arial" w:hAnsi="Arial" w:cs="Arial"/>
        </w:rPr>
        <w:t>at this time</w:t>
      </w:r>
      <w:proofErr w:type="gramEnd"/>
      <w:r>
        <w:rPr>
          <w:rFonts w:ascii="Arial" w:hAnsi="Arial" w:cs="Arial"/>
        </w:rPr>
        <w:t>.</w:t>
      </w:r>
      <w:r w:rsidR="00EF4257">
        <w:rPr>
          <w:rFonts w:ascii="Arial" w:hAnsi="Arial" w:cs="Arial"/>
        </w:rPr>
        <w:t xml:space="preserve"> </w:t>
      </w:r>
    </w:p>
    <w:p w14:paraId="1614F835" w14:textId="77777777" w:rsidR="006C11DF" w:rsidRDefault="006C11DF" w:rsidP="002243CE">
      <w:pPr>
        <w:jc w:val="both"/>
        <w:rPr>
          <w:rFonts w:ascii="Arial" w:hAnsi="Arial" w:cs="Arial"/>
        </w:rPr>
      </w:pPr>
    </w:p>
    <w:p w14:paraId="38948B11" w14:textId="7B7D2A7F" w:rsidR="00DA7512" w:rsidRPr="002243CE" w:rsidRDefault="000C565D" w:rsidP="002243CE">
      <w:pPr>
        <w:jc w:val="both"/>
        <w:rPr>
          <w:rFonts w:ascii="Arial" w:hAnsi="Arial" w:cs="Arial"/>
        </w:rPr>
      </w:pPr>
      <w:r>
        <w:rPr>
          <w:rFonts w:ascii="Arial" w:hAnsi="Arial" w:cs="Arial"/>
        </w:rPr>
        <w:lastRenderedPageBreak/>
        <w:t>T</w:t>
      </w:r>
      <w:r w:rsidR="00EF4257">
        <w:rPr>
          <w:rFonts w:ascii="Arial" w:hAnsi="Arial" w:cs="Arial"/>
        </w:rPr>
        <w:t>he Council is considering policy changes to the provisions adopted in</w:t>
      </w:r>
      <w:r w:rsidR="00433631">
        <w:rPr>
          <w:rFonts w:ascii="Arial" w:hAnsi="Arial" w:cs="Arial"/>
        </w:rPr>
        <w:t xml:space="preserve"> Ordinance</w:t>
      </w:r>
      <w:r w:rsidR="00EF4257">
        <w:rPr>
          <w:rFonts w:ascii="Arial" w:hAnsi="Arial" w:cs="Arial"/>
        </w:rPr>
        <w:t xml:space="preserve"> 19030</w:t>
      </w:r>
      <w:r>
        <w:rPr>
          <w:rFonts w:ascii="Arial" w:hAnsi="Arial" w:cs="Arial"/>
        </w:rPr>
        <w:t xml:space="preserve"> while litigation is ongoing</w:t>
      </w:r>
      <w:r w:rsidR="00812048">
        <w:rPr>
          <w:rFonts w:ascii="Arial" w:hAnsi="Arial" w:cs="Arial"/>
        </w:rPr>
        <w:t>.</w:t>
      </w:r>
    </w:p>
    <w:p w14:paraId="0886FB94" w14:textId="77777777" w:rsidR="00152736" w:rsidRPr="002243CE" w:rsidRDefault="00152736" w:rsidP="002243CE">
      <w:pPr>
        <w:jc w:val="both"/>
        <w:rPr>
          <w:rFonts w:ascii="Arial" w:hAnsi="Arial" w:cs="Arial"/>
        </w:rPr>
      </w:pPr>
    </w:p>
    <w:p w14:paraId="1E83711C" w14:textId="77777777" w:rsidR="00264BE1" w:rsidRDefault="00264BE1" w:rsidP="00965A1E">
      <w:pPr>
        <w:keepNext/>
        <w:keepLines/>
        <w:jc w:val="both"/>
        <w:rPr>
          <w:rFonts w:ascii="Arial" w:hAnsi="Arial" w:cs="Arial"/>
          <w:b/>
          <w:smallCaps/>
          <w:szCs w:val="24"/>
          <w:u w:val="single"/>
        </w:rPr>
      </w:pPr>
      <w:r>
        <w:rPr>
          <w:rFonts w:ascii="Arial" w:hAnsi="Arial" w:cs="Arial"/>
          <w:b/>
          <w:smallCaps/>
          <w:szCs w:val="24"/>
          <w:u w:val="single"/>
        </w:rPr>
        <w:t>ANALYSIS</w:t>
      </w:r>
    </w:p>
    <w:p w14:paraId="33970EBF" w14:textId="12B7A554" w:rsidR="00074A56" w:rsidRDefault="00074A56" w:rsidP="00965A1E">
      <w:pPr>
        <w:keepNext/>
        <w:keepLines/>
        <w:jc w:val="both"/>
        <w:rPr>
          <w:rFonts w:ascii="Arial" w:hAnsi="Arial" w:cs="Arial"/>
        </w:rPr>
      </w:pPr>
    </w:p>
    <w:p w14:paraId="4AD1D97E" w14:textId="4F6ACE60" w:rsidR="009407E2" w:rsidRDefault="009407E2" w:rsidP="009407E2">
      <w:pPr>
        <w:jc w:val="both"/>
        <w:rPr>
          <w:rFonts w:ascii="Arial" w:hAnsi="Arial" w:cs="Arial"/>
        </w:rPr>
      </w:pPr>
      <w:r>
        <w:rPr>
          <w:rFonts w:ascii="Arial" w:hAnsi="Arial" w:cs="Arial"/>
        </w:rPr>
        <w:t xml:space="preserve">A detailed comparison of the </w:t>
      </w:r>
      <w:r w:rsidR="00800EC7">
        <w:rPr>
          <w:rFonts w:ascii="Arial" w:hAnsi="Arial" w:cs="Arial"/>
        </w:rPr>
        <w:t>f</w:t>
      </w:r>
      <w:r>
        <w:rPr>
          <w:rFonts w:ascii="Arial" w:hAnsi="Arial" w:cs="Arial"/>
        </w:rPr>
        <w:t xml:space="preserve">ormer </w:t>
      </w:r>
      <w:r w:rsidR="00800EC7">
        <w:rPr>
          <w:rFonts w:ascii="Arial" w:hAnsi="Arial" w:cs="Arial"/>
        </w:rPr>
        <w:t>c</w:t>
      </w:r>
      <w:r>
        <w:rPr>
          <w:rFonts w:ascii="Arial" w:hAnsi="Arial" w:cs="Arial"/>
        </w:rPr>
        <w:t>ode</w:t>
      </w:r>
      <w:r w:rsidR="00800EC7">
        <w:rPr>
          <w:rFonts w:ascii="Arial" w:hAnsi="Arial" w:cs="Arial"/>
        </w:rPr>
        <w:t xml:space="preserve"> (prior to Ordinance 19030)</w:t>
      </w:r>
      <w:r>
        <w:rPr>
          <w:rFonts w:ascii="Arial" w:hAnsi="Arial" w:cs="Arial"/>
        </w:rPr>
        <w:t>, Ordinance 19030, and P</w:t>
      </w:r>
      <w:r w:rsidR="006C11DF">
        <w:rPr>
          <w:rFonts w:ascii="Arial" w:hAnsi="Arial" w:cs="Arial"/>
        </w:rPr>
        <w:t>roposed Ordinances</w:t>
      </w:r>
      <w:r>
        <w:rPr>
          <w:rFonts w:ascii="Arial" w:hAnsi="Arial" w:cs="Arial"/>
        </w:rPr>
        <w:t xml:space="preserve"> 2022-0147 (Ordinance 1) </w:t>
      </w:r>
      <w:r w:rsidR="006C11DF">
        <w:rPr>
          <w:rFonts w:ascii="Arial" w:hAnsi="Arial" w:cs="Arial"/>
        </w:rPr>
        <w:t xml:space="preserve">and 2022-0148 (Ordinance 2) </w:t>
      </w:r>
      <w:r>
        <w:rPr>
          <w:rFonts w:ascii="Arial" w:hAnsi="Arial" w:cs="Arial"/>
        </w:rPr>
        <w:t>is attached to this staff report.</w:t>
      </w:r>
    </w:p>
    <w:p w14:paraId="51F1F5BB" w14:textId="77777777" w:rsidR="00A6488F" w:rsidRDefault="00A6488F" w:rsidP="005B478C">
      <w:pPr>
        <w:jc w:val="both"/>
        <w:rPr>
          <w:rFonts w:ascii="Arial" w:hAnsi="Arial" w:cs="Arial"/>
        </w:rPr>
      </w:pPr>
    </w:p>
    <w:p w14:paraId="478F8D82" w14:textId="1440B836" w:rsidR="00EF4257" w:rsidRDefault="00EF4257" w:rsidP="005B478C">
      <w:pPr>
        <w:jc w:val="both"/>
        <w:rPr>
          <w:rFonts w:ascii="Arial" w:hAnsi="Arial" w:cs="Arial"/>
        </w:rPr>
      </w:pPr>
      <w:r w:rsidRPr="003C0008">
        <w:rPr>
          <w:rFonts w:ascii="Arial" w:hAnsi="Arial" w:cs="Arial"/>
          <w:b/>
          <w:bCs/>
        </w:rPr>
        <w:t>Proposed</w:t>
      </w:r>
      <w:r w:rsidR="00E52E79" w:rsidRPr="003C0008">
        <w:rPr>
          <w:rFonts w:ascii="Arial" w:hAnsi="Arial" w:cs="Arial"/>
          <w:b/>
          <w:bCs/>
        </w:rPr>
        <w:t xml:space="preserve"> Ordinance 2022-01</w:t>
      </w:r>
      <w:r w:rsidR="00965A1E">
        <w:rPr>
          <w:rFonts w:ascii="Arial" w:hAnsi="Arial" w:cs="Arial"/>
          <w:b/>
          <w:bCs/>
        </w:rPr>
        <w:t>47</w:t>
      </w:r>
      <w:r w:rsidR="00E52E79" w:rsidRPr="003C0008">
        <w:rPr>
          <w:rFonts w:ascii="Arial" w:hAnsi="Arial" w:cs="Arial"/>
          <w:b/>
          <w:bCs/>
        </w:rPr>
        <w:t xml:space="preserve"> (Ordinance 1) Summary.</w:t>
      </w:r>
      <w:r w:rsidR="00E52E79">
        <w:rPr>
          <w:rFonts w:ascii="Arial" w:hAnsi="Arial" w:cs="Arial"/>
        </w:rPr>
        <w:t xml:space="preserve">  Proposed Ordinance 2022-01</w:t>
      </w:r>
      <w:r w:rsidR="009407E2">
        <w:rPr>
          <w:rFonts w:ascii="Arial" w:hAnsi="Arial" w:cs="Arial"/>
        </w:rPr>
        <w:t>47</w:t>
      </w:r>
      <w:r w:rsidR="003C0008">
        <w:rPr>
          <w:rFonts w:ascii="Arial" w:hAnsi="Arial" w:cs="Arial"/>
        </w:rPr>
        <w:t xml:space="preserve"> would make substantive changes from those adopted in Ordinance 19030. </w:t>
      </w:r>
    </w:p>
    <w:p w14:paraId="763CA71C" w14:textId="0FE3D463" w:rsidR="003C0008" w:rsidRDefault="003C0008" w:rsidP="005B478C">
      <w:pPr>
        <w:jc w:val="both"/>
        <w:rPr>
          <w:rFonts w:ascii="Arial" w:hAnsi="Arial" w:cs="Arial"/>
        </w:rPr>
      </w:pPr>
    </w:p>
    <w:p w14:paraId="63CE7A3D" w14:textId="0CBF0623" w:rsidR="003C0008" w:rsidRPr="003C0008" w:rsidRDefault="003C0008" w:rsidP="003C0008">
      <w:pPr>
        <w:jc w:val="both"/>
        <w:rPr>
          <w:rFonts w:ascii="Arial" w:hAnsi="Arial" w:cs="Arial"/>
          <w:strike/>
          <w:szCs w:val="24"/>
        </w:rPr>
      </w:pPr>
      <w:r w:rsidRPr="004420A6">
        <w:rPr>
          <w:rFonts w:ascii="Arial" w:hAnsi="Arial" w:cs="Arial"/>
          <w:i/>
          <w:iCs/>
          <w:szCs w:val="24"/>
        </w:rPr>
        <w:t>WBDs in A/RA zone countywide</w:t>
      </w:r>
      <w:r w:rsidR="004420A6" w:rsidRPr="004420A6">
        <w:rPr>
          <w:rFonts w:ascii="Arial" w:hAnsi="Arial" w:cs="Arial"/>
          <w:i/>
          <w:iCs/>
          <w:szCs w:val="24"/>
        </w:rPr>
        <w:t>.</w:t>
      </w:r>
      <w:r w:rsidR="004420A6" w:rsidRPr="004420A6">
        <w:rPr>
          <w:rFonts w:ascii="Arial" w:hAnsi="Arial" w:cs="Arial"/>
          <w:szCs w:val="24"/>
        </w:rPr>
        <w:t xml:space="preserve">  Proposed Ordinance 2022-01</w:t>
      </w:r>
      <w:r w:rsidR="00965A1E">
        <w:rPr>
          <w:rFonts w:ascii="Arial" w:hAnsi="Arial" w:cs="Arial"/>
          <w:szCs w:val="24"/>
        </w:rPr>
        <w:t>47</w:t>
      </w:r>
      <w:r w:rsidR="004420A6" w:rsidRPr="004420A6">
        <w:rPr>
          <w:rFonts w:ascii="Arial" w:hAnsi="Arial" w:cs="Arial"/>
          <w:szCs w:val="24"/>
        </w:rPr>
        <w:t xml:space="preserve"> would make the following changes for the A and RA zones that would apply </w:t>
      </w:r>
      <w:r w:rsidR="00CD32FB">
        <w:rPr>
          <w:rFonts w:ascii="Arial" w:hAnsi="Arial" w:cs="Arial"/>
          <w:szCs w:val="24"/>
        </w:rPr>
        <w:t>in all unincorporated areas</w:t>
      </w:r>
      <w:r w:rsidR="004420A6" w:rsidRPr="004420A6">
        <w:rPr>
          <w:rFonts w:ascii="Arial" w:hAnsi="Arial" w:cs="Arial"/>
          <w:szCs w:val="24"/>
        </w:rPr>
        <w:t>:</w:t>
      </w:r>
    </w:p>
    <w:p w14:paraId="0334600A" w14:textId="5BB472A1" w:rsidR="003C0008" w:rsidRPr="003C0008" w:rsidRDefault="003C0008" w:rsidP="003C0008">
      <w:pPr>
        <w:pStyle w:val="ListParagraph0"/>
        <w:numPr>
          <w:ilvl w:val="0"/>
          <w:numId w:val="9"/>
        </w:numPr>
        <w:spacing w:line="240" w:lineRule="auto"/>
        <w:contextualSpacing/>
        <w:jc w:val="both"/>
        <w:rPr>
          <w:rFonts w:ascii="Arial" w:hAnsi="Arial" w:cs="Arial"/>
        </w:rPr>
      </w:pPr>
      <w:r w:rsidRPr="003C0008">
        <w:rPr>
          <w:rFonts w:ascii="Arial" w:hAnsi="Arial" w:cs="Arial"/>
        </w:rPr>
        <w:t>Prohibit all WBDs in A zone</w:t>
      </w:r>
      <w:r>
        <w:rPr>
          <w:rFonts w:ascii="Arial" w:hAnsi="Arial" w:cs="Arial"/>
        </w:rPr>
        <w:t>.</w:t>
      </w:r>
    </w:p>
    <w:p w14:paraId="0B550600" w14:textId="6AA9F125" w:rsidR="003C0008" w:rsidRPr="003C0008" w:rsidRDefault="003C0008" w:rsidP="003C0008">
      <w:pPr>
        <w:pStyle w:val="ListParagraph0"/>
        <w:numPr>
          <w:ilvl w:val="0"/>
          <w:numId w:val="9"/>
        </w:numPr>
        <w:spacing w:line="240" w:lineRule="auto"/>
        <w:contextualSpacing/>
        <w:jc w:val="both"/>
        <w:rPr>
          <w:rFonts w:ascii="Arial" w:hAnsi="Arial" w:cs="Arial"/>
        </w:rPr>
      </w:pPr>
      <w:r w:rsidRPr="003C0008">
        <w:rPr>
          <w:rFonts w:ascii="Arial" w:hAnsi="Arial" w:cs="Arial"/>
        </w:rPr>
        <w:t xml:space="preserve">Add 75-foot interior lot line setback for WBDs </w:t>
      </w:r>
      <w:r w:rsidR="00CD32FB">
        <w:rPr>
          <w:rFonts w:ascii="Arial" w:hAnsi="Arial" w:cs="Arial"/>
        </w:rPr>
        <w:t xml:space="preserve">and associated impervious surfaces </w:t>
      </w:r>
      <w:r w:rsidRPr="003C0008">
        <w:rPr>
          <w:rFonts w:ascii="Arial" w:hAnsi="Arial" w:cs="Arial"/>
        </w:rPr>
        <w:t xml:space="preserve">from A zone properties (this applies to WBDs in RA, NB, CB, </w:t>
      </w:r>
      <w:proofErr w:type="gramStart"/>
      <w:r w:rsidRPr="003C0008">
        <w:rPr>
          <w:rFonts w:ascii="Arial" w:hAnsi="Arial" w:cs="Arial"/>
        </w:rPr>
        <w:t>RB</w:t>
      </w:r>
      <w:proofErr w:type="gramEnd"/>
      <w:r w:rsidRPr="003C0008">
        <w:rPr>
          <w:rFonts w:ascii="Arial" w:hAnsi="Arial" w:cs="Arial"/>
        </w:rPr>
        <w:t xml:space="preserve"> and I zones).</w:t>
      </w:r>
    </w:p>
    <w:p w14:paraId="57D3E17A" w14:textId="32455BF0" w:rsidR="003C0008" w:rsidRPr="003C0008" w:rsidRDefault="003C0008" w:rsidP="003C0008">
      <w:pPr>
        <w:pStyle w:val="ListParagraph0"/>
        <w:numPr>
          <w:ilvl w:val="0"/>
          <w:numId w:val="9"/>
        </w:numPr>
        <w:spacing w:line="240" w:lineRule="auto"/>
        <w:contextualSpacing/>
        <w:jc w:val="both"/>
        <w:rPr>
          <w:rFonts w:ascii="Arial" w:hAnsi="Arial" w:cs="Arial"/>
        </w:rPr>
      </w:pPr>
      <w:r w:rsidRPr="003C0008">
        <w:rPr>
          <w:rFonts w:ascii="Arial" w:hAnsi="Arial" w:cs="Arial"/>
        </w:rPr>
        <w:t>For WBD III</w:t>
      </w:r>
      <w:r w:rsidR="00CD32FB">
        <w:rPr>
          <w:rFonts w:ascii="Arial" w:hAnsi="Arial" w:cs="Arial"/>
        </w:rPr>
        <w:t>s</w:t>
      </w:r>
      <w:r w:rsidRPr="003C0008">
        <w:rPr>
          <w:rFonts w:ascii="Arial" w:hAnsi="Arial" w:cs="Arial"/>
        </w:rPr>
        <w:t xml:space="preserve"> in RA zone, require a minimum lot size of 10 acres when the floor area exceeds 5,000 sf (decreased from 6,000 sf</w:t>
      </w:r>
      <w:r w:rsidR="002E2ECF">
        <w:rPr>
          <w:rFonts w:ascii="Arial" w:hAnsi="Arial" w:cs="Arial"/>
        </w:rPr>
        <w:t xml:space="preserve"> in Ordinance 19030</w:t>
      </w:r>
      <w:r w:rsidRPr="003C0008">
        <w:rPr>
          <w:rFonts w:ascii="Arial" w:hAnsi="Arial" w:cs="Arial"/>
        </w:rPr>
        <w:t xml:space="preserve">). </w:t>
      </w:r>
    </w:p>
    <w:p w14:paraId="767DEDFC" w14:textId="524626D6" w:rsidR="003C0008" w:rsidRPr="00433631" w:rsidRDefault="003C0008" w:rsidP="00433631">
      <w:pPr>
        <w:pStyle w:val="ListParagraph0"/>
        <w:numPr>
          <w:ilvl w:val="0"/>
          <w:numId w:val="9"/>
        </w:numPr>
        <w:spacing w:line="240" w:lineRule="auto"/>
        <w:contextualSpacing/>
        <w:rPr>
          <w:rFonts w:ascii="Arial" w:hAnsi="Arial" w:cs="Arial"/>
        </w:rPr>
      </w:pPr>
      <w:r w:rsidRPr="003C0008">
        <w:rPr>
          <w:rFonts w:ascii="Arial" w:hAnsi="Arial" w:cs="Arial"/>
        </w:rPr>
        <w:t>Require 3 stages of production on-site, including 2 active stages for WBD II and III in RA</w:t>
      </w:r>
      <w:r w:rsidR="004420A6">
        <w:rPr>
          <w:rFonts w:ascii="Arial" w:hAnsi="Arial" w:cs="Arial"/>
        </w:rPr>
        <w:t>.</w:t>
      </w:r>
      <w:r w:rsidR="00FF3B62">
        <w:rPr>
          <w:rFonts w:ascii="Arial" w:hAnsi="Arial" w:cs="Arial"/>
        </w:rPr>
        <w:t xml:space="preserve"> A summary of the steps in production for winery, brewery and distillery uses is included as </w:t>
      </w:r>
      <w:r w:rsidR="00965A1E">
        <w:rPr>
          <w:rFonts w:ascii="Arial" w:hAnsi="Arial" w:cs="Arial"/>
        </w:rPr>
        <w:t>an a</w:t>
      </w:r>
      <w:r w:rsidR="00FF3B62">
        <w:rPr>
          <w:rFonts w:ascii="Arial" w:hAnsi="Arial" w:cs="Arial"/>
        </w:rPr>
        <w:t xml:space="preserve">ttachment </w:t>
      </w:r>
      <w:r w:rsidR="00965A1E">
        <w:rPr>
          <w:rFonts w:ascii="Arial" w:hAnsi="Arial" w:cs="Arial"/>
        </w:rPr>
        <w:t>t</w:t>
      </w:r>
      <w:r w:rsidR="00FF3B62">
        <w:rPr>
          <w:rFonts w:ascii="Arial" w:hAnsi="Arial" w:cs="Arial"/>
        </w:rPr>
        <w:t>o this staff report.</w:t>
      </w:r>
    </w:p>
    <w:p w14:paraId="581FC3F2" w14:textId="11E79D1A" w:rsidR="003C0008" w:rsidRPr="003C0008" w:rsidRDefault="007D6B91" w:rsidP="003C0008">
      <w:pPr>
        <w:pStyle w:val="ListParagraph0"/>
        <w:numPr>
          <w:ilvl w:val="0"/>
          <w:numId w:val="9"/>
        </w:numPr>
        <w:spacing w:line="240" w:lineRule="auto"/>
        <w:contextualSpacing/>
        <w:jc w:val="both"/>
        <w:rPr>
          <w:rFonts w:ascii="Arial" w:hAnsi="Arial" w:cs="Arial"/>
        </w:rPr>
      </w:pPr>
      <w:r>
        <w:rPr>
          <w:rFonts w:ascii="Arial" w:hAnsi="Arial" w:cs="Arial"/>
        </w:rPr>
        <w:t>For o</w:t>
      </w:r>
      <w:r w:rsidR="003C0008" w:rsidRPr="003C0008">
        <w:rPr>
          <w:rFonts w:ascii="Arial" w:hAnsi="Arial" w:cs="Arial"/>
        </w:rPr>
        <w:t>n-site retail and tasting for WBD II</w:t>
      </w:r>
      <w:r w:rsidR="00007552">
        <w:rPr>
          <w:rFonts w:ascii="Arial" w:hAnsi="Arial" w:cs="Arial"/>
        </w:rPr>
        <w:t>s</w:t>
      </w:r>
      <w:r w:rsidR="003C0008" w:rsidRPr="003C0008">
        <w:rPr>
          <w:rFonts w:ascii="Arial" w:hAnsi="Arial" w:cs="Arial"/>
        </w:rPr>
        <w:t xml:space="preserve"> and III</w:t>
      </w:r>
      <w:r w:rsidR="00007552">
        <w:rPr>
          <w:rFonts w:ascii="Arial" w:hAnsi="Arial" w:cs="Arial"/>
        </w:rPr>
        <w:t>s</w:t>
      </w:r>
      <w:r w:rsidR="003C0008" w:rsidRPr="003C0008">
        <w:rPr>
          <w:rFonts w:ascii="Arial" w:hAnsi="Arial" w:cs="Arial"/>
        </w:rPr>
        <w:t xml:space="preserve"> in RA zone: </w:t>
      </w:r>
    </w:p>
    <w:p w14:paraId="55AD0E3A" w14:textId="421A6A86" w:rsidR="003C0008" w:rsidRPr="003C0008" w:rsidRDefault="003C0008" w:rsidP="003C0008">
      <w:pPr>
        <w:pStyle w:val="ListParagraph0"/>
        <w:numPr>
          <w:ilvl w:val="1"/>
          <w:numId w:val="8"/>
        </w:numPr>
        <w:spacing w:line="240" w:lineRule="auto"/>
        <w:contextualSpacing/>
        <w:jc w:val="both"/>
        <w:rPr>
          <w:rFonts w:ascii="Arial" w:hAnsi="Arial" w:cs="Arial"/>
        </w:rPr>
      </w:pPr>
      <w:r w:rsidRPr="003C0008">
        <w:rPr>
          <w:rFonts w:ascii="Arial" w:hAnsi="Arial" w:cs="Arial"/>
        </w:rPr>
        <w:t>Modify language to say "limited to products produced on-site, as provided in subsection X.X (on-site production requirements) except as provided in RCW/WAC citations" for state license exemptions related to this requirement</w:t>
      </w:r>
      <w:r w:rsidR="004420A6">
        <w:rPr>
          <w:rFonts w:ascii="Arial" w:hAnsi="Arial" w:cs="Arial"/>
        </w:rPr>
        <w:t>.</w:t>
      </w:r>
    </w:p>
    <w:p w14:paraId="6B07B5D0" w14:textId="0CADD59A" w:rsidR="003C0008" w:rsidRPr="004420A6" w:rsidRDefault="003C0008" w:rsidP="003C0008">
      <w:pPr>
        <w:pStyle w:val="ListParagraph0"/>
        <w:numPr>
          <w:ilvl w:val="1"/>
          <w:numId w:val="8"/>
        </w:numPr>
        <w:spacing w:line="240" w:lineRule="auto"/>
        <w:contextualSpacing/>
        <w:jc w:val="both"/>
        <w:rPr>
          <w:rFonts w:ascii="Arial" w:hAnsi="Arial" w:cs="Arial"/>
        </w:rPr>
      </w:pPr>
      <w:r w:rsidRPr="003C0008">
        <w:rPr>
          <w:rFonts w:ascii="Arial" w:hAnsi="Arial" w:cs="Arial"/>
        </w:rPr>
        <w:t>Maximum floor area: 20%</w:t>
      </w:r>
      <w:r w:rsidR="00EC5D44">
        <w:rPr>
          <w:rFonts w:ascii="Arial" w:hAnsi="Arial" w:cs="Arial"/>
        </w:rPr>
        <w:t xml:space="preserve"> (decreased from 30%).</w:t>
      </w:r>
    </w:p>
    <w:p w14:paraId="3C9239AD" w14:textId="7D82ABBC" w:rsidR="004420A6" w:rsidRPr="004420A6" w:rsidRDefault="004420A6" w:rsidP="004420A6">
      <w:pPr>
        <w:pStyle w:val="ListParagraph0"/>
        <w:keepNext/>
        <w:keepLines/>
        <w:numPr>
          <w:ilvl w:val="1"/>
          <w:numId w:val="8"/>
        </w:numPr>
        <w:spacing w:line="240" w:lineRule="auto"/>
        <w:contextualSpacing/>
        <w:jc w:val="both"/>
        <w:rPr>
          <w:rFonts w:ascii="Arial" w:hAnsi="Arial" w:cs="Arial"/>
        </w:rPr>
      </w:pPr>
      <w:r w:rsidRPr="003C0008">
        <w:rPr>
          <w:rFonts w:ascii="Arial" w:hAnsi="Arial" w:cs="Arial"/>
        </w:rPr>
        <w:t>Tasting hours: 11am</w:t>
      </w:r>
      <w:r w:rsidR="007D6B91">
        <w:rPr>
          <w:rFonts w:ascii="Arial" w:hAnsi="Arial" w:cs="Arial"/>
        </w:rPr>
        <w:t xml:space="preserve"> to </w:t>
      </w:r>
      <w:r w:rsidRPr="003C0008">
        <w:rPr>
          <w:rFonts w:ascii="Arial" w:hAnsi="Arial" w:cs="Arial"/>
        </w:rPr>
        <w:t xml:space="preserve">8pm daily where they are specified (WBD II, III in RA zone </w:t>
      </w:r>
      <w:r w:rsidR="00A20B2E">
        <w:rPr>
          <w:rFonts w:ascii="Arial" w:hAnsi="Arial" w:cs="Arial"/>
        </w:rPr>
        <w:t>in all unincorporated areas</w:t>
      </w:r>
      <w:r w:rsidRPr="003C0008">
        <w:rPr>
          <w:rFonts w:ascii="Arial" w:hAnsi="Arial" w:cs="Arial"/>
        </w:rPr>
        <w:t>)</w:t>
      </w:r>
      <w:r>
        <w:rPr>
          <w:rFonts w:ascii="Arial" w:hAnsi="Arial" w:cs="Arial"/>
        </w:rPr>
        <w:t>.</w:t>
      </w:r>
      <w:r w:rsidR="00EC5D44">
        <w:rPr>
          <w:rFonts w:ascii="Arial" w:hAnsi="Arial" w:cs="Arial"/>
        </w:rPr>
        <w:t xml:space="preserve">  In Ordinance 19030, hours of operation are 11am to 7pm on weekdays and 11am to 9pm on weekends.</w:t>
      </w:r>
    </w:p>
    <w:p w14:paraId="21D6D83D" w14:textId="19033B78" w:rsidR="003C0008" w:rsidRPr="003C0008" w:rsidRDefault="007D6B91" w:rsidP="003C0008">
      <w:pPr>
        <w:pStyle w:val="ListParagraph0"/>
        <w:numPr>
          <w:ilvl w:val="0"/>
          <w:numId w:val="9"/>
        </w:numPr>
        <w:spacing w:line="240" w:lineRule="auto"/>
        <w:contextualSpacing/>
        <w:jc w:val="both"/>
        <w:rPr>
          <w:rFonts w:ascii="Arial" w:hAnsi="Arial" w:cs="Arial"/>
        </w:rPr>
      </w:pPr>
      <w:r>
        <w:rPr>
          <w:rFonts w:ascii="Arial" w:hAnsi="Arial" w:cs="Arial"/>
        </w:rPr>
        <w:t>Create a s</w:t>
      </w:r>
      <w:r w:rsidR="003C0008" w:rsidRPr="003C0008">
        <w:rPr>
          <w:rFonts w:ascii="Arial" w:hAnsi="Arial" w:cs="Arial"/>
        </w:rPr>
        <w:t xml:space="preserve">pecific requirement/cross reference to comply with the King County Surface Water Design Manual and the Stormwater Code in </w:t>
      </w:r>
      <w:r>
        <w:rPr>
          <w:rFonts w:ascii="Arial" w:hAnsi="Arial" w:cs="Arial"/>
        </w:rPr>
        <w:t xml:space="preserve">K.C.C. </w:t>
      </w:r>
      <w:r w:rsidR="003C0008" w:rsidRPr="003C0008">
        <w:rPr>
          <w:rFonts w:ascii="Arial" w:hAnsi="Arial" w:cs="Arial"/>
        </w:rPr>
        <w:t>Title 9 for WBD II and III in RA</w:t>
      </w:r>
      <w:r w:rsidR="004420A6">
        <w:rPr>
          <w:rFonts w:ascii="Arial" w:hAnsi="Arial" w:cs="Arial"/>
        </w:rPr>
        <w:t>.</w:t>
      </w:r>
    </w:p>
    <w:p w14:paraId="4A325063" w14:textId="77777777" w:rsidR="003C0008" w:rsidRPr="003C0008" w:rsidRDefault="003C0008" w:rsidP="003C0008">
      <w:pPr>
        <w:jc w:val="both"/>
        <w:rPr>
          <w:rFonts w:ascii="Arial" w:hAnsi="Arial" w:cs="Arial"/>
          <w:szCs w:val="24"/>
          <w:u w:val="single"/>
        </w:rPr>
      </w:pPr>
    </w:p>
    <w:p w14:paraId="0742B099" w14:textId="011A99F6" w:rsidR="003C0008" w:rsidRPr="003C0008" w:rsidRDefault="003C0008" w:rsidP="003C0008">
      <w:pPr>
        <w:jc w:val="both"/>
        <w:rPr>
          <w:rFonts w:ascii="Arial" w:hAnsi="Arial" w:cs="Arial"/>
          <w:strike/>
          <w:szCs w:val="24"/>
        </w:rPr>
      </w:pPr>
      <w:r w:rsidRPr="004420A6">
        <w:rPr>
          <w:rFonts w:ascii="Arial" w:hAnsi="Arial" w:cs="Arial"/>
          <w:i/>
          <w:iCs/>
          <w:szCs w:val="24"/>
        </w:rPr>
        <w:t>WBDs in RA zone</w:t>
      </w:r>
      <w:r w:rsidR="00A20B2E">
        <w:rPr>
          <w:rFonts w:ascii="Arial" w:hAnsi="Arial" w:cs="Arial"/>
          <w:i/>
          <w:iCs/>
          <w:szCs w:val="24"/>
        </w:rPr>
        <w:t>,</w:t>
      </w:r>
      <w:r w:rsidRPr="004420A6">
        <w:rPr>
          <w:rFonts w:ascii="Arial" w:hAnsi="Arial" w:cs="Arial"/>
          <w:i/>
          <w:iCs/>
          <w:szCs w:val="24"/>
        </w:rPr>
        <w:t xml:space="preserve"> excluding Vashon-Maury Island</w:t>
      </w:r>
      <w:r w:rsidR="004420A6" w:rsidRPr="004420A6">
        <w:rPr>
          <w:rFonts w:ascii="Arial" w:hAnsi="Arial" w:cs="Arial"/>
          <w:i/>
          <w:iCs/>
          <w:szCs w:val="24"/>
        </w:rPr>
        <w:t>.</w:t>
      </w:r>
      <w:r w:rsidR="004420A6" w:rsidRPr="004420A6">
        <w:rPr>
          <w:rFonts w:ascii="Arial" w:hAnsi="Arial" w:cs="Arial"/>
          <w:szCs w:val="24"/>
        </w:rPr>
        <w:t xml:space="preserve">  Proposed Ordinance 2022-01</w:t>
      </w:r>
      <w:r w:rsidR="00965A1E">
        <w:rPr>
          <w:rFonts w:ascii="Arial" w:hAnsi="Arial" w:cs="Arial"/>
          <w:szCs w:val="24"/>
        </w:rPr>
        <w:t>47</w:t>
      </w:r>
      <w:r w:rsidR="004420A6" w:rsidRPr="004420A6">
        <w:rPr>
          <w:rFonts w:ascii="Arial" w:hAnsi="Arial" w:cs="Arial"/>
          <w:szCs w:val="24"/>
        </w:rPr>
        <w:t xml:space="preserve"> would make the following changes that would apply </w:t>
      </w:r>
      <w:r w:rsidR="00A20B2E">
        <w:rPr>
          <w:rFonts w:ascii="Arial" w:hAnsi="Arial" w:cs="Arial"/>
          <w:szCs w:val="24"/>
        </w:rPr>
        <w:t>to all RA zones in unincorporated areas except for those on</w:t>
      </w:r>
      <w:r w:rsidR="004420A6">
        <w:rPr>
          <w:rFonts w:ascii="Arial" w:hAnsi="Arial" w:cs="Arial"/>
          <w:szCs w:val="24"/>
        </w:rPr>
        <w:t xml:space="preserve"> Vashon-Maury Island</w:t>
      </w:r>
      <w:r w:rsidR="004420A6" w:rsidRPr="004420A6">
        <w:rPr>
          <w:rFonts w:ascii="Arial" w:hAnsi="Arial" w:cs="Arial"/>
          <w:szCs w:val="24"/>
        </w:rPr>
        <w:t>:</w:t>
      </w:r>
    </w:p>
    <w:p w14:paraId="247D8DC3" w14:textId="0DACC2C7" w:rsidR="003C0008" w:rsidRPr="003C0008" w:rsidRDefault="003C0008" w:rsidP="003C0008">
      <w:pPr>
        <w:pStyle w:val="ListParagraph0"/>
        <w:numPr>
          <w:ilvl w:val="0"/>
          <w:numId w:val="11"/>
        </w:numPr>
        <w:spacing w:line="240" w:lineRule="auto"/>
        <w:contextualSpacing/>
        <w:jc w:val="both"/>
        <w:rPr>
          <w:rFonts w:ascii="Arial" w:hAnsi="Arial" w:cs="Arial"/>
        </w:rPr>
      </w:pPr>
      <w:r w:rsidRPr="003C0008">
        <w:rPr>
          <w:rFonts w:ascii="Arial" w:hAnsi="Arial" w:cs="Arial"/>
        </w:rPr>
        <w:t>Prohibit WBD II distilleries in closed basins.</w:t>
      </w:r>
    </w:p>
    <w:p w14:paraId="7FB443CF" w14:textId="3D0D23A3" w:rsidR="003C0008" w:rsidRPr="003C0008" w:rsidRDefault="003C0008" w:rsidP="003C0008">
      <w:pPr>
        <w:pStyle w:val="ListParagraph0"/>
        <w:numPr>
          <w:ilvl w:val="0"/>
          <w:numId w:val="11"/>
        </w:numPr>
        <w:spacing w:line="240" w:lineRule="auto"/>
        <w:contextualSpacing/>
        <w:jc w:val="both"/>
        <w:rPr>
          <w:rFonts w:ascii="Arial" w:hAnsi="Arial" w:cs="Arial"/>
        </w:rPr>
      </w:pPr>
      <w:r w:rsidRPr="003C0008">
        <w:rPr>
          <w:rFonts w:ascii="Arial" w:hAnsi="Arial" w:cs="Arial"/>
        </w:rPr>
        <w:t>Requir</w:t>
      </w:r>
      <w:r w:rsidR="00A20B2E">
        <w:rPr>
          <w:rFonts w:ascii="Arial" w:hAnsi="Arial" w:cs="Arial"/>
        </w:rPr>
        <w:t>e</w:t>
      </w:r>
      <w:r w:rsidRPr="003C0008">
        <w:rPr>
          <w:rFonts w:ascii="Arial" w:hAnsi="Arial" w:cs="Arial"/>
        </w:rPr>
        <w:t xml:space="preserve"> a Group A or B water hookup for WBD IIs</w:t>
      </w:r>
      <w:r w:rsidR="00A20B2E">
        <w:rPr>
          <w:rFonts w:ascii="Arial" w:hAnsi="Arial" w:cs="Arial"/>
        </w:rPr>
        <w:t>.</w:t>
      </w:r>
    </w:p>
    <w:p w14:paraId="419A5176" w14:textId="77777777" w:rsidR="003C0008" w:rsidRPr="003C0008" w:rsidRDefault="003C0008" w:rsidP="003C0008">
      <w:pPr>
        <w:pStyle w:val="ListParagraph0"/>
        <w:spacing w:line="240" w:lineRule="auto"/>
        <w:jc w:val="both"/>
        <w:rPr>
          <w:rFonts w:ascii="Arial" w:hAnsi="Arial" w:cs="Arial"/>
        </w:rPr>
      </w:pPr>
    </w:p>
    <w:p w14:paraId="5DF2A094" w14:textId="02855883" w:rsidR="003C0008" w:rsidRPr="003C0008" w:rsidRDefault="003C0008" w:rsidP="004420A6">
      <w:pPr>
        <w:jc w:val="both"/>
        <w:rPr>
          <w:rFonts w:ascii="Arial" w:hAnsi="Arial" w:cs="Arial"/>
          <w:szCs w:val="24"/>
        </w:rPr>
      </w:pPr>
      <w:r w:rsidRPr="004420A6">
        <w:rPr>
          <w:rFonts w:ascii="Arial" w:hAnsi="Arial" w:cs="Arial"/>
          <w:i/>
          <w:iCs/>
          <w:szCs w:val="24"/>
        </w:rPr>
        <w:t>Remote Tasting Rooms</w:t>
      </w:r>
      <w:r w:rsidR="004420A6" w:rsidRPr="004420A6">
        <w:rPr>
          <w:rFonts w:ascii="Arial" w:hAnsi="Arial" w:cs="Arial"/>
          <w:i/>
          <w:iCs/>
          <w:szCs w:val="24"/>
        </w:rPr>
        <w:t>.</w:t>
      </w:r>
      <w:r w:rsidR="004420A6" w:rsidRPr="004420A6">
        <w:rPr>
          <w:rFonts w:ascii="Arial" w:hAnsi="Arial" w:cs="Arial"/>
          <w:szCs w:val="24"/>
        </w:rPr>
        <w:t xml:space="preserve">  Proposed Ordinance 2022-01</w:t>
      </w:r>
      <w:r w:rsidR="00965A1E">
        <w:rPr>
          <w:rFonts w:ascii="Arial" w:hAnsi="Arial" w:cs="Arial"/>
          <w:szCs w:val="24"/>
        </w:rPr>
        <w:t>47</w:t>
      </w:r>
      <w:r w:rsidR="004420A6" w:rsidRPr="004420A6">
        <w:rPr>
          <w:rFonts w:ascii="Arial" w:hAnsi="Arial" w:cs="Arial"/>
          <w:szCs w:val="24"/>
        </w:rPr>
        <w:t xml:space="preserve"> would </w:t>
      </w:r>
      <w:r w:rsidR="004420A6">
        <w:rPr>
          <w:rFonts w:ascii="Arial" w:hAnsi="Arial" w:cs="Arial"/>
          <w:szCs w:val="24"/>
        </w:rPr>
        <w:t>r</w:t>
      </w:r>
      <w:r w:rsidRPr="003C0008">
        <w:rPr>
          <w:rFonts w:ascii="Arial" w:hAnsi="Arial" w:cs="Arial"/>
          <w:szCs w:val="24"/>
        </w:rPr>
        <w:t>epeal Remote Tasting Room Demonstration Project A</w:t>
      </w:r>
      <w:r w:rsidR="004420A6">
        <w:rPr>
          <w:rFonts w:ascii="Arial" w:hAnsi="Arial" w:cs="Arial"/>
          <w:szCs w:val="24"/>
        </w:rPr>
        <w:t>.</w:t>
      </w:r>
    </w:p>
    <w:p w14:paraId="6E78AC1D" w14:textId="77777777" w:rsidR="003C0008" w:rsidRPr="003C0008" w:rsidRDefault="003C0008" w:rsidP="003C0008">
      <w:pPr>
        <w:jc w:val="both"/>
        <w:rPr>
          <w:rFonts w:ascii="Arial" w:hAnsi="Arial" w:cs="Arial"/>
          <w:szCs w:val="24"/>
        </w:rPr>
      </w:pPr>
    </w:p>
    <w:p w14:paraId="266FD364" w14:textId="773460D3" w:rsidR="003C0008" w:rsidRPr="003C0008" w:rsidRDefault="003C0008" w:rsidP="003C0008">
      <w:pPr>
        <w:jc w:val="both"/>
        <w:rPr>
          <w:rFonts w:ascii="Arial" w:hAnsi="Arial" w:cs="Arial"/>
          <w:szCs w:val="24"/>
          <w:u w:val="single"/>
        </w:rPr>
      </w:pPr>
      <w:r w:rsidRPr="004420A6">
        <w:rPr>
          <w:rFonts w:ascii="Arial" w:hAnsi="Arial" w:cs="Arial"/>
          <w:i/>
          <w:iCs/>
          <w:szCs w:val="24"/>
        </w:rPr>
        <w:t>Events/Temporary Use Permits</w:t>
      </w:r>
      <w:r w:rsidR="004420A6" w:rsidRPr="004420A6">
        <w:rPr>
          <w:rFonts w:ascii="Arial" w:hAnsi="Arial" w:cs="Arial"/>
          <w:i/>
          <w:iCs/>
          <w:szCs w:val="24"/>
        </w:rPr>
        <w:t>.</w:t>
      </w:r>
      <w:r w:rsidR="004420A6" w:rsidRPr="004420A6">
        <w:rPr>
          <w:rFonts w:ascii="Arial" w:hAnsi="Arial" w:cs="Arial"/>
          <w:szCs w:val="24"/>
        </w:rPr>
        <w:t xml:space="preserve">  Proposed Ordinance 2022-01</w:t>
      </w:r>
      <w:r w:rsidR="00965A1E">
        <w:rPr>
          <w:rFonts w:ascii="Arial" w:hAnsi="Arial" w:cs="Arial"/>
          <w:szCs w:val="24"/>
        </w:rPr>
        <w:t>47</w:t>
      </w:r>
      <w:r w:rsidR="004420A6" w:rsidRPr="004420A6">
        <w:rPr>
          <w:rFonts w:ascii="Arial" w:hAnsi="Arial" w:cs="Arial"/>
          <w:szCs w:val="24"/>
        </w:rPr>
        <w:t xml:space="preserve"> would </w:t>
      </w:r>
      <w:r w:rsidR="004420A6">
        <w:rPr>
          <w:rFonts w:ascii="Arial" w:hAnsi="Arial" w:cs="Arial"/>
          <w:szCs w:val="24"/>
        </w:rPr>
        <w:t>make the following changes related to special events and TUPs:</w:t>
      </w:r>
    </w:p>
    <w:p w14:paraId="2B0D6ABD" w14:textId="265912D9" w:rsidR="003C0008" w:rsidRPr="003C0008" w:rsidRDefault="003C0008" w:rsidP="003C0008">
      <w:pPr>
        <w:pStyle w:val="ListParagraph0"/>
        <w:numPr>
          <w:ilvl w:val="0"/>
          <w:numId w:val="13"/>
        </w:numPr>
        <w:spacing w:line="240" w:lineRule="auto"/>
        <w:contextualSpacing/>
        <w:jc w:val="both"/>
        <w:rPr>
          <w:rFonts w:ascii="Arial" w:hAnsi="Arial" w:cs="Arial"/>
        </w:rPr>
      </w:pPr>
      <w:r w:rsidRPr="003C0008">
        <w:rPr>
          <w:rFonts w:ascii="Arial" w:hAnsi="Arial" w:cs="Arial"/>
        </w:rPr>
        <w:t xml:space="preserve">Remove exemption </w:t>
      </w:r>
      <w:r w:rsidR="00A20B2E">
        <w:rPr>
          <w:rFonts w:ascii="Arial" w:hAnsi="Arial" w:cs="Arial"/>
        </w:rPr>
        <w:t xml:space="preserve">from TUP requirements </w:t>
      </w:r>
      <w:r w:rsidRPr="003C0008">
        <w:rPr>
          <w:rFonts w:ascii="Arial" w:hAnsi="Arial" w:cs="Arial"/>
        </w:rPr>
        <w:t xml:space="preserve">for </w:t>
      </w:r>
      <w:r w:rsidR="000C565D">
        <w:rPr>
          <w:rFonts w:ascii="Arial" w:hAnsi="Arial" w:cs="Arial"/>
        </w:rPr>
        <w:t xml:space="preserve">specific </w:t>
      </w:r>
      <w:r w:rsidR="00FB1A59">
        <w:rPr>
          <w:rFonts w:ascii="Arial" w:hAnsi="Arial" w:cs="Arial"/>
        </w:rPr>
        <w:t xml:space="preserve">existing </w:t>
      </w:r>
      <w:r w:rsidRPr="003C0008">
        <w:rPr>
          <w:rFonts w:ascii="Arial" w:hAnsi="Arial" w:cs="Arial"/>
        </w:rPr>
        <w:t>WBD II</w:t>
      </w:r>
      <w:r w:rsidR="00A20B2E">
        <w:rPr>
          <w:rFonts w:ascii="Arial" w:hAnsi="Arial" w:cs="Arial"/>
        </w:rPr>
        <w:t>s</w:t>
      </w:r>
      <w:r w:rsidRPr="003C0008">
        <w:rPr>
          <w:rFonts w:ascii="Arial" w:hAnsi="Arial" w:cs="Arial"/>
        </w:rPr>
        <w:t xml:space="preserve"> and IIIs in RA.</w:t>
      </w:r>
    </w:p>
    <w:p w14:paraId="3CC48C1C" w14:textId="1C78DD14" w:rsidR="003C0008" w:rsidRPr="003C0008" w:rsidRDefault="003C0008" w:rsidP="003C0008">
      <w:pPr>
        <w:pStyle w:val="ListParagraph0"/>
        <w:numPr>
          <w:ilvl w:val="0"/>
          <w:numId w:val="13"/>
        </w:numPr>
        <w:spacing w:line="240" w:lineRule="auto"/>
        <w:contextualSpacing/>
        <w:jc w:val="both"/>
        <w:rPr>
          <w:rFonts w:ascii="Arial" w:hAnsi="Arial" w:cs="Arial"/>
        </w:rPr>
      </w:pPr>
      <w:r w:rsidRPr="003C0008">
        <w:rPr>
          <w:rFonts w:ascii="Arial" w:hAnsi="Arial" w:cs="Arial"/>
        </w:rPr>
        <w:lastRenderedPageBreak/>
        <w:t>Reduc</w:t>
      </w:r>
      <w:r w:rsidR="00FF3B62">
        <w:rPr>
          <w:rFonts w:ascii="Arial" w:hAnsi="Arial" w:cs="Arial"/>
        </w:rPr>
        <w:t>e</w:t>
      </w:r>
      <w:r w:rsidRPr="003C0008">
        <w:rPr>
          <w:rFonts w:ascii="Arial" w:hAnsi="Arial" w:cs="Arial"/>
        </w:rPr>
        <w:t xml:space="preserve"> </w:t>
      </w:r>
      <w:r w:rsidR="00FF3B62">
        <w:rPr>
          <w:rFonts w:ascii="Arial" w:hAnsi="Arial" w:cs="Arial"/>
        </w:rPr>
        <w:t xml:space="preserve">event size and frequency for </w:t>
      </w:r>
      <w:r w:rsidRPr="003C0008">
        <w:rPr>
          <w:rFonts w:ascii="Arial" w:hAnsi="Arial" w:cs="Arial"/>
        </w:rPr>
        <w:t>WBD II</w:t>
      </w:r>
      <w:r w:rsidR="00FF3B62">
        <w:rPr>
          <w:rFonts w:ascii="Arial" w:hAnsi="Arial" w:cs="Arial"/>
        </w:rPr>
        <w:t>s and</w:t>
      </w:r>
      <w:r w:rsidR="0083235F">
        <w:rPr>
          <w:rFonts w:ascii="Arial" w:hAnsi="Arial" w:cs="Arial"/>
        </w:rPr>
        <w:t xml:space="preserve"> </w:t>
      </w:r>
      <w:r w:rsidRPr="003C0008">
        <w:rPr>
          <w:rFonts w:ascii="Arial" w:hAnsi="Arial" w:cs="Arial"/>
        </w:rPr>
        <w:t>III</w:t>
      </w:r>
      <w:r w:rsidR="00FF3B62">
        <w:rPr>
          <w:rFonts w:ascii="Arial" w:hAnsi="Arial" w:cs="Arial"/>
        </w:rPr>
        <w:t>s</w:t>
      </w:r>
      <w:r w:rsidRPr="003C0008">
        <w:rPr>
          <w:rFonts w:ascii="Arial" w:hAnsi="Arial" w:cs="Arial"/>
        </w:rPr>
        <w:t xml:space="preserve"> in RA zone </w:t>
      </w:r>
      <w:r w:rsidR="00FF3B62">
        <w:rPr>
          <w:rFonts w:ascii="Arial" w:hAnsi="Arial" w:cs="Arial"/>
        </w:rPr>
        <w:t>to</w:t>
      </w:r>
      <w:r w:rsidRPr="003C0008">
        <w:rPr>
          <w:rFonts w:ascii="Arial" w:hAnsi="Arial" w:cs="Arial"/>
        </w:rPr>
        <w:t xml:space="preserve"> 1</w:t>
      </w:r>
      <w:r w:rsidR="00A20B2E">
        <w:rPr>
          <w:rFonts w:ascii="Arial" w:hAnsi="Arial" w:cs="Arial"/>
        </w:rPr>
        <w:t xml:space="preserve"> event</w:t>
      </w:r>
      <w:r w:rsidRPr="003C0008">
        <w:rPr>
          <w:rFonts w:ascii="Arial" w:hAnsi="Arial" w:cs="Arial"/>
        </w:rPr>
        <w:t>/month, 75 guests max</w:t>
      </w:r>
      <w:r w:rsidR="002E2ECF">
        <w:rPr>
          <w:rFonts w:ascii="Arial" w:hAnsi="Arial" w:cs="Arial"/>
        </w:rPr>
        <w:t>imum</w:t>
      </w:r>
      <w:r w:rsidRPr="003C0008">
        <w:rPr>
          <w:rFonts w:ascii="Arial" w:hAnsi="Arial" w:cs="Arial"/>
        </w:rPr>
        <w:t xml:space="preserve"> for</w:t>
      </w:r>
      <w:r w:rsidR="002E2ECF">
        <w:rPr>
          <w:rFonts w:ascii="Arial" w:hAnsi="Arial" w:cs="Arial"/>
        </w:rPr>
        <w:t xml:space="preserve"> WBD</w:t>
      </w:r>
      <w:r w:rsidRPr="003C0008">
        <w:rPr>
          <w:rFonts w:ascii="Arial" w:hAnsi="Arial" w:cs="Arial"/>
        </w:rPr>
        <w:t xml:space="preserve"> IIs, 125 guests max</w:t>
      </w:r>
      <w:r w:rsidR="002E2ECF">
        <w:rPr>
          <w:rFonts w:ascii="Arial" w:hAnsi="Arial" w:cs="Arial"/>
        </w:rPr>
        <w:t>imum</w:t>
      </w:r>
      <w:r w:rsidRPr="003C0008">
        <w:rPr>
          <w:rFonts w:ascii="Arial" w:hAnsi="Arial" w:cs="Arial"/>
        </w:rPr>
        <w:t xml:space="preserve"> for</w:t>
      </w:r>
      <w:r w:rsidR="002E2ECF">
        <w:rPr>
          <w:rFonts w:ascii="Arial" w:hAnsi="Arial" w:cs="Arial"/>
        </w:rPr>
        <w:t xml:space="preserve"> WBD</w:t>
      </w:r>
      <w:r w:rsidRPr="003C0008">
        <w:rPr>
          <w:rFonts w:ascii="Arial" w:hAnsi="Arial" w:cs="Arial"/>
        </w:rPr>
        <w:t xml:space="preserve"> IIIs.</w:t>
      </w:r>
      <w:r w:rsidRPr="003C0008">
        <w:rPr>
          <w:rFonts w:ascii="Arial" w:hAnsi="Arial" w:cs="Arial"/>
          <w:color w:val="FF0000"/>
        </w:rPr>
        <w:t xml:space="preserve"> </w:t>
      </w:r>
    </w:p>
    <w:p w14:paraId="5B3FD188" w14:textId="0DCEAFA5" w:rsidR="003C0008" w:rsidRPr="003C0008" w:rsidRDefault="0089463A" w:rsidP="003C0008">
      <w:pPr>
        <w:pStyle w:val="ListParagraph0"/>
        <w:numPr>
          <w:ilvl w:val="0"/>
          <w:numId w:val="13"/>
        </w:numPr>
        <w:spacing w:line="240" w:lineRule="auto"/>
        <w:contextualSpacing/>
        <w:jc w:val="both"/>
        <w:rPr>
          <w:rFonts w:ascii="Arial" w:hAnsi="Arial" w:cs="Arial"/>
        </w:rPr>
      </w:pPr>
      <w:r>
        <w:rPr>
          <w:rFonts w:ascii="Arial" w:hAnsi="Arial" w:cs="Arial"/>
        </w:rPr>
        <w:t>Allow for functions</w:t>
      </w:r>
      <w:r w:rsidR="00FF3B62">
        <w:rPr>
          <w:rFonts w:ascii="Arial" w:hAnsi="Arial" w:cs="Arial"/>
        </w:rPr>
        <w:t xml:space="preserve"> that are</w:t>
      </w:r>
      <w:r w:rsidR="003C0008" w:rsidRPr="003C0008">
        <w:rPr>
          <w:rFonts w:ascii="Arial" w:hAnsi="Arial" w:cs="Arial"/>
        </w:rPr>
        <w:t xml:space="preserve"> related to the production of </w:t>
      </w:r>
      <w:r>
        <w:rPr>
          <w:rFonts w:ascii="Arial" w:hAnsi="Arial" w:cs="Arial"/>
        </w:rPr>
        <w:t>WBDs</w:t>
      </w:r>
      <w:r w:rsidR="003C0008" w:rsidRPr="003C0008">
        <w:rPr>
          <w:rFonts w:ascii="Arial" w:hAnsi="Arial" w:cs="Arial"/>
        </w:rPr>
        <w:t xml:space="preserve"> (</w:t>
      </w:r>
      <w:proofErr w:type="gramStart"/>
      <w:r w:rsidR="003C0008" w:rsidRPr="003C0008">
        <w:rPr>
          <w:rFonts w:ascii="Arial" w:hAnsi="Arial" w:cs="Arial"/>
        </w:rPr>
        <w:t>i.e.</w:t>
      </w:r>
      <w:proofErr w:type="gramEnd"/>
      <w:r w:rsidR="003C0008" w:rsidRPr="003C0008">
        <w:rPr>
          <w:rFonts w:ascii="Arial" w:hAnsi="Arial" w:cs="Arial"/>
        </w:rPr>
        <w:t xml:space="preserve"> tours, paint and sips, private tastings, bottle release, etc.). </w:t>
      </w:r>
      <w:r>
        <w:rPr>
          <w:rFonts w:ascii="Arial" w:hAnsi="Arial" w:cs="Arial"/>
        </w:rPr>
        <w:t xml:space="preserve">Add restrictions for functions and events by prohibiting those </w:t>
      </w:r>
      <w:r w:rsidR="003C0008" w:rsidRPr="003C0008">
        <w:rPr>
          <w:rFonts w:ascii="Arial" w:hAnsi="Arial" w:cs="Arial"/>
        </w:rPr>
        <w:t xml:space="preserve">that require portable toilets, stages, require traffic </w:t>
      </w:r>
      <w:r>
        <w:rPr>
          <w:rFonts w:ascii="Arial" w:hAnsi="Arial" w:cs="Arial"/>
        </w:rPr>
        <w:t>control, or use on-site parking that exceeds the maximum allowed</w:t>
      </w:r>
      <w:r w:rsidR="003C0008" w:rsidRPr="003C0008">
        <w:rPr>
          <w:rFonts w:ascii="Arial" w:hAnsi="Arial" w:cs="Arial"/>
        </w:rPr>
        <w:t>.</w:t>
      </w:r>
      <w:r>
        <w:rPr>
          <w:rFonts w:ascii="Arial" w:hAnsi="Arial" w:cs="Arial"/>
        </w:rPr>
        <w:t xml:space="preserve"> Requires a temporary use permit for any event that exceeds the permitted building occupancy, uses off-site parking, uses tents or canopies, or extend beyond the hours of operation.</w:t>
      </w:r>
    </w:p>
    <w:p w14:paraId="3A56338F" w14:textId="77777777" w:rsidR="003C0008" w:rsidRPr="003C0008" w:rsidRDefault="003C0008" w:rsidP="003C0008">
      <w:pPr>
        <w:jc w:val="both"/>
        <w:rPr>
          <w:rFonts w:ascii="Arial" w:hAnsi="Arial" w:cs="Arial"/>
          <w:szCs w:val="24"/>
          <w:u w:val="single"/>
        </w:rPr>
      </w:pPr>
    </w:p>
    <w:p w14:paraId="1804D708" w14:textId="433880F4" w:rsidR="003C0008" w:rsidRPr="003C0008" w:rsidRDefault="003C0008" w:rsidP="00BB7D80">
      <w:pPr>
        <w:keepNext/>
        <w:keepLines/>
        <w:jc w:val="both"/>
        <w:rPr>
          <w:rFonts w:ascii="Arial" w:hAnsi="Arial" w:cs="Arial"/>
          <w:szCs w:val="24"/>
          <w:u w:val="single"/>
        </w:rPr>
      </w:pPr>
      <w:r w:rsidRPr="004420A6">
        <w:rPr>
          <w:rFonts w:ascii="Arial" w:hAnsi="Arial" w:cs="Arial"/>
          <w:i/>
          <w:iCs/>
          <w:szCs w:val="24"/>
        </w:rPr>
        <w:t>Other changes</w:t>
      </w:r>
      <w:r w:rsidR="004420A6" w:rsidRPr="004420A6">
        <w:rPr>
          <w:rFonts w:ascii="Arial" w:hAnsi="Arial" w:cs="Arial"/>
          <w:i/>
          <w:iCs/>
          <w:szCs w:val="24"/>
        </w:rPr>
        <w:t>.</w:t>
      </w:r>
      <w:r w:rsidR="004420A6" w:rsidRPr="004420A6">
        <w:rPr>
          <w:rFonts w:ascii="Arial" w:hAnsi="Arial" w:cs="Arial"/>
          <w:szCs w:val="24"/>
        </w:rPr>
        <w:t xml:space="preserve">  Proposed Ordinance 2022-01</w:t>
      </w:r>
      <w:r w:rsidR="00965A1E">
        <w:rPr>
          <w:rFonts w:ascii="Arial" w:hAnsi="Arial" w:cs="Arial"/>
          <w:szCs w:val="24"/>
        </w:rPr>
        <w:t>47</w:t>
      </w:r>
      <w:r w:rsidR="004420A6" w:rsidRPr="004420A6">
        <w:rPr>
          <w:rFonts w:ascii="Arial" w:hAnsi="Arial" w:cs="Arial"/>
          <w:szCs w:val="24"/>
        </w:rPr>
        <w:t xml:space="preserve"> would </w:t>
      </w:r>
      <w:r w:rsidR="004420A6">
        <w:rPr>
          <w:rFonts w:ascii="Arial" w:hAnsi="Arial" w:cs="Arial"/>
          <w:szCs w:val="24"/>
        </w:rPr>
        <w:t>make these additional changes:</w:t>
      </w:r>
    </w:p>
    <w:p w14:paraId="52CF6A71" w14:textId="6EC5FAC4" w:rsidR="004420A6" w:rsidRPr="003C0008" w:rsidRDefault="004420A6" w:rsidP="00BB7D80">
      <w:pPr>
        <w:pStyle w:val="ListParagraph0"/>
        <w:keepNext/>
        <w:keepLines/>
        <w:numPr>
          <w:ilvl w:val="0"/>
          <w:numId w:val="10"/>
        </w:numPr>
        <w:spacing w:line="240" w:lineRule="auto"/>
        <w:contextualSpacing/>
        <w:jc w:val="both"/>
        <w:rPr>
          <w:rFonts w:ascii="Arial" w:hAnsi="Arial" w:cs="Arial"/>
        </w:rPr>
      </w:pPr>
      <w:r w:rsidRPr="003C0008">
        <w:rPr>
          <w:rFonts w:ascii="Arial" w:hAnsi="Arial" w:cs="Arial"/>
        </w:rPr>
        <w:t xml:space="preserve">Move all requirements for WBDs to </w:t>
      </w:r>
      <w:r w:rsidR="002E2ECF">
        <w:rPr>
          <w:rFonts w:ascii="Arial" w:hAnsi="Arial" w:cs="Arial"/>
        </w:rPr>
        <w:t>a new chapter</w:t>
      </w:r>
      <w:r w:rsidRPr="003C0008">
        <w:rPr>
          <w:rFonts w:ascii="Arial" w:hAnsi="Arial" w:cs="Arial"/>
        </w:rPr>
        <w:t xml:space="preserve">. </w:t>
      </w:r>
    </w:p>
    <w:p w14:paraId="0CBA1ED5" w14:textId="1E7D10AC" w:rsidR="003C0008" w:rsidRPr="003C0008" w:rsidRDefault="003C0008" w:rsidP="003C0008">
      <w:pPr>
        <w:pStyle w:val="ListParagraph0"/>
        <w:numPr>
          <w:ilvl w:val="0"/>
          <w:numId w:val="10"/>
        </w:numPr>
        <w:spacing w:line="240" w:lineRule="auto"/>
        <w:contextualSpacing/>
        <w:jc w:val="both"/>
        <w:rPr>
          <w:rFonts w:ascii="Arial" w:hAnsi="Arial" w:cs="Arial"/>
        </w:rPr>
      </w:pPr>
      <w:r w:rsidRPr="003C0008">
        <w:rPr>
          <w:rFonts w:ascii="Arial" w:hAnsi="Arial" w:cs="Arial"/>
        </w:rPr>
        <w:t>Remove reference to state law for retail/tasting for commercial zones</w:t>
      </w:r>
      <w:r w:rsidR="00FF3B62">
        <w:rPr>
          <w:rFonts w:ascii="Arial" w:hAnsi="Arial" w:cs="Arial"/>
        </w:rPr>
        <w:t xml:space="preserve"> in all unincorporated areas</w:t>
      </w:r>
      <w:r w:rsidRPr="003C0008">
        <w:rPr>
          <w:rFonts w:ascii="Arial" w:hAnsi="Arial" w:cs="Arial"/>
        </w:rPr>
        <w:t>.</w:t>
      </w:r>
    </w:p>
    <w:p w14:paraId="5B3D8B72" w14:textId="77777777" w:rsidR="003C0008" w:rsidRPr="003C0008" w:rsidRDefault="003C0008" w:rsidP="003C0008">
      <w:pPr>
        <w:pStyle w:val="ListParagraph0"/>
        <w:numPr>
          <w:ilvl w:val="0"/>
          <w:numId w:val="10"/>
        </w:numPr>
        <w:spacing w:line="240" w:lineRule="auto"/>
        <w:contextualSpacing/>
        <w:jc w:val="both"/>
        <w:rPr>
          <w:rFonts w:ascii="Arial" w:hAnsi="Arial" w:cs="Arial"/>
        </w:rPr>
      </w:pPr>
      <w:r w:rsidRPr="003C0008">
        <w:rPr>
          <w:rFonts w:ascii="Arial" w:hAnsi="Arial" w:cs="Arial"/>
        </w:rPr>
        <w:t>Remove compliance period from business licenses.</w:t>
      </w:r>
    </w:p>
    <w:p w14:paraId="631B8BD9" w14:textId="549F3163" w:rsidR="003C0008" w:rsidRPr="003C0008" w:rsidRDefault="003C0008" w:rsidP="003C0008">
      <w:pPr>
        <w:pStyle w:val="ListParagraph0"/>
        <w:numPr>
          <w:ilvl w:val="0"/>
          <w:numId w:val="10"/>
        </w:numPr>
        <w:tabs>
          <w:tab w:val="left" w:pos="2520"/>
        </w:tabs>
        <w:spacing w:line="240" w:lineRule="auto"/>
        <w:contextualSpacing/>
        <w:jc w:val="both"/>
        <w:rPr>
          <w:rFonts w:ascii="Arial" w:hAnsi="Arial" w:cs="Arial"/>
        </w:rPr>
      </w:pPr>
      <w:r w:rsidRPr="003C0008">
        <w:rPr>
          <w:rFonts w:ascii="Arial" w:hAnsi="Arial" w:cs="Arial"/>
        </w:rPr>
        <w:t xml:space="preserve">Modify language regarding documentation of nonconforming status, </w:t>
      </w:r>
      <w:proofErr w:type="gramStart"/>
      <w:r w:rsidRPr="003C0008">
        <w:rPr>
          <w:rFonts w:ascii="Arial" w:hAnsi="Arial" w:cs="Arial"/>
        </w:rPr>
        <w:t>in order to</w:t>
      </w:r>
      <w:proofErr w:type="gramEnd"/>
      <w:r w:rsidRPr="003C0008">
        <w:rPr>
          <w:rFonts w:ascii="Arial" w:hAnsi="Arial" w:cs="Arial"/>
        </w:rPr>
        <w:t xml:space="preserve"> clarify what </w:t>
      </w:r>
      <w:r w:rsidR="00F0581C">
        <w:rPr>
          <w:rFonts w:ascii="Arial" w:hAnsi="Arial" w:cs="Arial"/>
        </w:rPr>
        <w:t>would</w:t>
      </w:r>
      <w:r>
        <w:rPr>
          <w:rFonts w:ascii="Arial" w:hAnsi="Arial" w:cs="Arial"/>
        </w:rPr>
        <w:t xml:space="preserve"> be considered</w:t>
      </w:r>
      <w:r w:rsidRPr="003C0008">
        <w:rPr>
          <w:rFonts w:ascii="Arial" w:hAnsi="Arial" w:cs="Arial"/>
        </w:rPr>
        <w:t xml:space="preserve"> a legal nonconforming use. </w:t>
      </w:r>
    </w:p>
    <w:p w14:paraId="32D0F234" w14:textId="3EF54876" w:rsidR="003C0008" w:rsidRPr="003C0008" w:rsidRDefault="003C0008" w:rsidP="003C0008">
      <w:pPr>
        <w:pStyle w:val="ListParagraph0"/>
        <w:numPr>
          <w:ilvl w:val="0"/>
          <w:numId w:val="10"/>
        </w:numPr>
        <w:spacing w:line="240" w:lineRule="auto"/>
        <w:contextualSpacing/>
        <w:jc w:val="both"/>
        <w:rPr>
          <w:rFonts w:ascii="Arial" w:hAnsi="Arial" w:cs="Arial"/>
        </w:rPr>
      </w:pPr>
      <w:r w:rsidRPr="003C0008">
        <w:rPr>
          <w:rFonts w:ascii="Arial" w:hAnsi="Arial" w:cs="Arial"/>
        </w:rPr>
        <w:t xml:space="preserve">Modify definitions and development conditions to remove </w:t>
      </w:r>
      <w:r w:rsidR="004420A6">
        <w:rPr>
          <w:rFonts w:ascii="Arial" w:hAnsi="Arial" w:cs="Arial"/>
        </w:rPr>
        <w:t xml:space="preserve">general </w:t>
      </w:r>
      <w:r w:rsidRPr="003C0008">
        <w:rPr>
          <w:rFonts w:ascii="Arial" w:hAnsi="Arial" w:cs="Arial"/>
        </w:rPr>
        <w:t>references to state law</w:t>
      </w:r>
      <w:r w:rsidR="004420A6">
        <w:rPr>
          <w:rFonts w:ascii="Arial" w:hAnsi="Arial" w:cs="Arial"/>
        </w:rPr>
        <w:t xml:space="preserve"> regarding on-site tasting and retail sales</w:t>
      </w:r>
      <w:r w:rsidRPr="003C0008">
        <w:rPr>
          <w:rFonts w:ascii="Arial" w:hAnsi="Arial" w:cs="Arial"/>
        </w:rPr>
        <w:t>.</w:t>
      </w:r>
      <w:r w:rsidRPr="003C0008">
        <w:rPr>
          <w:rFonts w:ascii="Arial" w:hAnsi="Arial" w:cs="Arial"/>
          <w:color w:val="FF0000"/>
        </w:rPr>
        <w:t xml:space="preserve"> </w:t>
      </w:r>
    </w:p>
    <w:p w14:paraId="14E87DB9" w14:textId="77777777" w:rsidR="003C0008" w:rsidRPr="003C0008" w:rsidRDefault="003C0008" w:rsidP="003C0008">
      <w:pPr>
        <w:pStyle w:val="ListParagraph0"/>
        <w:numPr>
          <w:ilvl w:val="0"/>
          <w:numId w:val="10"/>
        </w:numPr>
        <w:spacing w:line="240" w:lineRule="auto"/>
        <w:contextualSpacing/>
        <w:jc w:val="both"/>
        <w:rPr>
          <w:rFonts w:ascii="Arial" w:hAnsi="Arial" w:cs="Arial"/>
        </w:rPr>
      </w:pPr>
      <w:r w:rsidRPr="003C0008">
        <w:rPr>
          <w:rFonts w:ascii="Arial" w:hAnsi="Arial" w:cs="Arial"/>
        </w:rPr>
        <w:t>Remove efficacy evaluation, which asked for the Executive to track implementation of the regulations and report back on how permitting and code enforcement of 19030 occurred, and asked for specific recommendations on citations, parking requirements, hours of operation, temporary use permit triggers, product content requirements in the A zone, and the agricultural accessory use language.</w:t>
      </w:r>
    </w:p>
    <w:p w14:paraId="362BEAF7" w14:textId="62E9B6A0" w:rsidR="003C0008" w:rsidRPr="003C0008" w:rsidRDefault="003C0008" w:rsidP="003C0008">
      <w:pPr>
        <w:pStyle w:val="ListParagraph0"/>
        <w:numPr>
          <w:ilvl w:val="0"/>
          <w:numId w:val="10"/>
        </w:numPr>
        <w:spacing w:line="240" w:lineRule="auto"/>
        <w:contextualSpacing/>
        <w:jc w:val="both"/>
        <w:rPr>
          <w:rFonts w:ascii="Arial" w:hAnsi="Arial" w:cs="Arial"/>
        </w:rPr>
      </w:pPr>
      <w:r w:rsidRPr="003C0008">
        <w:rPr>
          <w:rFonts w:ascii="Arial" w:hAnsi="Arial" w:cs="Arial"/>
        </w:rPr>
        <w:t>Restrict issuance of the initial business license until all required building or change of use permits are issued.  Allow for one initial license without a building permit, issued for a maximum of 6 months, for existing businesses.</w:t>
      </w:r>
    </w:p>
    <w:p w14:paraId="4DE1C784" w14:textId="28BBE906" w:rsidR="003C0008" w:rsidRPr="003C0008" w:rsidRDefault="003C0008" w:rsidP="003C0008">
      <w:pPr>
        <w:pStyle w:val="ListParagraph0"/>
        <w:numPr>
          <w:ilvl w:val="0"/>
          <w:numId w:val="10"/>
        </w:numPr>
        <w:spacing w:line="240" w:lineRule="auto"/>
        <w:contextualSpacing/>
        <w:jc w:val="both"/>
        <w:rPr>
          <w:rFonts w:ascii="Arial" w:hAnsi="Arial" w:cs="Arial"/>
        </w:rPr>
      </w:pPr>
      <w:r w:rsidRPr="003C0008">
        <w:rPr>
          <w:rFonts w:ascii="Arial" w:hAnsi="Arial" w:cs="Arial"/>
        </w:rPr>
        <w:t>Change the name of the business license from “</w:t>
      </w:r>
      <w:proofErr w:type="gramStart"/>
      <w:r w:rsidRPr="003C0008">
        <w:rPr>
          <w:rFonts w:ascii="Arial" w:hAnsi="Arial" w:cs="Arial"/>
        </w:rPr>
        <w:t>adult beverage</w:t>
      </w:r>
      <w:proofErr w:type="gramEnd"/>
      <w:r w:rsidRPr="003C0008">
        <w:rPr>
          <w:rFonts w:ascii="Arial" w:hAnsi="Arial" w:cs="Arial"/>
        </w:rPr>
        <w:t xml:space="preserve"> business license” to “WBD land use</w:t>
      </w:r>
      <w:r w:rsidR="002E2ECF">
        <w:rPr>
          <w:rFonts w:ascii="Arial" w:hAnsi="Arial" w:cs="Arial"/>
        </w:rPr>
        <w:t xml:space="preserve"> business</w:t>
      </w:r>
      <w:r w:rsidRPr="003C0008">
        <w:rPr>
          <w:rFonts w:ascii="Arial" w:hAnsi="Arial" w:cs="Arial"/>
        </w:rPr>
        <w:t xml:space="preserve"> license.” </w:t>
      </w:r>
      <w:bookmarkStart w:id="1" w:name="_Hlk98150468"/>
      <w:r w:rsidRPr="003C0008">
        <w:rPr>
          <w:rFonts w:ascii="Arial" w:hAnsi="Arial" w:cs="Arial"/>
        </w:rPr>
        <w:t xml:space="preserve">Add statement that business license is to assist in enforcement of the </w:t>
      </w:r>
      <w:r w:rsidR="00FF3B62">
        <w:rPr>
          <w:rFonts w:ascii="Arial" w:hAnsi="Arial" w:cs="Arial"/>
        </w:rPr>
        <w:t>C</w:t>
      </w:r>
      <w:r w:rsidRPr="003C0008">
        <w:rPr>
          <w:rFonts w:ascii="Arial" w:hAnsi="Arial" w:cs="Arial"/>
        </w:rPr>
        <w:t>ounty's land use regulations.</w:t>
      </w:r>
      <w:bookmarkEnd w:id="1"/>
    </w:p>
    <w:p w14:paraId="32578D24" w14:textId="77777777" w:rsidR="003C0008" w:rsidRDefault="003C0008" w:rsidP="005B478C">
      <w:pPr>
        <w:jc w:val="both"/>
        <w:rPr>
          <w:rFonts w:ascii="Arial" w:hAnsi="Arial" w:cs="Arial"/>
        </w:rPr>
      </w:pPr>
    </w:p>
    <w:p w14:paraId="42708A8E" w14:textId="6DFB3926" w:rsidR="00EC5D44" w:rsidRDefault="00EC5D44" w:rsidP="004420A6">
      <w:pPr>
        <w:jc w:val="both"/>
        <w:rPr>
          <w:rFonts w:ascii="Arial" w:hAnsi="Arial" w:cs="Arial"/>
          <w:b/>
          <w:bCs/>
          <w:szCs w:val="24"/>
        </w:rPr>
      </w:pPr>
      <w:r w:rsidRPr="004420A6">
        <w:rPr>
          <w:rFonts w:ascii="Arial" w:hAnsi="Arial" w:cs="Arial"/>
          <w:i/>
          <w:iCs/>
        </w:rPr>
        <w:t xml:space="preserve">SEPA review for Ordinance </w:t>
      </w:r>
      <w:r>
        <w:rPr>
          <w:rFonts w:ascii="Arial" w:hAnsi="Arial" w:cs="Arial"/>
          <w:i/>
          <w:iCs/>
        </w:rPr>
        <w:t>1</w:t>
      </w:r>
      <w:r w:rsidRPr="004420A6">
        <w:rPr>
          <w:rFonts w:ascii="Arial" w:hAnsi="Arial" w:cs="Arial"/>
          <w:i/>
          <w:iCs/>
        </w:rPr>
        <w:t>.</w:t>
      </w:r>
      <w:r>
        <w:rPr>
          <w:rFonts w:ascii="Arial" w:hAnsi="Arial" w:cs="Arial"/>
        </w:rPr>
        <w:t xml:space="preserve"> </w:t>
      </w:r>
      <w:r w:rsidRPr="004420A6">
        <w:rPr>
          <w:rFonts w:ascii="Arial" w:hAnsi="Arial" w:cs="Arial"/>
          <w:szCs w:val="24"/>
        </w:rPr>
        <w:t xml:space="preserve">The changes </w:t>
      </w:r>
      <w:r>
        <w:rPr>
          <w:rFonts w:ascii="Arial" w:hAnsi="Arial" w:cs="Arial"/>
          <w:szCs w:val="24"/>
        </w:rPr>
        <w:t>in Proposed Ordinance 2022-01</w:t>
      </w:r>
      <w:r w:rsidR="00965A1E">
        <w:rPr>
          <w:rFonts w:ascii="Arial" w:hAnsi="Arial" w:cs="Arial"/>
          <w:szCs w:val="24"/>
        </w:rPr>
        <w:t>47</w:t>
      </w:r>
      <w:r>
        <w:rPr>
          <w:rFonts w:ascii="Arial" w:hAnsi="Arial" w:cs="Arial"/>
          <w:szCs w:val="24"/>
        </w:rPr>
        <w:t xml:space="preserve"> are not anticipated to </w:t>
      </w:r>
      <w:r w:rsidRPr="004420A6">
        <w:rPr>
          <w:rFonts w:ascii="Arial" w:hAnsi="Arial" w:cs="Arial"/>
          <w:szCs w:val="24"/>
        </w:rPr>
        <w:t>require additional SEPA analysis, as they were contemplated in the November 2020 updated SEPA checklist and subsequent SEPA Threshold Determination</w:t>
      </w:r>
      <w:r>
        <w:rPr>
          <w:rFonts w:ascii="Arial" w:hAnsi="Arial" w:cs="Arial"/>
          <w:szCs w:val="24"/>
        </w:rPr>
        <w:t xml:space="preserve"> of Nonsignificance issued in January 2021</w:t>
      </w:r>
      <w:r w:rsidRPr="004420A6">
        <w:rPr>
          <w:rFonts w:ascii="Arial" w:hAnsi="Arial" w:cs="Arial"/>
          <w:szCs w:val="24"/>
        </w:rPr>
        <w:t xml:space="preserve">.   </w:t>
      </w:r>
      <w:r>
        <w:rPr>
          <w:rFonts w:ascii="Arial" w:hAnsi="Arial" w:cs="Arial"/>
          <w:szCs w:val="24"/>
        </w:rPr>
        <w:t xml:space="preserve">The SEPA Responsible Official </w:t>
      </w:r>
      <w:r w:rsidR="00F0581C">
        <w:rPr>
          <w:rFonts w:ascii="Arial" w:hAnsi="Arial" w:cs="Arial"/>
          <w:szCs w:val="24"/>
        </w:rPr>
        <w:t>would</w:t>
      </w:r>
      <w:r>
        <w:rPr>
          <w:rFonts w:ascii="Arial" w:hAnsi="Arial" w:cs="Arial"/>
          <w:szCs w:val="24"/>
        </w:rPr>
        <w:t xml:space="preserve"> need to finalize the SEPA review process based on the public comments received on the January 2021 threshold determination, prior to the full Council </w:t>
      </w:r>
      <w:proofErr w:type="gramStart"/>
      <w:r>
        <w:rPr>
          <w:rFonts w:ascii="Arial" w:hAnsi="Arial" w:cs="Arial"/>
          <w:szCs w:val="24"/>
        </w:rPr>
        <w:t>taking action</w:t>
      </w:r>
      <w:proofErr w:type="gramEnd"/>
      <w:r>
        <w:rPr>
          <w:rFonts w:ascii="Arial" w:hAnsi="Arial" w:cs="Arial"/>
          <w:szCs w:val="24"/>
        </w:rPr>
        <w:t xml:space="preserve"> on the Proposed Ordinance.</w:t>
      </w:r>
    </w:p>
    <w:p w14:paraId="403F8065" w14:textId="77777777" w:rsidR="00EC5D44" w:rsidRDefault="00EC5D44" w:rsidP="004420A6">
      <w:pPr>
        <w:jc w:val="both"/>
        <w:rPr>
          <w:rFonts w:ascii="Arial" w:hAnsi="Arial" w:cs="Arial"/>
          <w:b/>
          <w:bCs/>
          <w:szCs w:val="24"/>
        </w:rPr>
      </w:pPr>
    </w:p>
    <w:p w14:paraId="69A3E0B9" w14:textId="067945C9" w:rsidR="004420A6" w:rsidRPr="004420A6" w:rsidRDefault="004420A6" w:rsidP="004420A6">
      <w:pPr>
        <w:jc w:val="both"/>
        <w:rPr>
          <w:rFonts w:ascii="Arial" w:hAnsi="Arial" w:cs="Arial"/>
          <w:szCs w:val="24"/>
        </w:rPr>
      </w:pPr>
      <w:r w:rsidRPr="004420A6">
        <w:rPr>
          <w:rFonts w:ascii="Arial" w:hAnsi="Arial" w:cs="Arial"/>
          <w:b/>
          <w:bCs/>
          <w:szCs w:val="24"/>
        </w:rPr>
        <w:t>Proposed Ordinance 2022-01</w:t>
      </w:r>
      <w:r w:rsidR="00965A1E">
        <w:rPr>
          <w:rFonts w:ascii="Arial" w:hAnsi="Arial" w:cs="Arial"/>
          <w:b/>
          <w:bCs/>
          <w:szCs w:val="24"/>
        </w:rPr>
        <w:t>48</w:t>
      </w:r>
      <w:r w:rsidRPr="004420A6">
        <w:rPr>
          <w:rFonts w:ascii="Arial" w:hAnsi="Arial" w:cs="Arial"/>
          <w:b/>
          <w:bCs/>
          <w:szCs w:val="24"/>
        </w:rPr>
        <w:t xml:space="preserve"> (Ordinance 2) Summary.</w:t>
      </w:r>
      <w:r w:rsidRPr="004420A6">
        <w:rPr>
          <w:rFonts w:ascii="Arial" w:hAnsi="Arial" w:cs="Arial"/>
          <w:szCs w:val="24"/>
        </w:rPr>
        <w:t xml:space="preserve">  Proposed Ordinance 2022-01</w:t>
      </w:r>
      <w:r w:rsidR="00965A1E">
        <w:rPr>
          <w:rFonts w:ascii="Arial" w:hAnsi="Arial" w:cs="Arial"/>
          <w:szCs w:val="24"/>
        </w:rPr>
        <w:t>48</w:t>
      </w:r>
      <w:r w:rsidRPr="004420A6">
        <w:rPr>
          <w:rFonts w:ascii="Arial" w:hAnsi="Arial" w:cs="Arial"/>
          <w:szCs w:val="24"/>
        </w:rPr>
        <w:t xml:space="preserve"> would</w:t>
      </w:r>
      <w:r w:rsidR="00FF3B62">
        <w:rPr>
          <w:rFonts w:ascii="Arial" w:hAnsi="Arial" w:cs="Arial"/>
          <w:szCs w:val="24"/>
        </w:rPr>
        <w:t xml:space="preserve"> </w:t>
      </w:r>
      <w:r w:rsidR="00965A1E">
        <w:rPr>
          <w:rFonts w:ascii="Arial" w:hAnsi="Arial" w:cs="Arial"/>
          <w:szCs w:val="24"/>
        </w:rPr>
        <w:t xml:space="preserve">amend </w:t>
      </w:r>
      <w:r w:rsidR="00FF3B62">
        <w:rPr>
          <w:rFonts w:ascii="Arial" w:hAnsi="Arial" w:cs="Arial"/>
          <w:szCs w:val="24"/>
        </w:rPr>
        <w:t xml:space="preserve">the regulations </w:t>
      </w:r>
      <w:r w:rsidR="00965A1E">
        <w:rPr>
          <w:rFonts w:ascii="Arial" w:hAnsi="Arial" w:cs="Arial"/>
          <w:szCs w:val="24"/>
        </w:rPr>
        <w:t>in</w:t>
      </w:r>
      <w:r w:rsidR="00FF3B62">
        <w:rPr>
          <w:rFonts w:ascii="Arial" w:hAnsi="Arial" w:cs="Arial"/>
          <w:szCs w:val="24"/>
        </w:rPr>
        <w:t xml:space="preserve"> 2021-01</w:t>
      </w:r>
      <w:r w:rsidR="00965A1E">
        <w:rPr>
          <w:rFonts w:ascii="Arial" w:hAnsi="Arial" w:cs="Arial"/>
          <w:szCs w:val="24"/>
        </w:rPr>
        <w:t>47</w:t>
      </w:r>
      <w:r w:rsidR="00FF3B62">
        <w:rPr>
          <w:rFonts w:ascii="Arial" w:hAnsi="Arial" w:cs="Arial"/>
          <w:szCs w:val="24"/>
        </w:rPr>
        <w:t xml:space="preserve"> (Ordinance 1), with additional</w:t>
      </w:r>
      <w:r w:rsidRPr="004420A6">
        <w:rPr>
          <w:rFonts w:ascii="Arial" w:hAnsi="Arial" w:cs="Arial"/>
          <w:szCs w:val="24"/>
        </w:rPr>
        <w:t xml:space="preserve"> substantive changes, including:</w:t>
      </w:r>
    </w:p>
    <w:p w14:paraId="0A7992F2" w14:textId="750701C3" w:rsidR="004420A6" w:rsidRPr="004420A6" w:rsidRDefault="004420A6" w:rsidP="004420A6">
      <w:pPr>
        <w:jc w:val="both"/>
        <w:rPr>
          <w:rFonts w:ascii="Arial" w:hAnsi="Arial" w:cs="Arial"/>
          <w:szCs w:val="24"/>
        </w:rPr>
      </w:pPr>
    </w:p>
    <w:p w14:paraId="21A2E306" w14:textId="2D461224" w:rsidR="004420A6" w:rsidRPr="004420A6" w:rsidRDefault="004420A6" w:rsidP="00EC5D44">
      <w:pPr>
        <w:pStyle w:val="ListParagraph0"/>
        <w:numPr>
          <w:ilvl w:val="0"/>
          <w:numId w:val="15"/>
        </w:numPr>
        <w:spacing w:line="240" w:lineRule="auto"/>
        <w:contextualSpacing/>
        <w:rPr>
          <w:rFonts w:ascii="Arial" w:hAnsi="Arial" w:cs="Arial"/>
        </w:rPr>
      </w:pPr>
      <w:r>
        <w:rPr>
          <w:rFonts w:ascii="Arial" w:hAnsi="Arial" w:cs="Arial"/>
        </w:rPr>
        <w:t>A</w:t>
      </w:r>
      <w:r w:rsidRPr="004420A6">
        <w:rPr>
          <w:rFonts w:ascii="Arial" w:hAnsi="Arial" w:cs="Arial"/>
        </w:rPr>
        <w:t>llow WBD I</w:t>
      </w:r>
      <w:r w:rsidR="00FF3B62">
        <w:rPr>
          <w:rFonts w:ascii="Arial" w:hAnsi="Arial" w:cs="Arial"/>
        </w:rPr>
        <w:t>s</w:t>
      </w:r>
      <w:r w:rsidRPr="004420A6">
        <w:rPr>
          <w:rFonts w:ascii="Arial" w:hAnsi="Arial" w:cs="Arial"/>
        </w:rPr>
        <w:t>, II</w:t>
      </w:r>
      <w:r w:rsidR="00FF3B62">
        <w:rPr>
          <w:rFonts w:ascii="Arial" w:hAnsi="Arial" w:cs="Arial"/>
        </w:rPr>
        <w:t>s</w:t>
      </w:r>
      <w:r w:rsidRPr="004420A6">
        <w:rPr>
          <w:rFonts w:ascii="Arial" w:hAnsi="Arial" w:cs="Arial"/>
        </w:rPr>
        <w:t>,</w:t>
      </w:r>
      <w:r w:rsidR="00FF3B62">
        <w:rPr>
          <w:rFonts w:ascii="Arial" w:hAnsi="Arial" w:cs="Arial"/>
        </w:rPr>
        <w:t xml:space="preserve"> and</w:t>
      </w:r>
      <w:r w:rsidRPr="004420A6">
        <w:rPr>
          <w:rFonts w:ascii="Arial" w:hAnsi="Arial" w:cs="Arial"/>
        </w:rPr>
        <w:t xml:space="preserve"> III</w:t>
      </w:r>
      <w:r w:rsidR="00FF3B62">
        <w:rPr>
          <w:rFonts w:ascii="Arial" w:hAnsi="Arial" w:cs="Arial"/>
        </w:rPr>
        <w:t>s</w:t>
      </w:r>
      <w:r w:rsidRPr="004420A6">
        <w:rPr>
          <w:rFonts w:ascii="Arial" w:hAnsi="Arial" w:cs="Arial"/>
        </w:rPr>
        <w:t xml:space="preserve"> in UR zone</w:t>
      </w:r>
      <w:r>
        <w:rPr>
          <w:rFonts w:ascii="Arial" w:hAnsi="Arial" w:cs="Arial"/>
        </w:rPr>
        <w:t xml:space="preserve"> with the same development conditions as in the RA zone</w:t>
      </w:r>
      <w:r w:rsidRPr="004420A6">
        <w:rPr>
          <w:rFonts w:ascii="Arial" w:hAnsi="Arial" w:cs="Arial"/>
        </w:rPr>
        <w:t xml:space="preserve"> (does not </w:t>
      </w:r>
      <w:proofErr w:type="spellStart"/>
      <w:proofErr w:type="gramStart"/>
      <w:r w:rsidR="00524F0C">
        <w:rPr>
          <w:rFonts w:ascii="Arial" w:hAnsi="Arial" w:cs="Arial"/>
        </w:rPr>
        <w:t>effect</w:t>
      </w:r>
      <w:proofErr w:type="spellEnd"/>
      <w:r w:rsidR="00524F0C" w:rsidRPr="004420A6">
        <w:rPr>
          <w:rFonts w:ascii="Arial" w:hAnsi="Arial" w:cs="Arial"/>
        </w:rPr>
        <w:t xml:space="preserve"> </w:t>
      </w:r>
      <w:r w:rsidRPr="004420A6">
        <w:rPr>
          <w:rFonts w:ascii="Arial" w:hAnsi="Arial" w:cs="Arial"/>
        </w:rPr>
        <w:t xml:space="preserve"> </w:t>
      </w:r>
      <w:r w:rsidR="00662E44">
        <w:rPr>
          <w:rFonts w:ascii="Arial" w:hAnsi="Arial" w:cs="Arial"/>
        </w:rPr>
        <w:t>Vashon</w:t>
      </w:r>
      <w:proofErr w:type="gramEnd"/>
      <w:r w:rsidR="00662E44">
        <w:rPr>
          <w:rFonts w:ascii="Arial" w:hAnsi="Arial" w:cs="Arial"/>
        </w:rPr>
        <w:t>-Maury Island</w:t>
      </w:r>
      <w:r w:rsidRPr="004420A6">
        <w:rPr>
          <w:rFonts w:ascii="Arial" w:hAnsi="Arial" w:cs="Arial"/>
        </w:rPr>
        <w:t>, as there is no UR zoning there)</w:t>
      </w:r>
      <w:r w:rsidR="00FF3B62">
        <w:rPr>
          <w:rFonts w:ascii="Arial" w:hAnsi="Arial" w:cs="Arial"/>
        </w:rPr>
        <w:t>.</w:t>
      </w:r>
    </w:p>
    <w:p w14:paraId="00EC3407" w14:textId="7576F3FA" w:rsidR="004420A6" w:rsidRDefault="004420A6" w:rsidP="00EC5D44">
      <w:pPr>
        <w:pStyle w:val="ListParagraph0"/>
        <w:numPr>
          <w:ilvl w:val="0"/>
          <w:numId w:val="15"/>
        </w:numPr>
        <w:spacing w:line="240" w:lineRule="auto"/>
        <w:contextualSpacing/>
        <w:rPr>
          <w:rFonts w:ascii="Arial" w:hAnsi="Arial" w:cs="Arial"/>
        </w:rPr>
      </w:pPr>
      <w:r w:rsidRPr="004420A6">
        <w:rPr>
          <w:rFonts w:ascii="Arial" w:hAnsi="Arial" w:cs="Arial"/>
        </w:rPr>
        <w:t>Add separation requirement for WBD II</w:t>
      </w:r>
      <w:r w:rsidR="00007552">
        <w:rPr>
          <w:rFonts w:ascii="Arial" w:hAnsi="Arial" w:cs="Arial"/>
        </w:rPr>
        <w:t>s</w:t>
      </w:r>
      <w:r w:rsidRPr="004420A6">
        <w:rPr>
          <w:rFonts w:ascii="Arial" w:hAnsi="Arial" w:cs="Arial"/>
        </w:rPr>
        <w:t xml:space="preserve"> and III</w:t>
      </w:r>
      <w:r w:rsidR="00007552">
        <w:rPr>
          <w:rFonts w:ascii="Arial" w:hAnsi="Arial" w:cs="Arial"/>
        </w:rPr>
        <w:t>s</w:t>
      </w:r>
      <w:r w:rsidRPr="004420A6">
        <w:rPr>
          <w:rFonts w:ascii="Arial" w:hAnsi="Arial" w:cs="Arial"/>
        </w:rPr>
        <w:t xml:space="preserve"> in RA</w:t>
      </w:r>
      <w:r w:rsidR="00E13F64">
        <w:rPr>
          <w:rFonts w:ascii="Arial" w:hAnsi="Arial" w:cs="Arial"/>
        </w:rPr>
        <w:t xml:space="preserve"> and UR</w:t>
      </w:r>
      <w:r w:rsidRPr="004420A6">
        <w:rPr>
          <w:rFonts w:ascii="Arial" w:hAnsi="Arial" w:cs="Arial"/>
        </w:rPr>
        <w:t xml:space="preserve"> zone</w:t>
      </w:r>
      <w:r w:rsidR="00E13F64">
        <w:rPr>
          <w:rFonts w:ascii="Arial" w:hAnsi="Arial" w:cs="Arial"/>
        </w:rPr>
        <w:t>s</w:t>
      </w:r>
      <w:r w:rsidRPr="004420A6">
        <w:rPr>
          <w:rFonts w:ascii="Arial" w:hAnsi="Arial" w:cs="Arial"/>
        </w:rPr>
        <w:t xml:space="preserve">: </w:t>
      </w:r>
      <w:bookmarkStart w:id="2" w:name="_Hlk97885257"/>
      <w:bookmarkStart w:id="3" w:name="_Hlk97207550"/>
      <w:r w:rsidRPr="004420A6">
        <w:rPr>
          <w:rFonts w:ascii="Arial" w:hAnsi="Arial" w:cs="Arial"/>
        </w:rPr>
        <w:t xml:space="preserve">Any lot line of a lot having any area devoted to a </w:t>
      </w:r>
      <w:r w:rsidR="00007552">
        <w:rPr>
          <w:rFonts w:ascii="Arial" w:hAnsi="Arial" w:cs="Arial"/>
        </w:rPr>
        <w:t>WBD</w:t>
      </w:r>
      <w:r w:rsidRPr="004420A6">
        <w:rPr>
          <w:rFonts w:ascii="Arial" w:hAnsi="Arial" w:cs="Arial"/>
        </w:rPr>
        <w:t xml:space="preserve"> use shall be one thousand feet or more from any lot line of any other lot having any area devoted to a </w:t>
      </w:r>
      <w:r w:rsidR="00007552">
        <w:rPr>
          <w:rFonts w:ascii="Arial" w:hAnsi="Arial" w:cs="Arial"/>
        </w:rPr>
        <w:t>WBD</w:t>
      </w:r>
      <w:r w:rsidRPr="004420A6">
        <w:rPr>
          <w:rFonts w:ascii="Arial" w:hAnsi="Arial" w:cs="Arial"/>
        </w:rPr>
        <w:t xml:space="preserve"> use</w:t>
      </w:r>
      <w:bookmarkEnd w:id="2"/>
      <w:r w:rsidRPr="004420A6">
        <w:rPr>
          <w:rFonts w:ascii="Arial" w:hAnsi="Arial" w:cs="Arial"/>
        </w:rPr>
        <w:t>.</w:t>
      </w:r>
      <w:bookmarkEnd w:id="3"/>
      <w:r w:rsidRPr="004420A6">
        <w:rPr>
          <w:rFonts w:ascii="Arial" w:hAnsi="Arial" w:cs="Arial"/>
        </w:rPr>
        <w:t xml:space="preserve"> </w:t>
      </w:r>
    </w:p>
    <w:p w14:paraId="6F7AB45B" w14:textId="090A56F4" w:rsidR="00965A1E" w:rsidRPr="004420A6" w:rsidRDefault="00965A1E" w:rsidP="00EC5D44">
      <w:pPr>
        <w:pStyle w:val="ListParagraph0"/>
        <w:numPr>
          <w:ilvl w:val="0"/>
          <w:numId w:val="15"/>
        </w:numPr>
        <w:spacing w:line="240" w:lineRule="auto"/>
        <w:contextualSpacing/>
        <w:rPr>
          <w:rFonts w:ascii="Arial" w:hAnsi="Arial" w:cs="Arial"/>
        </w:rPr>
      </w:pPr>
      <w:r>
        <w:rPr>
          <w:rFonts w:ascii="Arial" w:hAnsi="Arial" w:cs="Arial"/>
        </w:rPr>
        <w:lastRenderedPageBreak/>
        <w:t>Require compliance with the federal Clean Water Act for WBD IIs</w:t>
      </w:r>
      <w:r w:rsidR="009407E2">
        <w:rPr>
          <w:rFonts w:ascii="Arial" w:hAnsi="Arial" w:cs="Arial"/>
        </w:rPr>
        <w:t xml:space="preserve"> in the RA and UR zones.</w:t>
      </w:r>
    </w:p>
    <w:p w14:paraId="28DB8A5B" w14:textId="26587FE4" w:rsidR="004420A6" w:rsidRDefault="004420A6" w:rsidP="004420A6">
      <w:pPr>
        <w:jc w:val="both"/>
        <w:rPr>
          <w:rFonts w:ascii="Arial" w:hAnsi="Arial" w:cs="Arial"/>
        </w:rPr>
      </w:pPr>
    </w:p>
    <w:p w14:paraId="0C71B5EC" w14:textId="1BC50914" w:rsidR="004420A6" w:rsidRPr="004420A6" w:rsidRDefault="004420A6" w:rsidP="004420A6">
      <w:pPr>
        <w:jc w:val="both"/>
        <w:rPr>
          <w:rFonts w:ascii="Arial" w:hAnsi="Arial" w:cs="Arial"/>
          <w:szCs w:val="24"/>
        </w:rPr>
      </w:pPr>
      <w:r w:rsidRPr="004420A6">
        <w:rPr>
          <w:rFonts w:ascii="Arial" w:hAnsi="Arial" w:cs="Arial"/>
          <w:i/>
          <w:iCs/>
        </w:rPr>
        <w:t>SEPA review for Ordinance 2.</w:t>
      </w:r>
      <w:r>
        <w:rPr>
          <w:rFonts w:ascii="Arial" w:hAnsi="Arial" w:cs="Arial"/>
        </w:rPr>
        <w:t xml:space="preserve"> </w:t>
      </w:r>
      <w:r w:rsidRPr="004420A6">
        <w:rPr>
          <w:rFonts w:ascii="Arial" w:hAnsi="Arial" w:cs="Arial"/>
          <w:szCs w:val="24"/>
        </w:rPr>
        <w:t xml:space="preserve">The changes </w:t>
      </w:r>
      <w:r>
        <w:rPr>
          <w:rFonts w:ascii="Arial" w:hAnsi="Arial" w:cs="Arial"/>
          <w:szCs w:val="24"/>
        </w:rPr>
        <w:t>in Proposed Ordinance 2022-01</w:t>
      </w:r>
      <w:r w:rsidR="009407E2">
        <w:rPr>
          <w:rFonts w:ascii="Arial" w:hAnsi="Arial" w:cs="Arial"/>
          <w:szCs w:val="24"/>
        </w:rPr>
        <w:t>48</w:t>
      </w:r>
      <w:r>
        <w:rPr>
          <w:rFonts w:ascii="Arial" w:hAnsi="Arial" w:cs="Arial"/>
          <w:szCs w:val="24"/>
        </w:rPr>
        <w:t xml:space="preserve"> </w:t>
      </w:r>
      <w:r w:rsidR="00EC5D44">
        <w:rPr>
          <w:rFonts w:ascii="Arial" w:hAnsi="Arial" w:cs="Arial"/>
          <w:szCs w:val="24"/>
        </w:rPr>
        <w:t xml:space="preserve">are anticipated to </w:t>
      </w:r>
      <w:r w:rsidRPr="004420A6">
        <w:rPr>
          <w:rFonts w:ascii="Arial" w:hAnsi="Arial" w:cs="Arial"/>
          <w:szCs w:val="24"/>
        </w:rPr>
        <w:t>require additional SEPA analysis, as they were not contemplated in the November 2020 updated SEPA checklist and subsequent SEPA Threshold Determination</w:t>
      </w:r>
      <w:r>
        <w:rPr>
          <w:rFonts w:ascii="Arial" w:hAnsi="Arial" w:cs="Arial"/>
          <w:szCs w:val="24"/>
        </w:rPr>
        <w:t xml:space="preserve"> of Nonsignificance</w:t>
      </w:r>
      <w:r w:rsidR="00EC5D44">
        <w:rPr>
          <w:rFonts w:ascii="Arial" w:hAnsi="Arial" w:cs="Arial"/>
          <w:szCs w:val="24"/>
        </w:rPr>
        <w:t xml:space="preserve"> issued in January 2021</w:t>
      </w:r>
      <w:r w:rsidRPr="004420A6">
        <w:rPr>
          <w:rFonts w:ascii="Arial" w:hAnsi="Arial" w:cs="Arial"/>
          <w:szCs w:val="24"/>
        </w:rPr>
        <w:t xml:space="preserve">.   Because of the reforms to the County's SEPA process that were made as a result of the </w:t>
      </w:r>
      <w:r>
        <w:rPr>
          <w:rFonts w:ascii="Arial" w:hAnsi="Arial" w:cs="Arial"/>
          <w:szCs w:val="24"/>
        </w:rPr>
        <w:t>litigation for Ordinance 19030</w:t>
      </w:r>
      <w:r w:rsidRPr="004420A6">
        <w:rPr>
          <w:rFonts w:ascii="Arial" w:hAnsi="Arial" w:cs="Arial"/>
          <w:szCs w:val="24"/>
        </w:rPr>
        <w:t xml:space="preserve">, SEPA </w:t>
      </w:r>
      <w:r>
        <w:rPr>
          <w:rFonts w:ascii="Arial" w:hAnsi="Arial" w:cs="Arial"/>
          <w:szCs w:val="24"/>
        </w:rPr>
        <w:t xml:space="preserve">review </w:t>
      </w:r>
      <w:r w:rsidRPr="004420A6">
        <w:rPr>
          <w:rFonts w:ascii="Arial" w:hAnsi="Arial" w:cs="Arial"/>
          <w:szCs w:val="24"/>
        </w:rPr>
        <w:t xml:space="preserve">cannot be completed in time and these changes </w:t>
      </w:r>
      <w:r w:rsidR="00F0581C">
        <w:rPr>
          <w:rFonts w:ascii="Arial" w:hAnsi="Arial" w:cs="Arial"/>
          <w:szCs w:val="24"/>
        </w:rPr>
        <w:t>would</w:t>
      </w:r>
      <w:r w:rsidRPr="004420A6">
        <w:rPr>
          <w:rFonts w:ascii="Arial" w:hAnsi="Arial" w:cs="Arial"/>
          <w:szCs w:val="24"/>
        </w:rPr>
        <w:t xml:space="preserve"> need to be adopted after the July 1, </w:t>
      </w:r>
      <w:proofErr w:type="gramStart"/>
      <w:r w:rsidRPr="004420A6">
        <w:rPr>
          <w:rFonts w:ascii="Arial" w:hAnsi="Arial" w:cs="Arial"/>
          <w:szCs w:val="24"/>
        </w:rPr>
        <w:t>2022</w:t>
      </w:r>
      <w:proofErr w:type="gramEnd"/>
      <w:r w:rsidRPr="004420A6">
        <w:rPr>
          <w:rFonts w:ascii="Arial" w:hAnsi="Arial" w:cs="Arial"/>
          <w:szCs w:val="24"/>
        </w:rPr>
        <w:t xml:space="preserve"> Board compliance deadline.</w:t>
      </w:r>
    </w:p>
    <w:p w14:paraId="5B1A914E" w14:textId="146D7832" w:rsidR="00E52E79" w:rsidRDefault="00E52E79" w:rsidP="005B478C">
      <w:pPr>
        <w:jc w:val="both"/>
        <w:rPr>
          <w:rFonts w:ascii="Arial" w:hAnsi="Arial" w:cs="Arial"/>
        </w:rPr>
      </w:pPr>
    </w:p>
    <w:p w14:paraId="476404D8" w14:textId="770DE2BB" w:rsidR="00F0581C" w:rsidRPr="00F0581C" w:rsidRDefault="00F0581C" w:rsidP="005B478C">
      <w:pPr>
        <w:pStyle w:val="BodyText"/>
        <w:jc w:val="both"/>
        <w:rPr>
          <w:rFonts w:ascii="Arial" w:hAnsi="Arial" w:cs="Arial"/>
          <w:b/>
          <w:i w:val="0"/>
          <w:szCs w:val="24"/>
        </w:rPr>
      </w:pPr>
      <w:r w:rsidRPr="00F0581C">
        <w:rPr>
          <w:rFonts w:ascii="Arial" w:hAnsi="Arial" w:cs="Arial"/>
          <w:b/>
          <w:i w:val="0"/>
          <w:szCs w:val="24"/>
        </w:rPr>
        <w:t>Council Considerations.</w:t>
      </w:r>
      <w:r w:rsidRPr="00F0581C">
        <w:rPr>
          <w:rFonts w:ascii="Arial" w:hAnsi="Arial" w:cs="Arial"/>
          <w:bCs/>
          <w:i w:val="0"/>
          <w:szCs w:val="24"/>
        </w:rPr>
        <w:t xml:space="preserve">  The Council may want to consider the following as the Committee and full Council deliberate on the proposed changes.</w:t>
      </w:r>
    </w:p>
    <w:p w14:paraId="0FC47639" w14:textId="4B840F95" w:rsidR="00F0581C" w:rsidRDefault="00F0581C" w:rsidP="005B478C">
      <w:pPr>
        <w:pStyle w:val="BodyText"/>
        <w:jc w:val="both"/>
        <w:rPr>
          <w:rFonts w:ascii="Arial" w:hAnsi="Arial" w:cs="Arial"/>
          <w:bCs/>
          <w:i w:val="0"/>
          <w:szCs w:val="24"/>
        </w:rPr>
      </w:pPr>
    </w:p>
    <w:p w14:paraId="24569FE2" w14:textId="2EBD9B05" w:rsidR="00F0581C" w:rsidRDefault="00F0581C" w:rsidP="005B478C">
      <w:pPr>
        <w:pStyle w:val="BodyText"/>
        <w:jc w:val="both"/>
        <w:rPr>
          <w:rFonts w:ascii="Arial" w:hAnsi="Arial" w:cs="Arial"/>
          <w:bCs/>
          <w:i w:val="0"/>
          <w:szCs w:val="24"/>
        </w:rPr>
      </w:pPr>
      <w:r w:rsidRPr="00C922EA">
        <w:rPr>
          <w:rFonts w:ascii="Arial" w:hAnsi="Arial" w:cs="Arial"/>
          <w:bCs/>
          <w:iCs/>
          <w:szCs w:val="24"/>
        </w:rPr>
        <w:t xml:space="preserve">Liquor license </w:t>
      </w:r>
      <w:r w:rsidR="00C922EA" w:rsidRPr="00C922EA">
        <w:rPr>
          <w:rFonts w:ascii="Arial" w:hAnsi="Arial" w:cs="Arial"/>
          <w:bCs/>
          <w:iCs/>
          <w:szCs w:val="24"/>
        </w:rPr>
        <w:t xml:space="preserve">conflict </w:t>
      </w:r>
      <w:r w:rsidRPr="00C922EA">
        <w:rPr>
          <w:rFonts w:ascii="Arial" w:hAnsi="Arial" w:cs="Arial"/>
          <w:bCs/>
          <w:iCs/>
          <w:szCs w:val="24"/>
        </w:rPr>
        <w:t>preemption.</w:t>
      </w:r>
      <w:r w:rsidR="00C922EA" w:rsidRPr="00C922EA">
        <w:rPr>
          <w:rFonts w:ascii="Arial" w:hAnsi="Arial" w:cs="Arial"/>
          <w:bCs/>
          <w:iCs/>
          <w:szCs w:val="24"/>
        </w:rPr>
        <w:t xml:space="preserve">  </w:t>
      </w:r>
      <w:r w:rsidR="00C922EA">
        <w:rPr>
          <w:rFonts w:ascii="Arial" w:hAnsi="Arial" w:cs="Arial"/>
          <w:bCs/>
          <w:i w:val="0"/>
          <w:szCs w:val="24"/>
        </w:rPr>
        <w:t>In addition to the County's requirements under the Growth Management Act and constitutional considerations, state law specifically prohibits regulations that conflict with the Washington State Liquor and Cannabis Board's licensing requirements.</w:t>
      </w:r>
    </w:p>
    <w:p w14:paraId="3AF0CC8F" w14:textId="42E45733" w:rsidR="00C922EA" w:rsidRDefault="00C922EA" w:rsidP="005B478C">
      <w:pPr>
        <w:pStyle w:val="BodyText"/>
        <w:jc w:val="both"/>
        <w:rPr>
          <w:rFonts w:ascii="Arial" w:hAnsi="Arial" w:cs="Arial"/>
          <w:bCs/>
          <w:i w:val="0"/>
          <w:szCs w:val="24"/>
        </w:rPr>
      </w:pPr>
    </w:p>
    <w:p w14:paraId="00538AD9" w14:textId="45101ADA" w:rsidR="00C922EA" w:rsidRPr="006072CD" w:rsidRDefault="00C922EA" w:rsidP="006072CD">
      <w:pPr>
        <w:pStyle w:val="BodyText"/>
        <w:jc w:val="both"/>
        <w:rPr>
          <w:rFonts w:ascii="Arial" w:hAnsi="Arial" w:cs="Arial"/>
          <w:bCs/>
          <w:i w:val="0"/>
          <w:szCs w:val="24"/>
        </w:rPr>
      </w:pPr>
      <w:r w:rsidRPr="006072CD">
        <w:rPr>
          <w:rFonts w:ascii="Arial" w:hAnsi="Arial" w:cs="Arial"/>
          <w:bCs/>
          <w:i w:val="0"/>
          <w:szCs w:val="24"/>
        </w:rPr>
        <w:t>The conflict preemption restriction comes from state law (in particular, after the "PROVIDED," the restriction on regulations that conflict with the RCW or WAC)</w:t>
      </w:r>
      <w:r w:rsidR="001C75A4">
        <w:rPr>
          <w:rFonts w:ascii="Arial" w:hAnsi="Arial" w:cs="Arial"/>
          <w:bCs/>
          <w:i w:val="0"/>
          <w:szCs w:val="24"/>
        </w:rPr>
        <w:t xml:space="preserve"> (highlight added)</w:t>
      </w:r>
      <w:r w:rsidRPr="006072CD">
        <w:rPr>
          <w:rFonts w:ascii="Arial" w:hAnsi="Arial" w:cs="Arial"/>
          <w:bCs/>
          <w:i w:val="0"/>
          <w:szCs w:val="24"/>
        </w:rPr>
        <w:t>:</w:t>
      </w:r>
    </w:p>
    <w:p w14:paraId="20025C7C" w14:textId="77777777" w:rsidR="00C922EA" w:rsidRDefault="00C922EA" w:rsidP="00C922EA"/>
    <w:p w14:paraId="15A2B6A0" w14:textId="6793CBC1" w:rsidR="00C922EA" w:rsidRPr="000768BE" w:rsidRDefault="00C922EA" w:rsidP="00C922EA">
      <w:pPr>
        <w:shd w:val="clear" w:color="auto" w:fill="FFFFFF"/>
        <w:ind w:left="720" w:right="720"/>
        <w:jc w:val="both"/>
        <w:outlineLvl w:val="2"/>
        <w:rPr>
          <w:b/>
          <w:bCs/>
          <w:color w:val="000000"/>
          <w:szCs w:val="24"/>
        </w:rPr>
      </w:pPr>
      <w:r w:rsidRPr="000768BE">
        <w:rPr>
          <w:b/>
          <w:bCs/>
          <w:color w:val="000000"/>
          <w:szCs w:val="24"/>
        </w:rPr>
        <w:t>RCW </w:t>
      </w:r>
      <w:r w:rsidRPr="00F50458">
        <w:rPr>
          <w:b/>
          <w:bCs/>
          <w:color w:val="000000"/>
          <w:szCs w:val="24"/>
        </w:rPr>
        <w:t>66.08.120</w:t>
      </w:r>
    </w:p>
    <w:p w14:paraId="1E44D51E" w14:textId="77777777" w:rsidR="00C922EA" w:rsidRPr="000768BE" w:rsidRDefault="00C922EA" w:rsidP="00C922EA">
      <w:pPr>
        <w:shd w:val="clear" w:color="auto" w:fill="FFFFFF"/>
        <w:ind w:left="720" w:right="720"/>
        <w:jc w:val="both"/>
        <w:outlineLvl w:val="2"/>
        <w:rPr>
          <w:b/>
          <w:bCs/>
          <w:color w:val="000000"/>
          <w:szCs w:val="24"/>
        </w:rPr>
      </w:pPr>
      <w:r w:rsidRPr="000768BE">
        <w:rPr>
          <w:b/>
          <w:bCs/>
          <w:color w:val="000000"/>
          <w:szCs w:val="24"/>
        </w:rPr>
        <w:t>Preemption of field by state—Exception.</w:t>
      </w:r>
    </w:p>
    <w:p w14:paraId="51B0B431" w14:textId="77777777" w:rsidR="00C922EA" w:rsidRPr="000768BE" w:rsidRDefault="00C922EA" w:rsidP="00C922EA">
      <w:pPr>
        <w:shd w:val="clear" w:color="auto" w:fill="FFFFFF"/>
        <w:ind w:left="720" w:right="720" w:firstLine="720"/>
        <w:jc w:val="both"/>
        <w:rPr>
          <w:color w:val="000000"/>
          <w:szCs w:val="24"/>
        </w:rPr>
      </w:pPr>
      <w:r w:rsidRPr="000768BE">
        <w:rPr>
          <w:color w:val="000000"/>
          <w:szCs w:val="24"/>
        </w:rPr>
        <w:t xml:space="preserve">No municipality or county shall have power to license the sale of, or impose an excise tax upon, liquor as defined in this title, or to license the sale or distribution thereof in any manner; and any power now conferred by law on any municipality or county to license premises which may be licensed under this section, or to impose an excise tax upon liquor, or to license the sale and distribution thereof, as defined in this title, shall be suspended and shall be of no further effect: </w:t>
      </w:r>
      <w:r w:rsidRPr="000768BE">
        <w:rPr>
          <w:color w:val="000000"/>
          <w:szCs w:val="24"/>
          <w:highlight w:val="yellow"/>
        </w:rPr>
        <w:t xml:space="preserve">PROVIDED, That municipalities and counties shall have power to adopt police ordinances and regulations </w:t>
      </w:r>
      <w:r w:rsidRPr="00C922EA">
        <w:rPr>
          <w:szCs w:val="24"/>
          <w:highlight w:val="yellow"/>
        </w:rPr>
        <w:t xml:space="preserve">not in conflict </w:t>
      </w:r>
      <w:r w:rsidRPr="000768BE">
        <w:rPr>
          <w:color w:val="000000"/>
          <w:szCs w:val="24"/>
          <w:highlight w:val="yellow"/>
        </w:rPr>
        <w:t>with this title or with the regulations made by the board</w:t>
      </w:r>
      <w:r w:rsidRPr="000768BE">
        <w:rPr>
          <w:color w:val="000000"/>
          <w:szCs w:val="24"/>
        </w:rPr>
        <w:t>.</w:t>
      </w:r>
    </w:p>
    <w:p w14:paraId="4CF223C8" w14:textId="2B3CF2AF" w:rsidR="00C922EA" w:rsidRDefault="00C922EA" w:rsidP="005B478C">
      <w:pPr>
        <w:pStyle w:val="BodyText"/>
        <w:jc w:val="both"/>
        <w:rPr>
          <w:rFonts w:ascii="Arial" w:hAnsi="Arial" w:cs="Arial"/>
          <w:bCs/>
          <w:i w:val="0"/>
          <w:szCs w:val="24"/>
        </w:rPr>
      </w:pPr>
    </w:p>
    <w:p w14:paraId="5C36F864" w14:textId="7432BFA0" w:rsidR="006072CD" w:rsidRDefault="006072CD" w:rsidP="005B478C">
      <w:pPr>
        <w:pStyle w:val="BodyText"/>
        <w:jc w:val="both"/>
        <w:rPr>
          <w:rFonts w:ascii="Arial" w:hAnsi="Arial" w:cs="Arial"/>
          <w:bCs/>
          <w:i w:val="0"/>
          <w:szCs w:val="24"/>
        </w:rPr>
      </w:pPr>
      <w:r>
        <w:rPr>
          <w:rFonts w:ascii="Arial" w:hAnsi="Arial" w:cs="Arial"/>
          <w:bCs/>
          <w:i w:val="0"/>
          <w:szCs w:val="24"/>
        </w:rPr>
        <w:t xml:space="preserve">When considering the limitations on production and on-site tasting and sales, the Council should keep this statute in mind.  In particular, the state liquor licenses for WBDs have allowances for the business to sell products from other WBDs, and to sell food and nonalcoholic beverages. The </w:t>
      </w:r>
      <w:r w:rsidR="000C565D">
        <w:rPr>
          <w:rFonts w:ascii="Arial" w:hAnsi="Arial" w:cs="Arial"/>
          <w:bCs/>
          <w:i w:val="0"/>
          <w:szCs w:val="24"/>
        </w:rPr>
        <w:t xml:space="preserve">RCW </w:t>
      </w:r>
      <w:r>
        <w:rPr>
          <w:rFonts w:ascii="Arial" w:hAnsi="Arial" w:cs="Arial"/>
          <w:bCs/>
          <w:i w:val="0"/>
          <w:szCs w:val="24"/>
        </w:rPr>
        <w:t xml:space="preserve">and WAC allowances cited in the Proposed Ordinance are found in Attachment </w:t>
      </w:r>
      <w:r w:rsidR="000C565D">
        <w:rPr>
          <w:rFonts w:ascii="Arial" w:hAnsi="Arial" w:cs="Arial"/>
          <w:bCs/>
          <w:i w:val="0"/>
          <w:szCs w:val="24"/>
        </w:rPr>
        <w:t xml:space="preserve">7 </w:t>
      </w:r>
      <w:r>
        <w:rPr>
          <w:rFonts w:ascii="Arial" w:hAnsi="Arial" w:cs="Arial"/>
          <w:bCs/>
          <w:i w:val="0"/>
          <w:szCs w:val="24"/>
        </w:rPr>
        <w:t>to this staff report.</w:t>
      </w:r>
    </w:p>
    <w:p w14:paraId="00E079C9" w14:textId="77777777" w:rsidR="00C922EA" w:rsidRDefault="00C922EA" w:rsidP="005B478C">
      <w:pPr>
        <w:pStyle w:val="BodyText"/>
        <w:jc w:val="both"/>
        <w:rPr>
          <w:rFonts w:ascii="Arial" w:hAnsi="Arial" w:cs="Arial"/>
          <w:bCs/>
          <w:i w:val="0"/>
          <w:szCs w:val="24"/>
        </w:rPr>
      </w:pPr>
    </w:p>
    <w:p w14:paraId="4C723114" w14:textId="4CE2A6CA" w:rsidR="003952C2" w:rsidRDefault="00F0581C" w:rsidP="005B478C">
      <w:pPr>
        <w:pStyle w:val="BodyText"/>
        <w:jc w:val="both"/>
        <w:rPr>
          <w:rFonts w:ascii="Arial" w:hAnsi="Arial" w:cs="Arial"/>
          <w:bCs/>
          <w:i w:val="0"/>
          <w:szCs w:val="24"/>
        </w:rPr>
      </w:pPr>
      <w:r w:rsidRPr="00FA388F">
        <w:rPr>
          <w:rFonts w:ascii="Arial" w:hAnsi="Arial" w:cs="Arial"/>
          <w:bCs/>
          <w:iCs/>
          <w:szCs w:val="24"/>
        </w:rPr>
        <w:t>Parcel analysis.</w:t>
      </w:r>
      <w:r w:rsidR="006072CD">
        <w:rPr>
          <w:rFonts w:ascii="Arial" w:hAnsi="Arial" w:cs="Arial"/>
          <w:bCs/>
          <w:i w:val="0"/>
          <w:szCs w:val="24"/>
        </w:rPr>
        <w:t xml:space="preserve">  Attachment </w:t>
      </w:r>
      <w:r w:rsidR="000C565D">
        <w:rPr>
          <w:rFonts w:ascii="Arial" w:hAnsi="Arial" w:cs="Arial"/>
          <w:bCs/>
          <w:i w:val="0"/>
          <w:szCs w:val="24"/>
        </w:rPr>
        <w:t xml:space="preserve">8 </w:t>
      </w:r>
      <w:r w:rsidR="00B32A9C">
        <w:rPr>
          <w:rFonts w:ascii="Arial" w:hAnsi="Arial" w:cs="Arial"/>
          <w:bCs/>
          <w:i w:val="0"/>
          <w:szCs w:val="24"/>
        </w:rPr>
        <w:t xml:space="preserve">to this staff reports shows analysis done by Council staff to </w:t>
      </w:r>
      <w:proofErr w:type="gramStart"/>
      <w:r w:rsidR="00B32A9C">
        <w:rPr>
          <w:rFonts w:ascii="Arial" w:hAnsi="Arial" w:cs="Arial"/>
          <w:bCs/>
          <w:i w:val="0"/>
          <w:szCs w:val="24"/>
        </w:rPr>
        <w:t>evaluate  how</w:t>
      </w:r>
      <w:proofErr w:type="gramEnd"/>
      <w:r w:rsidR="00B32A9C">
        <w:rPr>
          <w:rFonts w:ascii="Arial" w:hAnsi="Arial" w:cs="Arial"/>
          <w:bCs/>
          <w:i w:val="0"/>
          <w:szCs w:val="24"/>
        </w:rPr>
        <w:t xml:space="preserve"> many </w:t>
      </w:r>
      <w:r w:rsidR="003952C2">
        <w:rPr>
          <w:rFonts w:ascii="Arial" w:hAnsi="Arial" w:cs="Arial"/>
          <w:bCs/>
          <w:i w:val="0"/>
          <w:szCs w:val="24"/>
        </w:rPr>
        <w:t>WBDs could theoretically establish</w:t>
      </w:r>
      <w:r w:rsidR="007D6B91" w:rsidRPr="007D6B91">
        <w:rPr>
          <w:rFonts w:ascii="Arial" w:hAnsi="Arial" w:cs="Arial"/>
          <w:bCs/>
          <w:i w:val="0"/>
          <w:szCs w:val="24"/>
        </w:rPr>
        <w:t xml:space="preserve"> </w:t>
      </w:r>
      <w:r w:rsidR="007D6B91">
        <w:rPr>
          <w:rFonts w:ascii="Arial" w:hAnsi="Arial" w:cs="Arial"/>
          <w:bCs/>
          <w:i w:val="0"/>
          <w:szCs w:val="24"/>
        </w:rPr>
        <w:t>for two specific areas</w:t>
      </w:r>
      <w:r w:rsidR="003952C2">
        <w:rPr>
          <w:rFonts w:ascii="Arial" w:hAnsi="Arial" w:cs="Arial"/>
          <w:bCs/>
          <w:i w:val="0"/>
          <w:szCs w:val="24"/>
        </w:rPr>
        <w:t>.  It compares the former code (that in place prior to Ordinance 19030), Ordinance 19030</w:t>
      </w:r>
      <w:r w:rsidR="007D6B91">
        <w:rPr>
          <w:rFonts w:ascii="Arial" w:hAnsi="Arial" w:cs="Arial"/>
          <w:bCs/>
          <w:i w:val="0"/>
          <w:szCs w:val="24"/>
        </w:rPr>
        <w:t>,</w:t>
      </w:r>
      <w:r w:rsidR="003952C2">
        <w:rPr>
          <w:rFonts w:ascii="Arial" w:hAnsi="Arial" w:cs="Arial"/>
          <w:bCs/>
          <w:i w:val="0"/>
          <w:szCs w:val="24"/>
        </w:rPr>
        <w:t xml:space="preserve"> and Proposed Ordinances 2022-0147 and 2022-0148.  </w:t>
      </w:r>
    </w:p>
    <w:p w14:paraId="2E5F5A27" w14:textId="77777777" w:rsidR="003952C2" w:rsidRDefault="003952C2" w:rsidP="005B478C">
      <w:pPr>
        <w:pStyle w:val="BodyText"/>
        <w:jc w:val="both"/>
        <w:rPr>
          <w:rFonts w:ascii="Arial" w:hAnsi="Arial" w:cs="Arial"/>
          <w:bCs/>
          <w:i w:val="0"/>
          <w:szCs w:val="24"/>
        </w:rPr>
      </w:pPr>
    </w:p>
    <w:p w14:paraId="229D96A7" w14:textId="6D96E851" w:rsidR="003952C2" w:rsidRDefault="003952C2" w:rsidP="005B478C">
      <w:pPr>
        <w:pStyle w:val="BodyText"/>
        <w:jc w:val="both"/>
        <w:rPr>
          <w:rFonts w:ascii="Arial" w:hAnsi="Arial" w:cs="Arial"/>
          <w:bCs/>
          <w:i w:val="0"/>
          <w:szCs w:val="24"/>
        </w:rPr>
      </w:pPr>
      <w:r>
        <w:rPr>
          <w:rFonts w:ascii="Arial" w:hAnsi="Arial" w:cs="Arial"/>
          <w:bCs/>
          <w:i w:val="0"/>
          <w:szCs w:val="24"/>
        </w:rPr>
        <w:t>For the Sammamish Valley Area, under the three scenarios:</w:t>
      </w:r>
    </w:p>
    <w:p w14:paraId="515B6615" w14:textId="328EFAD7" w:rsidR="003952C2" w:rsidRDefault="003952C2" w:rsidP="003952C2">
      <w:pPr>
        <w:pStyle w:val="BodyText"/>
        <w:numPr>
          <w:ilvl w:val="0"/>
          <w:numId w:val="17"/>
        </w:numPr>
        <w:jc w:val="both"/>
        <w:rPr>
          <w:rFonts w:ascii="Arial" w:hAnsi="Arial" w:cs="Arial"/>
          <w:bCs/>
          <w:i w:val="0"/>
          <w:szCs w:val="24"/>
        </w:rPr>
      </w:pPr>
      <w:r>
        <w:rPr>
          <w:rFonts w:ascii="Arial" w:hAnsi="Arial" w:cs="Arial"/>
          <w:bCs/>
          <w:i w:val="0"/>
          <w:szCs w:val="24"/>
        </w:rPr>
        <w:t>Former code would theoretically allow up to 62 WBDs</w:t>
      </w:r>
    </w:p>
    <w:p w14:paraId="3239CC91" w14:textId="48E3F5EC" w:rsidR="003952C2" w:rsidRDefault="003952C2" w:rsidP="003952C2">
      <w:pPr>
        <w:pStyle w:val="BodyText"/>
        <w:numPr>
          <w:ilvl w:val="0"/>
          <w:numId w:val="17"/>
        </w:numPr>
        <w:jc w:val="both"/>
        <w:rPr>
          <w:rFonts w:ascii="Arial" w:hAnsi="Arial" w:cs="Arial"/>
          <w:bCs/>
          <w:i w:val="0"/>
          <w:szCs w:val="24"/>
        </w:rPr>
      </w:pPr>
      <w:r>
        <w:rPr>
          <w:rFonts w:ascii="Arial" w:hAnsi="Arial" w:cs="Arial"/>
          <w:bCs/>
          <w:i w:val="0"/>
          <w:szCs w:val="24"/>
        </w:rPr>
        <w:t>Ordinance 19030 would theoretically allow up to 36 WBDs</w:t>
      </w:r>
    </w:p>
    <w:p w14:paraId="76EA8AA1" w14:textId="3FB63963" w:rsidR="003952C2" w:rsidRDefault="003952C2" w:rsidP="00DE4258">
      <w:pPr>
        <w:pStyle w:val="BodyText"/>
        <w:numPr>
          <w:ilvl w:val="0"/>
          <w:numId w:val="17"/>
        </w:numPr>
        <w:jc w:val="both"/>
        <w:rPr>
          <w:rFonts w:ascii="Arial" w:hAnsi="Arial" w:cs="Arial"/>
          <w:bCs/>
          <w:i w:val="0"/>
          <w:szCs w:val="24"/>
        </w:rPr>
      </w:pPr>
      <w:r w:rsidRPr="003952C2">
        <w:rPr>
          <w:rFonts w:ascii="Arial" w:hAnsi="Arial" w:cs="Arial"/>
          <w:bCs/>
          <w:i w:val="0"/>
          <w:szCs w:val="24"/>
        </w:rPr>
        <w:t>Proposed Ordinances 2022-0147/8 would theoretically allow less than 10 WBDs</w:t>
      </w:r>
    </w:p>
    <w:p w14:paraId="70D37EC9" w14:textId="7CB3D4CF" w:rsidR="003952C2" w:rsidRDefault="003952C2" w:rsidP="003952C2">
      <w:pPr>
        <w:pStyle w:val="BodyText"/>
        <w:jc w:val="both"/>
        <w:rPr>
          <w:rFonts w:ascii="Arial" w:hAnsi="Arial" w:cs="Arial"/>
          <w:bCs/>
          <w:i w:val="0"/>
          <w:szCs w:val="24"/>
        </w:rPr>
      </w:pPr>
    </w:p>
    <w:p w14:paraId="19F809B4" w14:textId="54A1F0C3" w:rsidR="003952C2" w:rsidRDefault="003952C2" w:rsidP="00497007">
      <w:pPr>
        <w:pStyle w:val="BodyText"/>
        <w:keepNext/>
        <w:keepLines/>
        <w:jc w:val="both"/>
        <w:rPr>
          <w:rFonts w:ascii="Arial" w:hAnsi="Arial" w:cs="Arial"/>
          <w:bCs/>
          <w:i w:val="0"/>
          <w:szCs w:val="24"/>
        </w:rPr>
      </w:pPr>
      <w:r>
        <w:rPr>
          <w:rFonts w:ascii="Arial" w:hAnsi="Arial" w:cs="Arial"/>
          <w:bCs/>
          <w:i w:val="0"/>
          <w:szCs w:val="24"/>
        </w:rPr>
        <w:t>For the Novelty Hill Area,</w:t>
      </w:r>
      <w:r>
        <w:rPr>
          <w:rStyle w:val="FootnoteReference"/>
          <w:rFonts w:ascii="Arial" w:hAnsi="Arial" w:cs="Arial"/>
          <w:bCs/>
          <w:i w:val="0"/>
          <w:szCs w:val="24"/>
        </w:rPr>
        <w:footnoteReference w:id="10"/>
      </w:r>
      <w:r>
        <w:rPr>
          <w:rFonts w:ascii="Arial" w:hAnsi="Arial" w:cs="Arial"/>
          <w:bCs/>
          <w:i w:val="0"/>
          <w:szCs w:val="24"/>
        </w:rPr>
        <w:t xml:space="preserve"> under the three scenarios:</w:t>
      </w:r>
    </w:p>
    <w:p w14:paraId="132711BE" w14:textId="3A8F191C" w:rsidR="003952C2" w:rsidRDefault="003952C2" w:rsidP="00497007">
      <w:pPr>
        <w:pStyle w:val="BodyText"/>
        <w:keepNext/>
        <w:keepLines/>
        <w:numPr>
          <w:ilvl w:val="0"/>
          <w:numId w:val="17"/>
        </w:numPr>
        <w:jc w:val="both"/>
        <w:rPr>
          <w:rFonts w:ascii="Arial" w:hAnsi="Arial" w:cs="Arial"/>
          <w:bCs/>
          <w:i w:val="0"/>
          <w:szCs w:val="24"/>
        </w:rPr>
      </w:pPr>
      <w:r>
        <w:rPr>
          <w:rFonts w:ascii="Arial" w:hAnsi="Arial" w:cs="Arial"/>
          <w:bCs/>
          <w:i w:val="0"/>
          <w:szCs w:val="24"/>
        </w:rPr>
        <w:t>Former code would theoretically allow up to 132 WBDs</w:t>
      </w:r>
    </w:p>
    <w:p w14:paraId="5CE05D05" w14:textId="39353E6C" w:rsidR="003952C2" w:rsidRDefault="003952C2" w:rsidP="00497007">
      <w:pPr>
        <w:pStyle w:val="BodyText"/>
        <w:keepNext/>
        <w:keepLines/>
        <w:numPr>
          <w:ilvl w:val="0"/>
          <w:numId w:val="17"/>
        </w:numPr>
        <w:jc w:val="both"/>
        <w:rPr>
          <w:rFonts w:ascii="Arial" w:hAnsi="Arial" w:cs="Arial"/>
          <w:bCs/>
          <w:i w:val="0"/>
          <w:szCs w:val="24"/>
        </w:rPr>
      </w:pPr>
      <w:r>
        <w:rPr>
          <w:rFonts w:ascii="Arial" w:hAnsi="Arial" w:cs="Arial"/>
          <w:bCs/>
          <w:i w:val="0"/>
          <w:szCs w:val="24"/>
        </w:rPr>
        <w:t>Ordinance 19030 would theoretically allow up to 57 WBDs</w:t>
      </w:r>
    </w:p>
    <w:p w14:paraId="265D6F18" w14:textId="4CC464E1" w:rsidR="003952C2" w:rsidRDefault="003952C2" w:rsidP="00497007">
      <w:pPr>
        <w:pStyle w:val="BodyText"/>
        <w:keepNext/>
        <w:keepLines/>
        <w:numPr>
          <w:ilvl w:val="0"/>
          <w:numId w:val="17"/>
        </w:numPr>
        <w:jc w:val="both"/>
        <w:rPr>
          <w:rFonts w:ascii="Arial" w:hAnsi="Arial" w:cs="Arial"/>
          <w:bCs/>
          <w:i w:val="0"/>
          <w:szCs w:val="24"/>
        </w:rPr>
      </w:pPr>
      <w:r w:rsidRPr="003952C2">
        <w:rPr>
          <w:rFonts w:ascii="Arial" w:hAnsi="Arial" w:cs="Arial"/>
          <w:bCs/>
          <w:i w:val="0"/>
          <w:szCs w:val="24"/>
        </w:rPr>
        <w:t>Proposed Ordinances 2022-0147/8 would theoretically allow less than 1</w:t>
      </w:r>
      <w:r>
        <w:rPr>
          <w:rFonts w:ascii="Arial" w:hAnsi="Arial" w:cs="Arial"/>
          <w:bCs/>
          <w:i w:val="0"/>
          <w:szCs w:val="24"/>
        </w:rPr>
        <w:t>1</w:t>
      </w:r>
      <w:r w:rsidRPr="003952C2">
        <w:rPr>
          <w:rFonts w:ascii="Arial" w:hAnsi="Arial" w:cs="Arial"/>
          <w:bCs/>
          <w:i w:val="0"/>
          <w:szCs w:val="24"/>
        </w:rPr>
        <w:t xml:space="preserve"> WBDs</w:t>
      </w:r>
    </w:p>
    <w:p w14:paraId="3D5A997B" w14:textId="57BEE696" w:rsidR="003952C2" w:rsidRDefault="003952C2" w:rsidP="003952C2">
      <w:pPr>
        <w:pStyle w:val="BodyText"/>
        <w:jc w:val="both"/>
        <w:rPr>
          <w:rFonts w:ascii="Arial" w:hAnsi="Arial" w:cs="Arial"/>
          <w:bCs/>
          <w:i w:val="0"/>
          <w:szCs w:val="24"/>
        </w:rPr>
      </w:pPr>
    </w:p>
    <w:p w14:paraId="51A0FFB4" w14:textId="53617977" w:rsidR="003952C2" w:rsidRPr="003952C2" w:rsidRDefault="00497007" w:rsidP="003952C2">
      <w:pPr>
        <w:pStyle w:val="BodyText"/>
        <w:jc w:val="both"/>
        <w:rPr>
          <w:rFonts w:ascii="Arial" w:hAnsi="Arial" w:cs="Arial"/>
          <w:bCs/>
          <w:i w:val="0"/>
          <w:szCs w:val="24"/>
        </w:rPr>
      </w:pPr>
      <w:r>
        <w:rPr>
          <w:rFonts w:ascii="Arial" w:hAnsi="Arial" w:cs="Arial"/>
          <w:bCs/>
          <w:i w:val="0"/>
          <w:szCs w:val="24"/>
        </w:rPr>
        <w:t>Notably, there are only</w:t>
      </w:r>
      <w:r w:rsidR="00403E24">
        <w:rPr>
          <w:rFonts w:ascii="Arial" w:hAnsi="Arial" w:cs="Arial"/>
          <w:bCs/>
          <w:i w:val="0"/>
          <w:szCs w:val="24"/>
        </w:rPr>
        <w:t xml:space="preserve"> 3 parcels in the Sammamish Valley area </w:t>
      </w:r>
      <w:r w:rsidR="00FA388F">
        <w:rPr>
          <w:rFonts w:ascii="Arial" w:hAnsi="Arial" w:cs="Arial"/>
          <w:bCs/>
          <w:i w:val="0"/>
          <w:szCs w:val="24"/>
        </w:rPr>
        <w:t xml:space="preserve">and </w:t>
      </w:r>
      <w:r w:rsidR="00403E24">
        <w:rPr>
          <w:rFonts w:ascii="Arial" w:hAnsi="Arial" w:cs="Arial"/>
          <w:bCs/>
          <w:i w:val="0"/>
          <w:szCs w:val="24"/>
        </w:rPr>
        <w:t>8 parcels in the Novelty Hill area that are currently vacant and could comply with the lot size, access, and/or 75</w:t>
      </w:r>
      <w:r w:rsidR="00744914">
        <w:rPr>
          <w:rFonts w:ascii="Arial" w:hAnsi="Arial" w:cs="Arial"/>
          <w:bCs/>
          <w:i w:val="0"/>
          <w:szCs w:val="24"/>
        </w:rPr>
        <w:t>-foot</w:t>
      </w:r>
      <w:r w:rsidR="00403E24">
        <w:rPr>
          <w:rFonts w:ascii="Arial" w:hAnsi="Arial" w:cs="Arial"/>
          <w:bCs/>
          <w:i w:val="0"/>
          <w:szCs w:val="24"/>
        </w:rPr>
        <w:t xml:space="preserve"> setback requirements for WBD I, II, or III.</w:t>
      </w:r>
      <w:r w:rsidR="00286227">
        <w:rPr>
          <w:rFonts w:ascii="Arial" w:hAnsi="Arial" w:cs="Arial"/>
          <w:bCs/>
          <w:i w:val="0"/>
          <w:szCs w:val="24"/>
        </w:rPr>
        <w:t xml:space="preserve">  </w:t>
      </w:r>
      <w:r w:rsidR="00FA388F">
        <w:rPr>
          <w:rFonts w:ascii="Arial" w:hAnsi="Arial" w:cs="Arial"/>
          <w:bCs/>
          <w:i w:val="0"/>
          <w:szCs w:val="24"/>
        </w:rPr>
        <w:t>F</w:t>
      </w:r>
      <w:r w:rsidR="00183030">
        <w:rPr>
          <w:rFonts w:ascii="Arial" w:hAnsi="Arial" w:cs="Arial"/>
          <w:bCs/>
          <w:i w:val="0"/>
          <w:szCs w:val="24"/>
        </w:rPr>
        <w:t xml:space="preserve">or new WBD IIs and IIIs, </w:t>
      </w:r>
      <w:r w:rsidR="00FA388F">
        <w:rPr>
          <w:rFonts w:ascii="Arial" w:hAnsi="Arial" w:cs="Arial"/>
          <w:bCs/>
          <w:i w:val="0"/>
          <w:szCs w:val="24"/>
        </w:rPr>
        <w:t xml:space="preserve">there is a higher likelihood </w:t>
      </w:r>
      <w:r w:rsidR="00183030">
        <w:rPr>
          <w:rFonts w:ascii="Arial" w:hAnsi="Arial" w:cs="Arial"/>
          <w:bCs/>
          <w:i w:val="0"/>
          <w:szCs w:val="24"/>
        </w:rPr>
        <w:t>that they would</w:t>
      </w:r>
      <w:r w:rsidR="00744914">
        <w:rPr>
          <w:rFonts w:ascii="Arial" w:hAnsi="Arial" w:cs="Arial"/>
          <w:bCs/>
          <w:i w:val="0"/>
          <w:szCs w:val="24"/>
        </w:rPr>
        <w:t xml:space="preserve"> be</w:t>
      </w:r>
      <w:r w:rsidR="00183030">
        <w:rPr>
          <w:rFonts w:ascii="Arial" w:hAnsi="Arial" w:cs="Arial"/>
          <w:bCs/>
          <w:i w:val="0"/>
          <w:szCs w:val="24"/>
        </w:rPr>
        <w:t xml:space="preserve"> develop</w:t>
      </w:r>
      <w:r w:rsidR="00744914">
        <w:rPr>
          <w:rFonts w:ascii="Arial" w:hAnsi="Arial" w:cs="Arial"/>
          <w:bCs/>
          <w:i w:val="0"/>
          <w:szCs w:val="24"/>
        </w:rPr>
        <w:t>ed on</w:t>
      </w:r>
      <w:r w:rsidR="00183030">
        <w:rPr>
          <w:rFonts w:ascii="Arial" w:hAnsi="Arial" w:cs="Arial"/>
          <w:bCs/>
          <w:i w:val="0"/>
          <w:szCs w:val="24"/>
        </w:rPr>
        <w:t xml:space="preserve"> vacant land</w:t>
      </w:r>
      <w:r w:rsidR="00FA388F">
        <w:rPr>
          <w:rFonts w:ascii="Arial" w:hAnsi="Arial" w:cs="Arial"/>
          <w:bCs/>
          <w:i w:val="0"/>
          <w:szCs w:val="24"/>
        </w:rPr>
        <w:t xml:space="preserve"> rather than existing land developed as another use</w:t>
      </w:r>
      <w:r w:rsidR="000C565D">
        <w:rPr>
          <w:rFonts w:ascii="Arial" w:hAnsi="Arial" w:cs="Arial"/>
          <w:bCs/>
          <w:i w:val="0"/>
          <w:szCs w:val="24"/>
        </w:rPr>
        <w:t xml:space="preserve">, </w:t>
      </w:r>
      <w:r w:rsidR="00744914">
        <w:rPr>
          <w:rFonts w:ascii="Arial" w:hAnsi="Arial" w:cs="Arial"/>
          <w:bCs/>
          <w:i w:val="0"/>
          <w:szCs w:val="24"/>
        </w:rPr>
        <w:t xml:space="preserve">particularly </w:t>
      </w:r>
      <w:r w:rsidR="000C565D">
        <w:rPr>
          <w:rFonts w:ascii="Arial" w:hAnsi="Arial" w:cs="Arial"/>
          <w:bCs/>
          <w:i w:val="0"/>
          <w:szCs w:val="24"/>
        </w:rPr>
        <w:t>because of the prohibition on home occupations and home industries that is maintained in these Proposed Ordinances</w:t>
      </w:r>
      <w:r w:rsidR="00183030">
        <w:rPr>
          <w:rFonts w:ascii="Arial" w:hAnsi="Arial" w:cs="Arial"/>
          <w:bCs/>
          <w:i w:val="0"/>
          <w:szCs w:val="24"/>
        </w:rPr>
        <w:t xml:space="preserve">.  </w:t>
      </w:r>
      <w:r w:rsidR="00744914">
        <w:rPr>
          <w:rFonts w:ascii="Arial" w:hAnsi="Arial" w:cs="Arial"/>
          <w:bCs/>
          <w:i w:val="0"/>
          <w:szCs w:val="24"/>
        </w:rPr>
        <w:t xml:space="preserve">Although </w:t>
      </w:r>
      <w:r w:rsidR="00183030">
        <w:rPr>
          <w:rFonts w:ascii="Arial" w:hAnsi="Arial" w:cs="Arial"/>
          <w:bCs/>
          <w:i w:val="0"/>
          <w:szCs w:val="24"/>
        </w:rPr>
        <w:t xml:space="preserve">the theoretical maximums would allow </w:t>
      </w:r>
      <w:r w:rsidR="00744914">
        <w:rPr>
          <w:rFonts w:ascii="Arial" w:hAnsi="Arial" w:cs="Arial"/>
          <w:bCs/>
          <w:i w:val="0"/>
          <w:szCs w:val="24"/>
        </w:rPr>
        <w:t>additional WBDs</w:t>
      </w:r>
      <w:r w:rsidR="00183030">
        <w:rPr>
          <w:rFonts w:ascii="Arial" w:hAnsi="Arial" w:cs="Arial"/>
          <w:bCs/>
          <w:i w:val="0"/>
          <w:szCs w:val="24"/>
        </w:rPr>
        <w:t xml:space="preserve">, the demand for additional WBDs may not </w:t>
      </w:r>
      <w:r w:rsidR="00744914">
        <w:rPr>
          <w:rFonts w:ascii="Arial" w:hAnsi="Arial" w:cs="Arial"/>
          <w:bCs/>
          <w:i w:val="0"/>
          <w:szCs w:val="24"/>
        </w:rPr>
        <w:t>exist</w:t>
      </w:r>
      <w:r w:rsidR="00183030">
        <w:rPr>
          <w:rFonts w:ascii="Arial" w:hAnsi="Arial" w:cs="Arial"/>
          <w:bCs/>
          <w:i w:val="0"/>
          <w:szCs w:val="24"/>
        </w:rPr>
        <w:t xml:space="preserve"> to develop up to those maximums.</w:t>
      </w:r>
    </w:p>
    <w:p w14:paraId="2C30D083" w14:textId="67BC0B5A" w:rsidR="00B32A9C" w:rsidRDefault="00B32A9C" w:rsidP="005B478C">
      <w:pPr>
        <w:pStyle w:val="BodyText"/>
        <w:jc w:val="both"/>
        <w:rPr>
          <w:rFonts w:ascii="Arial" w:hAnsi="Arial" w:cs="Arial"/>
          <w:bCs/>
          <w:i w:val="0"/>
          <w:szCs w:val="24"/>
        </w:rPr>
      </w:pPr>
    </w:p>
    <w:p w14:paraId="48D72E3C" w14:textId="5D7DB035" w:rsidR="00F0581C" w:rsidRDefault="00F0581C" w:rsidP="005B478C">
      <w:pPr>
        <w:pStyle w:val="BodyText"/>
        <w:jc w:val="both"/>
        <w:rPr>
          <w:rFonts w:ascii="Arial" w:hAnsi="Arial" w:cs="Arial"/>
          <w:bCs/>
          <w:i w:val="0"/>
          <w:szCs w:val="24"/>
        </w:rPr>
      </w:pPr>
      <w:r w:rsidRPr="00036CFE">
        <w:rPr>
          <w:rFonts w:ascii="Arial" w:hAnsi="Arial" w:cs="Arial"/>
          <w:bCs/>
          <w:iCs/>
          <w:szCs w:val="24"/>
        </w:rPr>
        <w:t>Enforcement of Former Code.</w:t>
      </w:r>
      <w:r w:rsidR="00036CFE">
        <w:rPr>
          <w:rFonts w:ascii="Arial" w:hAnsi="Arial" w:cs="Arial"/>
          <w:bCs/>
          <w:i w:val="0"/>
          <w:szCs w:val="24"/>
        </w:rPr>
        <w:t xml:space="preserve">  Councilmembers have asked about enforcement of the </w:t>
      </w:r>
      <w:r w:rsidR="002F5230">
        <w:rPr>
          <w:rFonts w:ascii="Arial" w:hAnsi="Arial" w:cs="Arial"/>
          <w:bCs/>
          <w:i w:val="0"/>
          <w:szCs w:val="24"/>
        </w:rPr>
        <w:t xml:space="preserve">former </w:t>
      </w:r>
      <w:r w:rsidR="00036CFE">
        <w:rPr>
          <w:rFonts w:ascii="Arial" w:hAnsi="Arial" w:cs="Arial"/>
          <w:bCs/>
          <w:i w:val="0"/>
          <w:szCs w:val="24"/>
        </w:rPr>
        <w:t>code throughout the last six years.  Executive staff have provided information that outlines their concerns with enforcement of the code that was in place prior to Ordinance 19030 (references to "current code" mean the code in place prior to Ordinance 19030):</w:t>
      </w:r>
    </w:p>
    <w:p w14:paraId="093A92F7" w14:textId="2724C2EE" w:rsidR="00036CFE" w:rsidRDefault="00036CFE" w:rsidP="005B478C">
      <w:pPr>
        <w:pStyle w:val="BodyText"/>
        <w:jc w:val="both"/>
        <w:rPr>
          <w:rFonts w:ascii="Arial" w:hAnsi="Arial" w:cs="Arial"/>
          <w:bCs/>
          <w:i w:val="0"/>
          <w:szCs w:val="24"/>
        </w:rPr>
      </w:pPr>
    </w:p>
    <w:p w14:paraId="4C32E3F9" w14:textId="25A02D86" w:rsidR="00036CFE" w:rsidRDefault="00036CFE" w:rsidP="00036CFE">
      <w:pPr>
        <w:ind w:left="720" w:right="720"/>
        <w:jc w:val="both"/>
      </w:pPr>
      <w:r>
        <w:t>After deliberation at the County Council, Executive staff was asked to provide context for what would happen if the county were to abandon the proposed code update and just enforce the current code. Below is an attempt to catalogue ambiguities in the current code and the problems that would remain unsolved if a code update was not implemented:</w:t>
      </w:r>
    </w:p>
    <w:p w14:paraId="0CFF2A73" w14:textId="77777777" w:rsidR="00036CFE" w:rsidRDefault="00036CFE" w:rsidP="00036CFE">
      <w:pPr>
        <w:ind w:left="720" w:right="720"/>
        <w:jc w:val="both"/>
      </w:pPr>
    </w:p>
    <w:p w14:paraId="57609E4C" w14:textId="77777777" w:rsidR="00036CFE" w:rsidRDefault="00036CFE" w:rsidP="00036CFE">
      <w:pPr>
        <w:ind w:left="720" w:right="720"/>
        <w:jc w:val="both"/>
        <w:rPr>
          <w:b/>
          <w:u w:val="single"/>
        </w:rPr>
      </w:pPr>
      <w:r w:rsidRPr="00F813AE">
        <w:rPr>
          <w:b/>
          <w:u w:val="single"/>
        </w:rPr>
        <w:t>Product Content Requirement:</w:t>
      </w:r>
    </w:p>
    <w:p w14:paraId="30A5B775" w14:textId="340C3D2B" w:rsidR="00036CFE" w:rsidRDefault="00036CFE" w:rsidP="00036CFE">
      <w:pPr>
        <w:ind w:left="720" w:right="720"/>
        <w:jc w:val="both"/>
      </w:pPr>
      <w:r>
        <w:t xml:space="preserve">The current code requires that any winery, brewery, or distillery must make 60% of their product content with products grown in Puget Sound Counties. </w:t>
      </w:r>
    </w:p>
    <w:p w14:paraId="549367B9" w14:textId="77777777" w:rsidR="00036CFE" w:rsidRDefault="00036CFE" w:rsidP="00036CFE">
      <w:pPr>
        <w:ind w:left="720" w:right="720"/>
        <w:jc w:val="both"/>
      </w:pPr>
    </w:p>
    <w:p w14:paraId="607BC1EB" w14:textId="35FEFA86" w:rsidR="00036CFE" w:rsidRDefault="00036CFE" w:rsidP="00036CFE">
      <w:pPr>
        <w:ind w:left="720" w:right="720"/>
        <w:jc w:val="both"/>
      </w:pPr>
      <w:r>
        <w:t xml:space="preserve">As of today, only a small handful of known businesses are meeting that requirement. Many wineries in the unincorporated areas ship their grapes in from areas in eastern Washington where grapes can be grown more easily. </w:t>
      </w:r>
    </w:p>
    <w:p w14:paraId="11DDCA1D" w14:textId="77777777" w:rsidR="00036CFE" w:rsidRDefault="00036CFE" w:rsidP="00036CFE">
      <w:pPr>
        <w:ind w:left="720" w:right="720"/>
        <w:jc w:val="both"/>
      </w:pPr>
    </w:p>
    <w:p w14:paraId="7382D84D" w14:textId="2BB762CF" w:rsidR="00036CFE" w:rsidRDefault="00036CFE" w:rsidP="00036CFE">
      <w:pPr>
        <w:ind w:left="720" w:right="720"/>
        <w:jc w:val="both"/>
      </w:pPr>
      <w:r>
        <w:t>Although most businesses would not be able to comply with code, enforcing the product content rule would be difficult, because tracking and proving product content would often require processes outside of Permitting staff’s capabilities</w:t>
      </w:r>
      <w:r w:rsidR="000C565D">
        <w:t xml:space="preserve"> and implicates the interstate commerce clause in its enforceability</w:t>
      </w:r>
      <w:r>
        <w:t xml:space="preserve">.  </w:t>
      </w:r>
    </w:p>
    <w:p w14:paraId="06CB39FA" w14:textId="049F6F70" w:rsidR="00036CFE" w:rsidRDefault="00036CFE" w:rsidP="00036CFE">
      <w:pPr>
        <w:ind w:left="720" w:right="720"/>
        <w:jc w:val="both"/>
      </w:pPr>
      <w:r>
        <w:t xml:space="preserve"> </w:t>
      </w:r>
    </w:p>
    <w:p w14:paraId="3D7BEAFC" w14:textId="77777777" w:rsidR="00036CFE" w:rsidRDefault="00036CFE" w:rsidP="00036CFE">
      <w:pPr>
        <w:ind w:left="720" w:right="720"/>
        <w:jc w:val="both"/>
        <w:rPr>
          <w:b/>
          <w:u w:val="single"/>
        </w:rPr>
      </w:pPr>
      <w:r w:rsidRPr="00F813AE">
        <w:rPr>
          <w:b/>
          <w:u w:val="single"/>
        </w:rPr>
        <w:t>Home Occupation/Home Industry:</w:t>
      </w:r>
    </w:p>
    <w:p w14:paraId="2A559A91" w14:textId="51F84019" w:rsidR="000C565D" w:rsidRDefault="00036CFE" w:rsidP="00036CFE">
      <w:pPr>
        <w:ind w:left="720" w:right="720"/>
        <w:jc w:val="both"/>
      </w:pPr>
      <w:r>
        <w:lastRenderedPageBreak/>
        <w:t xml:space="preserve">Current code as it relates to home occupation and home industries is very vague and does not address wineries, breweries, or distilleries whatsoever. The home occupation code as written did not anticipate these types of businesses and therefore did not contemplate issues of tastings and eating and drinking establishments. Because of this ambiguity, code enforcement has found over the years that many </w:t>
      </w:r>
      <w:proofErr w:type="gramStart"/>
      <w:r>
        <w:t>winery</w:t>
      </w:r>
      <w:proofErr w:type="gramEnd"/>
      <w:r>
        <w:t xml:space="preserve">, brewery, and/or distillery businesses operating as home occupations are not </w:t>
      </w:r>
      <w:r w:rsidR="000C565D">
        <w:t>legally established</w:t>
      </w:r>
      <w:r>
        <w:t xml:space="preserve">, meaning no one is actually living on-site. </w:t>
      </w:r>
      <w:r w:rsidR="000C565D">
        <w:t>Constitutional limits on enforcement and search of residences adds to the enforcement challenges for home occupations and home industries.</w:t>
      </w:r>
    </w:p>
    <w:p w14:paraId="6BD2E72E" w14:textId="77777777" w:rsidR="000C565D" w:rsidRDefault="000C565D" w:rsidP="00036CFE">
      <w:pPr>
        <w:ind w:left="720" w:right="720"/>
        <w:jc w:val="both"/>
      </w:pPr>
    </w:p>
    <w:p w14:paraId="55F2A41B" w14:textId="3BBFD27A" w:rsidR="00036CFE" w:rsidRDefault="00036CFE" w:rsidP="00036CFE">
      <w:pPr>
        <w:ind w:left="720" w:right="720"/>
        <w:jc w:val="both"/>
      </w:pPr>
      <w:r>
        <w:t>Conversely, residents who want to start a winery, brewery, or distillery business find the code vague and confusing to comply with, leading to businesses having to go to the hearing examiner for clarity on what exactly the code means and does in relation to their specific business model. If current code were to be enforced, the loopholes and challenges for well-meaning business owners would remain unresolved.</w:t>
      </w:r>
    </w:p>
    <w:p w14:paraId="0A5FAD84" w14:textId="77777777" w:rsidR="00036CFE" w:rsidRDefault="00036CFE" w:rsidP="00036CFE">
      <w:pPr>
        <w:ind w:left="720" w:right="720"/>
        <w:jc w:val="both"/>
      </w:pPr>
    </w:p>
    <w:p w14:paraId="588E827D" w14:textId="77777777" w:rsidR="00036CFE" w:rsidRDefault="00036CFE" w:rsidP="00036CFE">
      <w:pPr>
        <w:ind w:left="720" w:right="720"/>
        <w:jc w:val="both"/>
        <w:rPr>
          <w:b/>
          <w:u w:val="single"/>
        </w:rPr>
      </w:pPr>
      <w:r w:rsidRPr="006C147A">
        <w:rPr>
          <w:b/>
          <w:u w:val="single"/>
        </w:rPr>
        <w:t>Fines:</w:t>
      </w:r>
    </w:p>
    <w:p w14:paraId="6E30D7B7" w14:textId="11B301A4" w:rsidR="00036CFE" w:rsidRDefault="00036CFE" w:rsidP="00036CFE">
      <w:pPr>
        <w:ind w:left="720" w:right="720"/>
        <w:jc w:val="both"/>
      </w:pPr>
      <w:r>
        <w:t xml:space="preserve">According to Title 23, fines for when a winery, brewery, or distillery business violates the current code are </w:t>
      </w:r>
      <w:r w:rsidR="000C565D">
        <w:t xml:space="preserve">very </w:t>
      </w:r>
      <w:r>
        <w:t xml:space="preserve">low.  For businesses that cannot come into compliance with the current code and/or businesses that violate the county’s code governing the operation of WBDs, it is often cheaper for them to just pay the fine than do the work with Permitting to become a </w:t>
      </w:r>
      <w:r w:rsidR="000C565D">
        <w:t xml:space="preserve">lawful </w:t>
      </w:r>
      <w:r>
        <w:t xml:space="preserve">business. </w:t>
      </w:r>
    </w:p>
    <w:p w14:paraId="72604427" w14:textId="77777777" w:rsidR="00036CFE" w:rsidRDefault="00036CFE" w:rsidP="00036CFE">
      <w:pPr>
        <w:ind w:left="720" w:right="720"/>
        <w:jc w:val="both"/>
      </w:pPr>
    </w:p>
    <w:p w14:paraId="62D06D4E" w14:textId="4CB261D7" w:rsidR="00036CFE" w:rsidRDefault="00036CFE" w:rsidP="00036CFE">
      <w:pPr>
        <w:ind w:left="720" w:right="720"/>
        <w:jc w:val="both"/>
      </w:pPr>
      <w:r>
        <w:t>If the current code were to be enforced, fines for businesses that violate county code would remain low and would not incentivize businesses to work to become compliant or relocate. Conversely, businesses who have invested the time and resources to become compliant with code had to work harder and pay more money than those who choose to remain in violation of the code, leaving a major equity issue unaddressed.</w:t>
      </w:r>
    </w:p>
    <w:p w14:paraId="2262D8E1" w14:textId="77777777" w:rsidR="00036CFE" w:rsidRDefault="00036CFE" w:rsidP="00036CFE">
      <w:pPr>
        <w:ind w:left="720" w:right="720"/>
        <w:jc w:val="both"/>
      </w:pPr>
    </w:p>
    <w:p w14:paraId="70FE43D7" w14:textId="77777777" w:rsidR="00036CFE" w:rsidRDefault="00036CFE" w:rsidP="00036CFE">
      <w:pPr>
        <w:ind w:left="720" w:right="720"/>
        <w:jc w:val="both"/>
        <w:rPr>
          <w:b/>
          <w:u w:val="single"/>
        </w:rPr>
      </w:pPr>
      <w:r w:rsidRPr="00F42C53">
        <w:rPr>
          <w:b/>
          <w:u w:val="single"/>
        </w:rPr>
        <w:t xml:space="preserve">Impacts of these businesses on surrounding communities:  </w:t>
      </w:r>
    </w:p>
    <w:p w14:paraId="657D8EA2" w14:textId="4B726A02" w:rsidR="00036CFE" w:rsidRDefault="00036CFE" w:rsidP="00036CFE">
      <w:pPr>
        <w:ind w:left="720" w:right="720"/>
        <w:jc w:val="both"/>
      </w:pPr>
      <w:r>
        <w:t xml:space="preserve">Currently, the code is unclear about the hours a winery or </w:t>
      </w:r>
      <w:proofErr w:type="gramStart"/>
      <w:r>
        <w:t>adult beverage</w:t>
      </w:r>
      <w:proofErr w:type="gramEnd"/>
      <w:r>
        <w:t xml:space="preserve"> business can conduct tastings and/or hold events. The current code is also unclear about </w:t>
      </w:r>
      <w:proofErr w:type="gramStart"/>
      <w:r>
        <w:t>whether or not</w:t>
      </w:r>
      <w:proofErr w:type="gramEnd"/>
      <w:r>
        <w:t xml:space="preserve"> a winery or adult beverage business can operate on a private driveway shared with other neighbors, within a cul-de-sac in a residential zone, and how many people are allowed for special events like concerts, weddings, and fundraisers. Because the code lacks specificity in these areas, the impacts on surrounding communities have been and remain significant. If current code were to be enforced businesses located in these areas may continue to operate at a size and scale that is not appropriate for the rural and agriculturally zoned areas. In the same vein, businesses seeking to operate legally would be stuck with the same ambiguity that makes it difficult to do just that.</w:t>
      </w:r>
    </w:p>
    <w:p w14:paraId="7FED4664" w14:textId="77777777" w:rsidR="00036CFE" w:rsidRDefault="00036CFE" w:rsidP="00036CFE">
      <w:pPr>
        <w:ind w:left="720" w:right="720"/>
        <w:jc w:val="both"/>
      </w:pPr>
    </w:p>
    <w:p w14:paraId="1CD5BCB0" w14:textId="77777777" w:rsidR="00036CFE" w:rsidRDefault="00036CFE" w:rsidP="00036CFE">
      <w:pPr>
        <w:ind w:left="720" w:right="720"/>
        <w:jc w:val="both"/>
        <w:rPr>
          <w:b/>
          <w:u w:val="single"/>
        </w:rPr>
      </w:pPr>
      <w:r w:rsidRPr="009A4745">
        <w:rPr>
          <w:b/>
          <w:u w:val="single"/>
        </w:rPr>
        <w:t>Agricultural Production Districts</w:t>
      </w:r>
      <w:r>
        <w:rPr>
          <w:b/>
          <w:u w:val="single"/>
        </w:rPr>
        <w:t xml:space="preserve"> (APD)</w:t>
      </w:r>
      <w:r w:rsidRPr="009A4745">
        <w:rPr>
          <w:b/>
          <w:u w:val="single"/>
        </w:rPr>
        <w:t>:</w:t>
      </w:r>
    </w:p>
    <w:p w14:paraId="4EB46BA0" w14:textId="72237E35" w:rsidR="00036CFE" w:rsidRDefault="00036CFE" w:rsidP="00036CFE">
      <w:pPr>
        <w:ind w:left="720" w:right="720"/>
        <w:jc w:val="both"/>
      </w:pPr>
      <w:r>
        <w:t xml:space="preserve">One of the main recommendations that came out of the stakeholder group process was to maintain protections for the APD by not changing current code OR creating more restrictive code for winery and </w:t>
      </w:r>
      <w:proofErr w:type="gramStart"/>
      <w:r>
        <w:t>adult beverage</w:t>
      </w:r>
      <w:proofErr w:type="gramEnd"/>
      <w:r>
        <w:t xml:space="preserve"> businesses looking to locate on agricultural land. The current code allows for 60% of product content to be grown </w:t>
      </w:r>
      <w:r>
        <w:lastRenderedPageBreak/>
        <w:t xml:space="preserve">in Puget Sound Counties, rather than on the agricultural land itself. The current code also allows for home occupations and home industries to be located on APD properties. If current code were to be enforced, businesses could continue to locate on agricultural land with no incentive to </w:t>
      </w:r>
      <w:proofErr w:type="gramStart"/>
      <w:r>
        <w:t>actually put</w:t>
      </w:r>
      <w:proofErr w:type="gramEnd"/>
      <w:r>
        <w:t xml:space="preserve"> the land into production. These businesses could also act as home occupations or home industries, which the King County Agricultural Commission and many farmers and environmental organizations do not support. </w:t>
      </w:r>
    </w:p>
    <w:p w14:paraId="56ADA2C6" w14:textId="77777777" w:rsidR="00036CFE" w:rsidRDefault="00036CFE" w:rsidP="00036CFE">
      <w:pPr>
        <w:ind w:left="720" w:right="720"/>
        <w:jc w:val="both"/>
      </w:pPr>
    </w:p>
    <w:p w14:paraId="7A91C219" w14:textId="77777777" w:rsidR="00036CFE" w:rsidRDefault="00036CFE" w:rsidP="00036CFE">
      <w:pPr>
        <w:ind w:left="720" w:right="720"/>
        <w:jc w:val="both"/>
        <w:rPr>
          <w:b/>
          <w:u w:val="single"/>
        </w:rPr>
      </w:pPr>
      <w:r w:rsidRPr="009A4745">
        <w:rPr>
          <w:b/>
          <w:u w:val="single"/>
        </w:rPr>
        <w:t>Processing Requirements:</w:t>
      </w:r>
    </w:p>
    <w:p w14:paraId="44D02547" w14:textId="5E4A78F1" w:rsidR="00036CFE" w:rsidRDefault="00036CFE" w:rsidP="00036CFE">
      <w:pPr>
        <w:ind w:left="720" w:right="720"/>
        <w:jc w:val="both"/>
      </w:pPr>
      <w:r>
        <w:t xml:space="preserve">Current code does not address or define processing requirements for winery and </w:t>
      </w:r>
      <w:proofErr w:type="gramStart"/>
      <w:r>
        <w:t>adult beverage</w:t>
      </w:r>
      <w:proofErr w:type="gramEnd"/>
      <w:r>
        <w:t xml:space="preserve"> businesses, meaning that no actual production is required to happen on-site. If current code were to be enforced, winery and </w:t>
      </w:r>
      <w:proofErr w:type="gramStart"/>
      <w:r>
        <w:t>adult beverage</w:t>
      </w:r>
      <w:proofErr w:type="gramEnd"/>
      <w:r>
        <w:t xml:space="preserve"> businesses would not be required to conduct any stage of production for their product on-site, allowing a number of businesses to essentially operate as urban-scale event venues.</w:t>
      </w:r>
    </w:p>
    <w:p w14:paraId="6A0EAEC8" w14:textId="77777777" w:rsidR="00036CFE" w:rsidRDefault="00036CFE" w:rsidP="00036CFE">
      <w:pPr>
        <w:ind w:left="720" w:right="720"/>
        <w:jc w:val="both"/>
      </w:pPr>
    </w:p>
    <w:p w14:paraId="0032F9BA" w14:textId="77777777" w:rsidR="00036CFE" w:rsidRDefault="00036CFE" w:rsidP="00036CFE">
      <w:pPr>
        <w:ind w:left="720" w:right="720"/>
        <w:jc w:val="both"/>
        <w:rPr>
          <w:b/>
          <w:u w:val="single"/>
        </w:rPr>
      </w:pPr>
      <w:r w:rsidRPr="001A7AA4">
        <w:rPr>
          <w:b/>
          <w:u w:val="single"/>
        </w:rPr>
        <w:t>Business License:</w:t>
      </w:r>
    </w:p>
    <w:p w14:paraId="3EA2FB62" w14:textId="3078C2F9" w:rsidR="00036CFE" w:rsidRPr="001A7AA4" w:rsidRDefault="00036CFE" w:rsidP="00036CFE">
      <w:pPr>
        <w:ind w:left="720" w:right="720"/>
        <w:jc w:val="both"/>
      </w:pPr>
      <w:r>
        <w:t xml:space="preserve">Current code does not require a winery or </w:t>
      </w:r>
      <w:proofErr w:type="gramStart"/>
      <w:r>
        <w:t>adult beverage</w:t>
      </w:r>
      <w:proofErr w:type="gramEnd"/>
      <w:r>
        <w:t xml:space="preserve"> business to get a county business license, making it difficult for Permitting to track the number of businesses that have proliferated in the over 15 years since the current code was written. Because we have a complaint-based model for code-enforcement, it remains challenging for our code enforcement officers to track where and when new businesses are beginning to operate. If current code were to be enforced, a winery and/or </w:t>
      </w:r>
      <w:proofErr w:type="gramStart"/>
      <w:r>
        <w:t>adult beverage</w:t>
      </w:r>
      <w:proofErr w:type="gramEnd"/>
      <w:r>
        <w:t xml:space="preserve"> business in King County would need to obtain a liquor license from the LCB, but no license for land use purposes.</w:t>
      </w:r>
      <w:r w:rsidR="000C565D">
        <w:t xml:space="preserve">  It is also worth noting that the LCB's practice is to issue state licenses over the objections of the local jurisdiction based on zoning, further complicating enforcement.</w:t>
      </w:r>
    </w:p>
    <w:p w14:paraId="4856FCF3" w14:textId="77777777" w:rsidR="00036CFE" w:rsidRDefault="00036CFE" w:rsidP="005B478C">
      <w:pPr>
        <w:pStyle w:val="BodyText"/>
        <w:jc w:val="both"/>
        <w:rPr>
          <w:rFonts w:ascii="Arial" w:hAnsi="Arial" w:cs="Arial"/>
          <w:bCs/>
          <w:i w:val="0"/>
          <w:szCs w:val="24"/>
        </w:rPr>
      </w:pPr>
    </w:p>
    <w:p w14:paraId="243BC0F6" w14:textId="6DF2C92B" w:rsidR="00036CFE" w:rsidRDefault="00FF56F5" w:rsidP="005B478C">
      <w:pPr>
        <w:pStyle w:val="BodyText"/>
        <w:jc w:val="both"/>
        <w:rPr>
          <w:rFonts w:ascii="Arial" w:hAnsi="Arial" w:cs="Arial"/>
          <w:bCs/>
          <w:i w:val="0"/>
          <w:szCs w:val="24"/>
        </w:rPr>
      </w:pPr>
      <w:r>
        <w:rPr>
          <w:rFonts w:ascii="Arial" w:hAnsi="Arial" w:cs="Arial"/>
          <w:bCs/>
          <w:i w:val="0"/>
          <w:szCs w:val="24"/>
        </w:rPr>
        <w:t>One additional note on the former code:  for home occupations in the RA zone, there is no minimum lot size or 75</w:t>
      </w:r>
      <w:r w:rsidR="00744914">
        <w:rPr>
          <w:rFonts w:ascii="Arial" w:hAnsi="Arial" w:cs="Arial"/>
          <w:bCs/>
          <w:i w:val="0"/>
          <w:szCs w:val="24"/>
        </w:rPr>
        <w:t>-foot</w:t>
      </w:r>
      <w:r>
        <w:rPr>
          <w:rFonts w:ascii="Arial" w:hAnsi="Arial" w:cs="Arial"/>
          <w:bCs/>
          <w:i w:val="0"/>
          <w:szCs w:val="24"/>
        </w:rPr>
        <w:t xml:space="preserve"> setback requirement, meaning nearly any property could establish a home occupation</w:t>
      </w:r>
      <w:r w:rsidR="00A01832" w:rsidRPr="00A01832">
        <w:rPr>
          <w:rFonts w:ascii="Arial" w:hAnsi="Arial" w:cs="Arial"/>
          <w:bCs/>
          <w:i w:val="0"/>
          <w:szCs w:val="24"/>
        </w:rPr>
        <w:t xml:space="preserve"> </w:t>
      </w:r>
      <w:r w:rsidR="00A01832">
        <w:rPr>
          <w:rFonts w:ascii="Arial" w:hAnsi="Arial" w:cs="Arial"/>
          <w:bCs/>
          <w:i w:val="0"/>
          <w:szCs w:val="24"/>
        </w:rPr>
        <w:t>WBD</w:t>
      </w:r>
      <w:r>
        <w:rPr>
          <w:rFonts w:ascii="Arial" w:hAnsi="Arial" w:cs="Arial"/>
          <w:bCs/>
          <w:i w:val="0"/>
          <w:szCs w:val="24"/>
        </w:rPr>
        <w:t xml:space="preserve">.  </w:t>
      </w:r>
      <w:r w:rsidR="00744914">
        <w:rPr>
          <w:rFonts w:ascii="Arial" w:hAnsi="Arial" w:cs="Arial"/>
          <w:bCs/>
          <w:i w:val="0"/>
          <w:szCs w:val="24"/>
        </w:rPr>
        <w:t>Additionally, o</w:t>
      </w:r>
      <w:r>
        <w:rPr>
          <w:rFonts w:ascii="Arial" w:hAnsi="Arial" w:cs="Arial"/>
          <w:bCs/>
          <w:i w:val="0"/>
          <w:szCs w:val="24"/>
        </w:rPr>
        <w:t xml:space="preserve">utbuildings are not limited in size.  </w:t>
      </w:r>
      <w:r w:rsidR="00744914">
        <w:rPr>
          <w:rFonts w:ascii="Arial" w:hAnsi="Arial" w:cs="Arial"/>
          <w:bCs/>
          <w:i w:val="0"/>
          <w:szCs w:val="24"/>
        </w:rPr>
        <w:t>Although</w:t>
      </w:r>
      <w:r>
        <w:rPr>
          <w:rFonts w:ascii="Arial" w:hAnsi="Arial" w:cs="Arial"/>
          <w:bCs/>
          <w:i w:val="0"/>
          <w:szCs w:val="24"/>
        </w:rPr>
        <w:t xml:space="preserve"> there are </w:t>
      </w:r>
      <w:r w:rsidR="007C47B2">
        <w:rPr>
          <w:rFonts w:ascii="Arial" w:hAnsi="Arial" w:cs="Arial"/>
          <w:bCs/>
          <w:i w:val="0"/>
          <w:szCs w:val="24"/>
        </w:rPr>
        <w:t xml:space="preserve">some </w:t>
      </w:r>
      <w:r>
        <w:rPr>
          <w:rFonts w:ascii="Arial" w:hAnsi="Arial" w:cs="Arial"/>
          <w:bCs/>
          <w:i w:val="0"/>
          <w:szCs w:val="24"/>
        </w:rPr>
        <w:t xml:space="preserve">limitations on traffic generation, </w:t>
      </w:r>
      <w:r w:rsidR="007C47B2">
        <w:rPr>
          <w:rFonts w:ascii="Arial" w:hAnsi="Arial" w:cs="Arial"/>
          <w:bCs/>
          <w:i w:val="0"/>
          <w:szCs w:val="24"/>
        </w:rPr>
        <w:t xml:space="preserve">a home occupation WBD could have the size and intensity of a larger facility with fewer restrictions and </w:t>
      </w:r>
      <w:r>
        <w:rPr>
          <w:rFonts w:ascii="Arial" w:hAnsi="Arial" w:cs="Arial"/>
          <w:bCs/>
          <w:i w:val="0"/>
          <w:szCs w:val="24"/>
        </w:rPr>
        <w:t xml:space="preserve">the impacts of a home occupation </w:t>
      </w:r>
      <w:r w:rsidR="00A01832">
        <w:rPr>
          <w:rFonts w:ascii="Arial" w:hAnsi="Arial" w:cs="Arial"/>
          <w:bCs/>
          <w:i w:val="0"/>
          <w:szCs w:val="24"/>
        </w:rPr>
        <w:t xml:space="preserve">WBD </w:t>
      </w:r>
      <w:r>
        <w:rPr>
          <w:rFonts w:ascii="Arial" w:hAnsi="Arial" w:cs="Arial"/>
          <w:bCs/>
          <w:i w:val="0"/>
          <w:szCs w:val="24"/>
        </w:rPr>
        <w:t xml:space="preserve">could be </w:t>
      </w:r>
      <w:r w:rsidR="00744914">
        <w:rPr>
          <w:rFonts w:ascii="Arial" w:hAnsi="Arial" w:cs="Arial"/>
          <w:bCs/>
          <w:i w:val="0"/>
          <w:szCs w:val="24"/>
        </w:rPr>
        <w:t xml:space="preserve">greater </w:t>
      </w:r>
      <w:r>
        <w:rPr>
          <w:rFonts w:ascii="Arial" w:hAnsi="Arial" w:cs="Arial"/>
          <w:bCs/>
          <w:i w:val="0"/>
          <w:szCs w:val="24"/>
        </w:rPr>
        <w:t>than a WBD III under Ordinance 19030 or under the two Proposed Ordinances before the Committee today.</w:t>
      </w:r>
    </w:p>
    <w:p w14:paraId="2BDE6F84" w14:textId="0F68E00A" w:rsidR="00FA388F" w:rsidRDefault="00FA388F" w:rsidP="005B478C">
      <w:pPr>
        <w:pStyle w:val="BodyText"/>
        <w:jc w:val="both"/>
        <w:rPr>
          <w:rFonts w:ascii="Arial" w:hAnsi="Arial" w:cs="Arial"/>
          <w:bCs/>
          <w:i w:val="0"/>
          <w:szCs w:val="24"/>
        </w:rPr>
      </w:pPr>
    </w:p>
    <w:p w14:paraId="6BD7ED39" w14:textId="5AE526F8" w:rsidR="001F6A5E" w:rsidRDefault="00FA388F" w:rsidP="005B478C">
      <w:pPr>
        <w:pStyle w:val="BodyText"/>
        <w:jc w:val="both"/>
        <w:rPr>
          <w:rFonts w:ascii="Arial" w:hAnsi="Arial" w:cs="Arial"/>
          <w:bCs/>
          <w:i w:val="0"/>
          <w:szCs w:val="24"/>
        </w:rPr>
      </w:pPr>
      <w:r w:rsidRPr="001F6A5E">
        <w:rPr>
          <w:rFonts w:ascii="Arial" w:hAnsi="Arial" w:cs="Arial"/>
          <w:bCs/>
          <w:iCs/>
          <w:szCs w:val="24"/>
        </w:rPr>
        <w:t>Comprehensive Plan.</w:t>
      </w:r>
      <w:r w:rsidRPr="001F6A5E">
        <w:rPr>
          <w:rFonts w:ascii="Arial" w:hAnsi="Arial" w:cs="Arial"/>
          <w:bCs/>
          <w:i w:val="0"/>
          <w:szCs w:val="24"/>
        </w:rPr>
        <w:t xml:space="preserve"> </w:t>
      </w:r>
      <w:r w:rsidR="001F6A5E" w:rsidRPr="001F6A5E">
        <w:rPr>
          <w:rFonts w:ascii="Arial" w:hAnsi="Arial" w:cs="Arial"/>
          <w:bCs/>
          <w:i w:val="0"/>
          <w:szCs w:val="24"/>
        </w:rPr>
        <w:t xml:space="preserve">The </w:t>
      </w:r>
      <w:hyperlink r:id="rId9" w:history="1">
        <w:r w:rsidR="001F6A5E" w:rsidRPr="001F6A5E">
          <w:rPr>
            <w:rStyle w:val="Hyperlink"/>
            <w:rFonts w:ascii="Arial" w:hAnsi="Arial" w:cs="Arial"/>
            <w:bCs/>
            <w:i w:val="0"/>
            <w:szCs w:val="24"/>
          </w:rPr>
          <w:t>King County Comprehensive Plan</w:t>
        </w:r>
      </w:hyperlink>
      <w:r w:rsidR="001F6A5E" w:rsidRPr="001F6A5E">
        <w:rPr>
          <w:rFonts w:ascii="Arial" w:hAnsi="Arial" w:cs="Arial"/>
          <w:bCs/>
          <w:i w:val="0"/>
          <w:szCs w:val="24"/>
        </w:rPr>
        <w:t xml:space="preserve"> is the guiding policy document for land use in unincorporated King County</w:t>
      </w:r>
      <w:r w:rsidR="001F6A5E">
        <w:rPr>
          <w:rFonts w:ascii="Arial" w:hAnsi="Arial" w:cs="Arial"/>
          <w:bCs/>
          <w:i w:val="0"/>
          <w:szCs w:val="24"/>
        </w:rPr>
        <w:t xml:space="preserve">; all development regulations are required to be consistent with the Comprehensive Plan.  As noted in the Findings of the Proposed Ordinances, there are numerous Comprehensive Plan policies that pertain to the WBD zoning regulations. For example, Chapter 3 of the Comprehensive Plan includes policies that require protection of agricultural land and rural character, and Chapter 10 of the Comprehensive Plan includes policies that require rural economic development of a size and scale compatible with the rural area.  The County's current Comprehensive Plan was adopted in 2016, with amendments most recently </w:t>
      </w:r>
      <w:r w:rsidR="000C565D">
        <w:rPr>
          <w:rFonts w:ascii="Arial" w:hAnsi="Arial" w:cs="Arial"/>
          <w:bCs/>
          <w:i w:val="0"/>
          <w:szCs w:val="24"/>
        </w:rPr>
        <w:t xml:space="preserve">in </w:t>
      </w:r>
      <w:r w:rsidR="001F6A5E">
        <w:rPr>
          <w:rFonts w:ascii="Arial" w:hAnsi="Arial" w:cs="Arial"/>
          <w:bCs/>
          <w:i w:val="0"/>
          <w:szCs w:val="24"/>
        </w:rPr>
        <w:t xml:space="preserve">2020.  </w:t>
      </w:r>
    </w:p>
    <w:p w14:paraId="0B888FD9" w14:textId="77777777" w:rsidR="001F6A5E" w:rsidRDefault="001F6A5E" w:rsidP="005B478C">
      <w:pPr>
        <w:pStyle w:val="BodyText"/>
        <w:jc w:val="both"/>
        <w:rPr>
          <w:rFonts w:ascii="Arial" w:hAnsi="Arial" w:cs="Arial"/>
          <w:bCs/>
          <w:i w:val="0"/>
          <w:szCs w:val="24"/>
        </w:rPr>
      </w:pPr>
    </w:p>
    <w:p w14:paraId="4567A53E" w14:textId="5685B0DD" w:rsidR="00FA388F" w:rsidRPr="001F6A5E" w:rsidRDefault="001F6A5E" w:rsidP="005B478C">
      <w:pPr>
        <w:pStyle w:val="BodyText"/>
        <w:jc w:val="both"/>
        <w:rPr>
          <w:rFonts w:ascii="Arial" w:hAnsi="Arial" w:cs="Arial"/>
          <w:bCs/>
          <w:i w:val="0"/>
          <w:szCs w:val="24"/>
        </w:rPr>
      </w:pPr>
      <w:r>
        <w:rPr>
          <w:rFonts w:ascii="Arial" w:hAnsi="Arial" w:cs="Arial"/>
          <w:bCs/>
          <w:i w:val="0"/>
          <w:szCs w:val="24"/>
        </w:rPr>
        <w:t xml:space="preserve">The County's next GMA-mandated update, to incorporate changes made in state law, the Multicounty Planning Policies, and the 2021 Countywide Planning Policies, is required to be adopted by December 31, 2024.  </w:t>
      </w:r>
    </w:p>
    <w:p w14:paraId="5E0D8AD6" w14:textId="48942CC0" w:rsidR="00F0581C" w:rsidRDefault="00F0581C" w:rsidP="005B478C">
      <w:pPr>
        <w:pStyle w:val="BodyText"/>
        <w:jc w:val="both"/>
        <w:rPr>
          <w:rFonts w:ascii="Arial" w:hAnsi="Arial" w:cs="Arial"/>
          <w:bCs/>
          <w:i w:val="0"/>
          <w:szCs w:val="24"/>
        </w:rPr>
      </w:pPr>
    </w:p>
    <w:p w14:paraId="614D24E1" w14:textId="03D8C8EF" w:rsidR="00686542" w:rsidRPr="001C4B19" w:rsidRDefault="00E96DDA" w:rsidP="0077714E">
      <w:pPr>
        <w:pStyle w:val="BodyText"/>
        <w:keepNext/>
        <w:keepLines/>
        <w:jc w:val="both"/>
        <w:rPr>
          <w:rFonts w:ascii="Arial" w:hAnsi="Arial" w:cs="Arial"/>
          <w:b/>
          <w:i w:val="0"/>
          <w:szCs w:val="24"/>
          <w:u w:val="single"/>
        </w:rPr>
      </w:pPr>
      <w:r w:rsidRPr="001C4B19">
        <w:rPr>
          <w:rFonts w:ascii="Arial" w:hAnsi="Arial" w:cs="Arial"/>
          <w:b/>
          <w:i w:val="0"/>
          <w:szCs w:val="24"/>
          <w:u w:val="single"/>
        </w:rPr>
        <w:lastRenderedPageBreak/>
        <w:t>AMENDMENT</w:t>
      </w:r>
    </w:p>
    <w:p w14:paraId="678CAD98" w14:textId="35910A21" w:rsidR="00074A56" w:rsidRDefault="00074A56" w:rsidP="00242922">
      <w:pPr>
        <w:pStyle w:val="BodyText"/>
        <w:keepNext/>
        <w:keepLines/>
        <w:jc w:val="both"/>
        <w:rPr>
          <w:rFonts w:ascii="Arial" w:hAnsi="Arial" w:cs="Arial"/>
          <w:i w:val="0"/>
          <w:szCs w:val="24"/>
        </w:rPr>
      </w:pPr>
    </w:p>
    <w:p w14:paraId="183E6A62" w14:textId="33D00EAA" w:rsidR="00242922" w:rsidRDefault="00242922" w:rsidP="00242922">
      <w:pPr>
        <w:pStyle w:val="BodyText"/>
        <w:keepNext/>
        <w:keepLines/>
        <w:jc w:val="both"/>
        <w:rPr>
          <w:rFonts w:ascii="Arial" w:hAnsi="Arial" w:cs="Arial"/>
          <w:i w:val="0"/>
          <w:szCs w:val="24"/>
        </w:rPr>
      </w:pPr>
      <w:r>
        <w:rPr>
          <w:rFonts w:ascii="Arial" w:hAnsi="Arial" w:cs="Arial"/>
          <w:i w:val="0"/>
          <w:szCs w:val="24"/>
        </w:rPr>
        <w:t>Councilmember Perry has made draft striking amendments available for both Proposed Ordinances, they are included in Attachments 3 and 4 to this staff report.</w:t>
      </w:r>
    </w:p>
    <w:p w14:paraId="3A73455B" w14:textId="77777777" w:rsidR="00242922" w:rsidRDefault="00242922" w:rsidP="0077714E">
      <w:pPr>
        <w:pStyle w:val="BodyText"/>
        <w:keepNext/>
        <w:keepLines/>
        <w:jc w:val="both"/>
        <w:rPr>
          <w:rFonts w:ascii="Arial" w:hAnsi="Arial" w:cs="Arial"/>
          <w:i w:val="0"/>
          <w:szCs w:val="24"/>
        </w:rPr>
      </w:pPr>
    </w:p>
    <w:p w14:paraId="7729F064" w14:textId="4E9FBB8B" w:rsidR="009E348B" w:rsidRPr="009E348B" w:rsidRDefault="00DC7B58" w:rsidP="0077714E">
      <w:pPr>
        <w:keepNext/>
        <w:keepLines/>
        <w:jc w:val="both"/>
        <w:rPr>
          <w:rFonts w:ascii="Arial" w:hAnsi="Arial" w:cs="Arial"/>
          <w:b/>
          <w:bCs/>
          <w:iCs/>
          <w:szCs w:val="24"/>
        </w:rPr>
      </w:pPr>
      <w:r>
        <w:rPr>
          <w:rFonts w:ascii="Arial" w:hAnsi="Arial" w:cs="Arial"/>
          <w:b/>
          <w:bCs/>
          <w:iCs/>
          <w:szCs w:val="24"/>
        </w:rPr>
        <w:t xml:space="preserve">DRAFT </w:t>
      </w:r>
      <w:r w:rsidR="009E348B" w:rsidRPr="009E348B">
        <w:rPr>
          <w:rFonts w:ascii="Arial" w:hAnsi="Arial" w:cs="Arial"/>
          <w:b/>
          <w:bCs/>
          <w:iCs/>
          <w:szCs w:val="24"/>
        </w:rPr>
        <w:t xml:space="preserve">Striking Amendment to PO 2022-0147. </w:t>
      </w:r>
      <w:r w:rsidR="009E348B" w:rsidRPr="009E348B">
        <w:rPr>
          <w:rFonts w:ascii="Arial" w:hAnsi="Arial" w:cs="Arial"/>
          <w:iCs/>
          <w:szCs w:val="24"/>
        </w:rPr>
        <w:t xml:space="preserve">The </w:t>
      </w:r>
      <w:r>
        <w:rPr>
          <w:rFonts w:ascii="Arial" w:hAnsi="Arial" w:cs="Arial"/>
          <w:iCs/>
          <w:szCs w:val="24"/>
        </w:rPr>
        <w:t xml:space="preserve">draft </w:t>
      </w:r>
      <w:r w:rsidR="009E348B" w:rsidRPr="009E348B">
        <w:rPr>
          <w:rFonts w:ascii="Arial" w:hAnsi="Arial" w:cs="Arial"/>
          <w:iCs/>
          <w:szCs w:val="24"/>
        </w:rPr>
        <w:t>striking amendment to Ordinance 1 would make the following changes:</w:t>
      </w:r>
    </w:p>
    <w:p w14:paraId="2FE88524" w14:textId="77777777" w:rsidR="009E348B" w:rsidRDefault="009E348B" w:rsidP="001C75A4">
      <w:pPr>
        <w:jc w:val="both"/>
        <w:rPr>
          <w:rFonts w:ascii="Arial" w:hAnsi="Arial" w:cs="Arial"/>
          <w:i/>
          <w:szCs w:val="24"/>
        </w:rPr>
      </w:pPr>
    </w:p>
    <w:p w14:paraId="6F5463AB" w14:textId="77777777" w:rsidR="001F6A5E" w:rsidRPr="001F6A5E" w:rsidRDefault="001F6A5E" w:rsidP="001C75A4">
      <w:pPr>
        <w:jc w:val="both"/>
        <w:rPr>
          <w:rFonts w:ascii="Arial" w:hAnsi="Arial" w:cs="Arial"/>
          <w:bCs/>
          <w:i/>
          <w:iCs/>
        </w:rPr>
      </w:pPr>
      <w:bookmarkStart w:id="4" w:name="_Hlk101347616"/>
      <w:r w:rsidRPr="001F6A5E">
        <w:rPr>
          <w:rFonts w:ascii="Arial" w:hAnsi="Arial" w:cs="Arial"/>
          <w:bCs/>
          <w:i/>
          <w:iCs/>
        </w:rPr>
        <w:t>Substantive Changes</w:t>
      </w:r>
    </w:p>
    <w:p w14:paraId="13808DA9" w14:textId="2414E830"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For WBD I in the RA zone, modif</w:t>
      </w:r>
      <w:r w:rsidR="000F505F">
        <w:rPr>
          <w:rFonts w:ascii="Arial" w:hAnsi="Arial" w:cs="Arial"/>
          <w:bCs/>
        </w:rPr>
        <w:t>ies</w:t>
      </w:r>
      <w:r w:rsidRPr="001F6A5E">
        <w:rPr>
          <w:rFonts w:ascii="Arial" w:hAnsi="Arial" w:cs="Arial"/>
          <w:bCs/>
        </w:rPr>
        <w:t xml:space="preserve"> the off-street parking requirements to match what is required for WBD II and III (minimum 0.9 spaces per 1,000 square feet of manufacturing area, maximum 150% of the minimum).</w:t>
      </w:r>
    </w:p>
    <w:p w14:paraId="45C74DA8" w14:textId="4994CF23"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For WBD I in the RA zone, remove</w:t>
      </w:r>
      <w:r w:rsidR="000F505F">
        <w:rPr>
          <w:rFonts w:ascii="Arial" w:hAnsi="Arial" w:cs="Arial"/>
          <w:bCs/>
        </w:rPr>
        <w:t>s</w:t>
      </w:r>
      <w:r w:rsidRPr="001F6A5E">
        <w:rPr>
          <w:rFonts w:ascii="Arial" w:hAnsi="Arial" w:cs="Arial"/>
          <w:bCs/>
        </w:rPr>
        <w:t xml:space="preserve"> requirement for commercial septic system.</w:t>
      </w:r>
    </w:p>
    <w:p w14:paraId="09FB07E4"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For WBDs in historic structures, require that the WBD be entirely within the historic structure to be eligible for the larger floor area allowance.</w:t>
      </w:r>
    </w:p>
    <w:p w14:paraId="7E6A71D8" w14:textId="6CDB5152"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For WBD II and III in the RA zone, limit</w:t>
      </w:r>
      <w:r w:rsidR="000F505F">
        <w:rPr>
          <w:rFonts w:ascii="Arial" w:hAnsi="Arial" w:cs="Arial"/>
          <w:bCs/>
        </w:rPr>
        <w:t>s</w:t>
      </w:r>
      <w:r w:rsidRPr="001F6A5E">
        <w:rPr>
          <w:rFonts w:ascii="Arial" w:hAnsi="Arial" w:cs="Arial"/>
          <w:bCs/>
        </w:rPr>
        <w:t xml:space="preserve"> the square footage of area for incidental sales to 20% of the tasting and sales area.</w:t>
      </w:r>
    </w:p>
    <w:p w14:paraId="549E5844" w14:textId="511C4916"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For WBD II and III in the RA zone, limit</w:t>
      </w:r>
      <w:r w:rsidR="000F505F">
        <w:rPr>
          <w:rFonts w:ascii="Arial" w:hAnsi="Arial" w:cs="Arial"/>
          <w:bCs/>
        </w:rPr>
        <w:t>s</w:t>
      </w:r>
      <w:r w:rsidRPr="001F6A5E">
        <w:rPr>
          <w:rFonts w:ascii="Arial" w:hAnsi="Arial" w:cs="Arial"/>
          <w:bCs/>
        </w:rPr>
        <w:t xml:space="preserve"> the percentage of </w:t>
      </w:r>
      <w:r w:rsidR="007C47B2">
        <w:rPr>
          <w:rFonts w:ascii="Arial" w:hAnsi="Arial" w:cs="Arial"/>
          <w:bCs/>
        </w:rPr>
        <w:t xml:space="preserve">incidental </w:t>
      </w:r>
      <w:r w:rsidRPr="001F6A5E">
        <w:rPr>
          <w:rFonts w:ascii="Arial" w:hAnsi="Arial" w:cs="Arial"/>
          <w:bCs/>
        </w:rPr>
        <w:t>sales to 20% of annual gross sales on a 3-year average, and require documentation of compliance with this requirement with the land use business license.</w:t>
      </w:r>
    </w:p>
    <w:p w14:paraId="59ACF8A6" w14:textId="04EA8F0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For WBD II and III in the RA zone, require</w:t>
      </w:r>
      <w:r w:rsidR="000F505F">
        <w:rPr>
          <w:rFonts w:ascii="Arial" w:hAnsi="Arial" w:cs="Arial"/>
          <w:bCs/>
        </w:rPr>
        <w:t>s</w:t>
      </w:r>
      <w:r w:rsidRPr="001F6A5E">
        <w:rPr>
          <w:rFonts w:ascii="Arial" w:hAnsi="Arial" w:cs="Arial"/>
          <w:bCs/>
        </w:rPr>
        <w:t xml:space="preserve"> documentation of</w:t>
      </w:r>
      <w:r w:rsidR="006E4980">
        <w:rPr>
          <w:rFonts w:ascii="Arial" w:hAnsi="Arial" w:cs="Arial"/>
          <w:bCs/>
        </w:rPr>
        <w:t xml:space="preserve"> </w:t>
      </w:r>
      <w:r w:rsidRPr="001F6A5E">
        <w:rPr>
          <w:rFonts w:ascii="Arial" w:hAnsi="Arial" w:cs="Arial"/>
          <w:bCs/>
        </w:rPr>
        <w:t>the on-site production and on-site tasting and retail sales conditions with the land use business license.</w:t>
      </w:r>
    </w:p>
    <w:p w14:paraId="5BCBF13D"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For WBD I, II, and III in the RA zone, allows for a conditional use permit to reduce the 75' setback subject to specific criteria.</w:t>
      </w:r>
    </w:p>
    <w:p w14:paraId="39F29172"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 xml:space="preserve">Allows up to two portable toilets with events requiring a temporary use </w:t>
      </w:r>
      <w:proofErr w:type="gramStart"/>
      <w:r w:rsidRPr="001F6A5E">
        <w:rPr>
          <w:rFonts w:ascii="Arial" w:hAnsi="Arial" w:cs="Arial"/>
          <w:bCs/>
        </w:rPr>
        <w:t>permit, and</w:t>
      </w:r>
      <w:proofErr w:type="gramEnd"/>
      <w:r w:rsidRPr="001F6A5E">
        <w:rPr>
          <w:rFonts w:ascii="Arial" w:hAnsi="Arial" w:cs="Arial"/>
          <w:bCs/>
        </w:rPr>
        <w:t xml:space="preserve"> requires a temporary use permit for any event that uses portable toilets.</w:t>
      </w:r>
    </w:p>
    <w:p w14:paraId="29C2858D" w14:textId="452CAE0E"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Allows the initial land use business license for existing WBDs for 12 months, with 6</w:t>
      </w:r>
      <w:r w:rsidR="000F505F">
        <w:rPr>
          <w:rFonts w:ascii="Arial" w:hAnsi="Arial" w:cs="Arial"/>
          <w:bCs/>
        </w:rPr>
        <w:t>-</w:t>
      </w:r>
      <w:r w:rsidRPr="001F6A5E">
        <w:rPr>
          <w:rFonts w:ascii="Arial" w:hAnsi="Arial" w:cs="Arial"/>
          <w:bCs/>
        </w:rPr>
        <w:t>month extensions if the business has taken substantial steps to obtain building permits.</w:t>
      </w:r>
    </w:p>
    <w:p w14:paraId="268A4279"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Adds a requirement for the Executive to contact known WBD businesses with information regarding the changes made by this ordinance and PO 2022-0148 (Ordinance 2) and to develop materials for technical assistance for WBD businesses.</w:t>
      </w:r>
    </w:p>
    <w:p w14:paraId="2124E40A"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Adds a requirement for the Executive to evaluate components of the WBD regulations.</w:t>
      </w:r>
    </w:p>
    <w:p w14:paraId="1F4D236F"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Delays the effective date of the ordinance until Proposed Ordinance 2022-0148 (Ordinance 2) is adopted.</w:t>
      </w:r>
    </w:p>
    <w:p w14:paraId="6D551DF5" w14:textId="77777777" w:rsidR="001F6A5E" w:rsidRPr="001F6A5E" w:rsidRDefault="001F6A5E" w:rsidP="001C75A4">
      <w:pPr>
        <w:jc w:val="both"/>
        <w:rPr>
          <w:rFonts w:ascii="Arial" w:hAnsi="Arial" w:cs="Arial"/>
          <w:bCs/>
        </w:rPr>
      </w:pPr>
    </w:p>
    <w:p w14:paraId="756B2887" w14:textId="77777777" w:rsidR="001F6A5E" w:rsidRPr="001F6A5E" w:rsidRDefault="001F6A5E" w:rsidP="001C75A4">
      <w:pPr>
        <w:jc w:val="both"/>
        <w:rPr>
          <w:rFonts w:ascii="Arial" w:hAnsi="Arial" w:cs="Arial"/>
          <w:bCs/>
          <w:i/>
          <w:iCs/>
        </w:rPr>
      </w:pPr>
      <w:r w:rsidRPr="001F6A5E">
        <w:rPr>
          <w:rFonts w:ascii="Arial" w:hAnsi="Arial" w:cs="Arial"/>
          <w:bCs/>
          <w:i/>
          <w:iCs/>
        </w:rPr>
        <w:t>Clarifying Changes</w:t>
      </w:r>
    </w:p>
    <w:p w14:paraId="2AFEABDF"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Streamlines the Findings to better reflect the provisions in this ordinance.</w:t>
      </w:r>
    </w:p>
    <w:p w14:paraId="071441FD" w14:textId="357DA4DC"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For WBDs in the RA zone, require</w:t>
      </w:r>
      <w:r w:rsidR="000F505F">
        <w:rPr>
          <w:rFonts w:ascii="Arial" w:hAnsi="Arial" w:cs="Arial"/>
          <w:bCs/>
        </w:rPr>
        <w:t>s</w:t>
      </w:r>
      <w:r w:rsidRPr="001F6A5E">
        <w:rPr>
          <w:rFonts w:ascii="Arial" w:hAnsi="Arial" w:cs="Arial"/>
          <w:bCs/>
        </w:rPr>
        <w:t xml:space="preserve"> that the stages of production are in addition to a production WBD license from the state.</w:t>
      </w:r>
    </w:p>
    <w:p w14:paraId="2F342E53"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For WBD II in the RA zone, a WBD use is required to get a CUP to be eligible for access to and from a public roadway.</w:t>
      </w:r>
    </w:p>
    <w:p w14:paraId="7FE1EE74"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Differentiates between on-site functions, and on-site events that require a temporary use permit.</w:t>
      </w:r>
    </w:p>
    <w:p w14:paraId="1985E336"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 xml:space="preserve">States that the requirement for a WBD to obtain required building permits prior to issuance of the land use business license applies to the permits required to establish the use, not future </w:t>
      </w:r>
      <w:proofErr w:type="gramStart"/>
      <w:r w:rsidRPr="001F6A5E">
        <w:rPr>
          <w:rFonts w:ascii="Arial" w:hAnsi="Arial" w:cs="Arial"/>
          <w:bCs/>
        </w:rPr>
        <w:t>expansions</w:t>
      </w:r>
      <w:proofErr w:type="gramEnd"/>
      <w:r w:rsidRPr="001F6A5E">
        <w:rPr>
          <w:rFonts w:ascii="Arial" w:hAnsi="Arial" w:cs="Arial"/>
          <w:bCs/>
        </w:rPr>
        <w:t xml:space="preserve"> or alterations.</w:t>
      </w:r>
    </w:p>
    <w:p w14:paraId="406A46E3"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lastRenderedPageBreak/>
        <w:t xml:space="preserve">Allows the initial land use business license for existing WBDs to be issued before building permit </w:t>
      </w:r>
      <w:proofErr w:type="gramStart"/>
      <w:r w:rsidRPr="001F6A5E">
        <w:rPr>
          <w:rFonts w:ascii="Arial" w:hAnsi="Arial" w:cs="Arial"/>
          <w:bCs/>
        </w:rPr>
        <w:t>issuance, if</w:t>
      </w:r>
      <w:proofErr w:type="gramEnd"/>
      <w:r w:rsidRPr="001F6A5E">
        <w:rPr>
          <w:rFonts w:ascii="Arial" w:hAnsi="Arial" w:cs="Arial"/>
          <w:bCs/>
        </w:rPr>
        <w:t xml:space="preserve"> life safety requirements are met.</w:t>
      </w:r>
    </w:p>
    <w:p w14:paraId="482E5C1D"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Differentiates between a legal nonconforming or vested use, for purposes of issuing the land use business license.</w:t>
      </w:r>
    </w:p>
    <w:p w14:paraId="3590A2B9"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States that the WBD land use business license is subject to the appeal to the hearing examiner in accordance with K.C.C. 20.22, not Title 6.</w:t>
      </w:r>
    </w:p>
    <w:p w14:paraId="08BF530D" w14:textId="77777777" w:rsidR="001F6A5E" w:rsidRPr="001F6A5E" w:rsidRDefault="001F6A5E" w:rsidP="001C75A4">
      <w:pPr>
        <w:jc w:val="both"/>
        <w:rPr>
          <w:rFonts w:ascii="Arial" w:hAnsi="Arial" w:cs="Arial"/>
          <w:bCs/>
        </w:rPr>
      </w:pPr>
    </w:p>
    <w:p w14:paraId="2EE1C3E9" w14:textId="77777777" w:rsidR="001F6A5E" w:rsidRPr="001F6A5E" w:rsidRDefault="001F6A5E" w:rsidP="001C75A4">
      <w:pPr>
        <w:jc w:val="both"/>
        <w:rPr>
          <w:rFonts w:ascii="Arial" w:hAnsi="Arial" w:cs="Arial"/>
          <w:bCs/>
          <w:i/>
          <w:iCs/>
        </w:rPr>
      </w:pPr>
      <w:r w:rsidRPr="001F6A5E">
        <w:rPr>
          <w:rFonts w:ascii="Arial" w:hAnsi="Arial" w:cs="Arial"/>
          <w:bCs/>
          <w:i/>
          <w:iCs/>
        </w:rPr>
        <w:t>Technical Changes</w:t>
      </w:r>
    </w:p>
    <w:p w14:paraId="26257F3D"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Corrects and updates cross references.</w:t>
      </w:r>
    </w:p>
    <w:p w14:paraId="078F067A" w14:textId="77777777" w:rsidR="001F6A5E" w:rsidRPr="001F6A5E" w:rsidRDefault="001F6A5E" w:rsidP="001C75A4">
      <w:pPr>
        <w:pStyle w:val="ListParagraph0"/>
        <w:numPr>
          <w:ilvl w:val="0"/>
          <w:numId w:val="18"/>
        </w:numPr>
        <w:spacing w:line="240" w:lineRule="auto"/>
        <w:contextualSpacing/>
        <w:jc w:val="both"/>
        <w:rPr>
          <w:rFonts w:ascii="Arial" w:hAnsi="Arial" w:cs="Arial"/>
          <w:bCs/>
        </w:rPr>
      </w:pPr>
      <w:r w:rsidRPr="001F6A5E">
        <w:rPr>
          <w:rFonts w:ascii="Arial" w:hAnsi="Arial" w:cs="Arial"/>
          <w:bCs/>
        </w:rPr>
        <w:t>Corrects typos.</w:t>
      </w:r>
      <w:bookmarkEnd w:id="4"/>
    </w:p>
    <w:p w14:paraId="78221E61" w14:textId="15F8D6E3" w:rsidR="009E348B" w:rsidRDefault="009E348B" w:rsidP="001C75A4">
      <w:pPr>
        <w:pStyle w:val="BodyText"/>
        <w:jc w:val="both"/>
        <w:rPr>
          <w:rFonts w:ascii="Arial" w:hAnsi="Arial" w:cs="Arial"/>
          <w:i w:val="0"/>
          <w:szCs w:val="24"/>
        </w:rPr>
      </w:pPr>
    </w:p>
    <w:p w14:paraId="34EA3AE1" w14:textId="63A56991" w:rsidR="009E348B" w:rsidRDefault="00DC7B58" w:rsidP="001C75A4">
      <w:pPr>
        <w:jc w:val="both"/>
        <w:rPr>
          <w:rFonts w:ascii="Arial" w:hAnsi="Arial" w:cs="Arial"/>
          <w:iCs/>
        </w:rPr>
      </w:pPr>
      <w:r>
        <w:rPr>
          <w:rFonts w:ascii="Arial" w:hAnsi="Arial" w:cs="Arial"/>
          <w:b/>
          <w:bCs/>
          <w:iCs/>
        </w:rPr>
        <w:t xml:space="preserve">DRAFT </w:t>
      </w:r>
      <w:r w:rsidR="009E348B" w:rsidRPr="009E348B">
        <w:rPr>
          <w:rFonts w:ascii="Arial" w:hAnsi="Arial" w:cs="Arial"/>
          <w:b/>
          <w:bCs/>
          <w:iCs/>
        </w:rPr>
        <w:t>Striking Amendment to PO 2022-014</w:t>
      </w:r>
      <w:r w:rsidR="009E348B">
        <w:rPr>
          <w:rFonts w:ascii="Arial" w:hAnsi="Arial" w:cs="Arial"/>
          <w:b/>
          <w:bCs/>
          <w:iCs/>
        </w:rPr>
        <w:t>8</w:t>
      </w:r>
      <w:r w:rsidR="009E348B" w:rsidRPr="009E348B">
        <w:rPr>
          <w:rFonts w:ascii="Arial" w:hAnsi="Arial" w:cs="Arial"/>
          <w:b/>
          <w:bCs/>
          <w:iCs/>
        </w:rPr>
        <w:t xml:space="preserve">. </w:t>
      </w:r>
      <w:r w:rsidR="009E348B" w:rsidRPr="009E348B">
        <w:rPr>
          <w:rFonts w:ascii="Arial" w:hAnsi="Arial" w:cs="Arial"/>
          <w:iCs/>
        </w:rPr>
        <w:t xml:space="preserve">The </w:t>
      </w:r>
      <w:r>
        <w:rPr>
          <w:rFonts w:ascii="Arial" w:hAnsi="Arial" w:cs="Arial"/>
          <w:iCs/>
        </w:rPr>
        <w:t xml:space="preserve">draft </w:t>
      </w:r>
      <w:r w:rsidR="009E348B" w:rsidRPr="009E348B">
        <w:rPr>
          <w:rFonts w:ascii="Arial" w:hAnsi="Arial" w:cs="Arial"/>
          <w:iCs/>
        </w:rPr>
        <w:t xml:space="preserve">striking amendment to Ordinance </w:t>
      </w:r>
      <w:r w:rsidR="009E348B">
        <w:rPr>
          <w:rFonts w:ascii="Arial" w:hAnsi="Arial" w:cs="Arial"/>
          <w:iCs/>
        </w:rPr>
        <w:t>2</w:t>
      </w:r>
      <w:r w:rsidR="009E348B" w:rsidRPr="009E348B">
        <w:rPr>
          <w:rFonts w:ascii="Arial" w:hAnsi="Arial" w:cs="Arial"/>
          <w:iCs/>
        </w:rPr>
        <w:t xml:space="preserve"> would make the following changes:</w:t>
      </w:r>
    </w:p>
    <w:p w14:paraId="30A712F5" w14:textId="148F1A8C" w:rsidR="009E348B" w:rsidRDefault="009E348B" w:rsidP="001C75A4">
      <w:pPr>
        <w:ind w:left="360"/>
        <w:jc w:val="both"/>
        <w:rPr>
          <w:rFonts w:ascii="Arial" w:hAnsi="Arial" w:cs="Arial"/>
          <w:b/>
          <w:bCs/>
          <w:iCs/>
        </w:rPr>
      </w:pPr>
    </w:p>
    <w:p w14:paraId="1D75DFC6" w14:textId="77777777" w:rsidR="00176DD3" w:rsidRPr="00176DD3" w:rsidRDefault="00176DD3" w:rsidP="001C75A4">
      <w:pPr>
        <w:jc w:val="both"/>
        <w:rPr>
          <w:rFonts w:ascii="Arial" w:hAnsi="Arial" w:cs="Arial"/>
          <w:bCs/>
          <w:i/>
          <w:iCs/>
        </w:rPr>
      </w:pPr>
      <w:r w:rsidRPr="00176DD3">
        <w:rPr>
          <w:rFonts w:ascii="Arial" w:hAnsi="Arial" w:cs="Arial"/>
          <w:bCs/>
          <w:i/>
          <w:iCs/>
        </w:rPr>
        <w:t>Substantive Changes</w:t>
      </w:r>
    </w:p>
    <w:p w14:paraId="4E16822D" w14:textId="77777777" w:rsidR="00176DD3" w:rsidRPr="00176DD3" w:rsidRDefault="00176DD3" w:rsidP="001C75A4">
      <w:pPr>
        <w:pStyle w:val="ListParagraph0"/>
        <w:numPr>
          <w:ilvl w:val="0"/>
          <w:numId w:val="19"/>
        </w:numPr>
        <w:spacing w:line="240" w:lineRule="auto"/>
        <w:contextualSpacing/>
        <w:jc w:val="both"/>
        <w:rPr>
          <w:rFonts w:ascii="Arial" w:hAnsi="Arial" w:cs="Arial"/>
          <w:bCs/>
        </w:rPr>
      </w:pPr>
      <w:r w:rsidRPr="00176DD3">
        <w:rPr>
          <w:rFonts w:ascii="Arial" w:hAnsi="Arial" w:cs="Arial"/>
          <w:bCs/>
        </w:rPr>
        <w:t>For WBD II and III in the RA and UR zones, modifies the hours of operation for tasting and sales from 11am to 8pm to 11am to 6pm.</w:t>
      </w:r>
    </w:p>
    <w:p w14:paraId="508CCA9E" w14:textId="77777777" w:rsidR="00176DD3" w:rsidRPr="00176DD3" w:rsidRDefault="00176DD3" w:rsidP="001C75A4">
      <w:pPr>
        <w:pStyle w:val="ListParagraph0"/>
        <w:numPr>
          <w:ilvl w:val="0"/>
          <w:numId w:val="19"/>
        </w:numPr>
        <w:spacing w:line="240" w:lineRule="auto"/>
        <w:contextualSpacing/>
        <w:jc w:val="both"/>
        <w:rPr>
          <w:rFonts w:ascii="Arial" w:hAnsi="Arial" w:cs="Arial"/>
          <w:bCs/>
        </w:rPr>
      </w:pPr>
      <w:r w:rsidRPr="00176DD3">
        <w:rPr>
          <w:rFonts w:ascii="Arial" w:hAnsi="Arial" w:cs="Arial"/>
          <w:bCs/>
        </w:rPr>
        <w:t>For WBD II and III in the RA zone, removes a reference to compliance with the federal Clean Water Act.</w:t>
      </w:r>
    </w:p>
    <w:p w14:paraId="4445FA2C" w14:textId="77777777" w:rsidR="00176DD3" w:rsidRPr="00176DD3" w:rsidRDefault="00176DD3" w:rsidP="001C75A4">
      <w:pPr>
        <w:pStyle w:val="ListParagraph0"/>
        <w:numPr>
          <w:ilvl w:val="0"/>
          <w:numId w:val="19"/>
        </w:numPr>
        <w:spacing w:line="240" w:lineRule="auto"/>
        <w:contextualSpacing/>
        <w:jc w:val="both"/>
        <w:rPr>
          <w:rFonts w:ascii="Arial" w:hAnsi="Arial" w:cs="Arial"/>
          <w:bCs/>
        </w:rPr>
      </w:pPr>
      <w:r w:rsidRPr="00176DD3">
        <w:rPr>
          <w:rFonts w:ascii="Arial" w:hAnsi="Arial" w:cs="Arial"/>
          <w:bCs/>
        </w:rPr>
        <w:t>Allows WBD III wineries in the Industrial zone.</w:t>
      </w:r>
    </w:p>
    <w:p w14:paraId="4B9B3D9B" w14:textId="77777777" w:rsidR="00176DD3" w:rsidRPr="00176DD3" w:rsidRDefault="00176DD3" w:rsidP="001C75A4">
      <w:pPr>
        <w:jc w:val="both"/>
        <w:rPr>
          <w:rFonts w:ascii="Arial" w:hAnsi="Arial" w:cs="Arial"/>
          <w:bCs/>
        </w:rPr>
      </w:pPr>
    </w:p>
    <w:p w14:paraId="1D973210" w14:textId="77777777" w:rsidR="00176DD3" w:rsidRPr="00176DD3" w:rsidRDefault="00176DD3" w:rsidP="001C75A4">
      <w:pPr>
        <w:jc w:val="both"/>
        <w:rPr>
          <w:rFonts w:ascii="Arial" w:hAnsi="Arial" w:cs="Arial"/>
          <w:bCs/>
          <w:i/>
          <w:iCs/>
        </w:rPr>
      </w:pPr>
      <w:r w:rsidRPr="00176DD3">
        <w:rPr>
          <w:rFonts w:ascii="Arial" w:hAnsi="Arial" w:cs="Arial"/>
          <w:bCs/>
          <w:i/>
          <w:iCs/>
        </w:rPr>
        <w:t>Clarifying Changes</w:t>
      </w:r>
    </w:p>
    <w:p w14:paraId="4C683F9E" w14:textId="77777777" w:rsidR="00176DD3" w:rsidRPr="00176DD3" w:rsidRDefault="00176DD3" w:rsidP="001C75A4">
      <w:pPr>
        <w:pStyle w:val="ListParagraph0"/>
        <w:numPr>
          <w:ilvl w:val="0"/>
          <w:numId w:val="19"/>
        </w:numPr>
        <w:spacing w:line="240" w:lineRule="auto"/>
        <w:contextualSpacing/>
        <w:jc w:val="both"/>
        <w:rPr>
          <w:rFonts w:ascii="Arial" w:hAnsi="Arial" w:cs="Arial"/>
          <w:bCs/>
        </w:rPr>
      </w:pPr>
      <w:r w:rsidRPr="00176DD3">
        <w:rPr>
          <w:rFonts w:ascii="Arial" w:hAnsi="Arial" w:cs="Arial"/>
          <w:bCs/>
        </w:rPr>
        <w:t xml:space="preserve">For WBD II and III in RA and UR zones, the separation requirement applies between WBD sites (which could include multiple lots) and not individual lots, and only for those that are in the RA and UR zones.  Establishes requirements to direct which uses </w:t>
      </w:r>
      <w:proofErr w:type="gramStart"/>
      <w:r w:rsidRPr="00176DD3">
        <w:rPr>
          <w:rFonts w:ascii="Arial" w:hAnsi="Arial" w:cs="Arial"/>
          <w:bCs/>
        </w:rPr>
        <w:t>are considered to be</w:t>
      </w:r>
      <w:proofErr w:type="gramEnd"/>
      <w:r w:rsidRPr="00176DD3">
        <w:rPr>
          <w:rFonts w:ascii="Arial" w:hAnsi="Arial" w:cs="Arial"/>
          <w:bCs/>
        </w:rPr>
        <w:t xml:space="preserve"> "first in line" in the event multiple WBDs have similar vesting timeframes, for this requirement.</w:t>
      </w:r>
    </w:p>
    <w:p w14:paraId="565D65E4" w14:textId="77777777" w:rsidR="00176DD3" w:rsidRPr="00176DD3" w:rsidRDefault="00176DD3" w:rsidP="001C75A4">
      <w:pPr>
        <w:jc w:val="both"/>
        <w:rPr>
          <w:rFonts w:ascii="Arial" w:hAnsi="Arial" w:cs="Arial"/>
          <w:bCs/>
        </w:rPr>
      </w:pPr>
    </w:p>
    <w:p w14:paraId="581ABF55" w14:textId="77777777" w:rsidR="00176DD3" w:rsidRPr="00176DD3" w:rsidRDefault="00176DD3" w:rsidP="001C75A4">
      <w:pPr>
        <w:jc w:val="both"/>
        <w:rPr>
          <w:rFonts w:ascii="Arial" w:hAnsi="Arial" w:cs="Arial"/>
          <w:bCs/>
          <w:i/>
          <w:iCs/>
        </w:rPr>
      </w:pPr>
      <w:r w:rsidRPr="00176DD3">
        <w:rPr>
          <w:rFonts w:ascii="Arial" w:hAnsi="Arial" w:cs="Arial"/>
          <w:bCs/>
          <w:i/>
          <w:iCs/>
        </w:rPr>
        <w:t>Technical Changes</w:t>
      </w:r>
    </w:p>
    <w:p w14:paraId="152B021D" w14:textId="69826221" w:rsidR="00176DD3" w:rsidRPr="00176DD3" w:rsidRDefault="00176DD3" w:rsidP="001C75A4">
      <w:pPr>
        <w:pStyle w:val="ListParagraph0"/>
        <w:numPr>
          <w:ilvl w:val="0"/>
          <w:numId w:val="19"/>
        </w:numPr>
        <w:spacing w:line="240" w:lineRule="auto"/>
        <w:contextualSpacing/>
        <w:jc w:val="both"/>
        <w:rPr>
          <w:rFonts w:ascii="Arial" w:hAnsi="Arial" w:cs="Arial"/>
          <w:bCs/>
        </w:rPr>
      </w:pPr>
      <w:r w:rsidRPr="00176DD3">
        <w:rPr>
          <w:rFonts w:ascii="Arial" w:hAnsi="Arial" w:cs="Arial"/>
          <w:bCs/>
        </w:rPr>
        <w:t xml:space="preserve">Engrosses the changes made in </w:t>
      </w:r>
      <w:r>
        <w:rPr>
          <w:rFonts w:ascii="Arial" w:hAnsi="Arial" w:cs="Arial"/>
          <w:bCs/>
        </w:rPr>
        <w:t xml:space="preserve">the </w:t>
      </w:r>
      <w:r w:rsidRPr="00176DD3">
        <w:rPr>
          <w:rFonts w:ascii="Arial" w:hAnsi="Arial" w:cs="Arial"/>
          <w:bCs/>
        </w:rPr>
        <w:t>Striking Amendment to PO 2022-0147, Version 1.</w:t>
      </w:r>
    </w:p>
    <w:p w14:paraId="7E5B1460" w14:textId="6844691D" w:rsidR="00575B03" w:rsidRPr="009E348B" w:rsidRDefault="00575B03" w:rsidP="001C75A4">
      <w:pPr>
        <w:pStyle w:val="BodyText"/>
        <w:jc w:val="both"/>
        <w:rPr>
          <w:rFonts w:ascii="Arial" w:hAnsi="Arial" w:cs="Arial"/>
          <w:bCs/>
          <w:i w:val="0"/>
          <w:szCs w:val="24"/>
        </w:rPr>
      </w:pPr>
    </w:p>
    <w:p w14:paraId="0ECA65C1" w14:textId="64A3433F" w:rsidR="009E348B" w:rsidRDefault="009E348B" w:rsidP="001C75A4">
      <w:pPr>
        <w:jc w:val="both"/>
        <w:rPr>
          <w:rFonts w:ascii="Arial" w:hAnsi="Arial" w:cs="Arial"/>
          <w:iCs/>
        </w:rPr>
      </w:pPr>
      <w:r>
        <w:rPr>
          <w:rFonts w:ascii="Arial" w:hAnsi="Arial" w:cs="Arial"/>
          <w:b/>
          <w:bCs/>
          <w:iCs/>
        </w:rPr>
        <w:t>Title</w:t>
      </w:r>
      <w:r w:rsidRPr="009E348B">
        <w:rPr>
          <w:rFonts w:ascii="Arial" w:hAnsi="Arial" w:cs="Arial"/>
          <w:b/>
          <w:bCs/>
          <w:iCs/>
        </w:rPr>
        <w:t xml:space="preserve"> Amendment</w:t>
      </w:r>
      <w:r>
        <w:rPr>
          <w:rFonts w:ascii="Arial" w:hAnsi="Arial" w:cs="Arial"/>
          <w:b/>
          <w:bCs/>
          <w:iCs/>
        </w:rPr>
        <w:t>s</w:t>
      </w:r>
      <w:r w:rsidRPr="009E348B">
        <w:rPr>
          <w:rFonts w:ascii="Arial" w:hAnsi="Arial" w:cs="Arial"/>
          <w:b/>
          <w:bCs/>
          <w:iCs/>
        </w:rPr>
        <w:t xml:space="preserve">. </w:t>
      </w:r>
      <w:r w:rsidRPr="009E348B">
        <w:rPr>
          <w:rFonts w:ascii="Arial" w:hAnsi="Arial" w:cs="Arial"/>
          <w:iCs/>
        </w:rPr>
        <w:t>T</w:t>
      </w:r>
      <w:r>
        <w:rPr>
          <w:rFonts w:ascii="Arial" w:hAnsi="Arial" w:cs="Arial"/>
          <w:iCs/>
        </w:rPr>
        <w:t xml:space="preserve">here </w:t>
      </w:r>
      <w:r w:rsidR="00DC7B58">
        <w:rPr>
          <w:rFonts w:ascii="Arial" w:hAnsi="Arial" w:cs="Arial"/>
          <w:iCs/>
        </w:rPr>
        <w:t>will be</w:t>
      </w:r>
      <w:r>
        <w:rPr>
          <w:rFonts w:ascii="Arial" w:hAnsi="Arial" w:cs="Arial"/>
          <w:iCs/>
        </w:rPr>
        <w:t xml:space="preserve"> title amendments for both Proposed Ordinances to conform the titles to the changes made in the striking amendments.</w:t>
      </w:r>
      <w:r w:rsidR="000772E3">
        <w:rPr>
          <w:rFonts w:ascii="Arial" w:hAnsi="Arial" w:cs="Arial"/>
          <w:iCs/>
        </w:rPr>
        <w:t xml:space="preserve"> They will be available at the May 24, </w:t>
      </w:r>
      <w:proofErr w:type="gramStart"/>
      <w:r w:rsidR="000772E3">
        <w:rPr>
          <w:rFonts w:ascii="Arial" w:hAnsi="Arial" w:cs="Arial"/>
          <w:iCs/>
        </w:rPr>
        <w:t>2022</w:t>
      </w:r>
      <w:proofErr w:type="gramEnd"/>
      <w:r w:rsidR="000772E3">
        <w:rPr>
          <w:rFonts w:ascii="Arial" w:hAnsi="Arial" w:cs="Arial"/>
          <w:iCs/>
        </w:rPr>
        <w:t xml:space="preserve"> Committee meeting.</w:t>
      </w:r>
    </w:p>
    <w:p w14:paraId="238178CB" w14:textId="09D6B1E3" w:rsidR="009E348B" w:rsidRDefault="009E348B" w:rsidP="001C75A4">
      <w:pPr>
        <w:pStyle w:val="BodyText"/>
        <w:jc w:val="both"/>
        <w:rPr>
          <w:rFonts w:ascii="Arial" w:hAnsi="Arial" w:cs="Arial"/>
          <w:i w:val="0"/>
          <w:szCs w:val="24"/>
        </w:rPr>
      </w:pPr>
    </w:p>
    <w:p w14:paraId="5777EFA6" w14:textId="4E4E68F1" w:rsidR="00DC7B58" w:rsidRDefault="00DC7B58" w:rsidP="001C75A4">
      <w:pPr>
        <w:pStyle w:val="BodyText"/>
        <w:jc w:val="both"/>
        <w:rPr>
          <w:rFonts w:ascii="Arial" w:hAnsi="Arial" w:cs="Arial"/>
          <w:i w:val="0"/>
          <w:szCs w:val="24"/>
        </w:rPr>
      </w:pPr>
      <w:r>
        <w:rPr>
          <w:rFonts w:ascii="Arial" w:hAnsi="Arial" w:cs="Arial"/>
          <w:b/>
          <w:bCs/>
          <w:i w:val="0"/>
          <w:szCs w:val="24"/>
        </w:rPr>
        <w:t xml:space="preserve">Schedule for Review.  </w:t>
      </w:r>
      <w:r>
        <w:rPr>
          <w:rFonts w:ascii="Arial" w:hAnsi="Arial" w:cs="Arial"/>
          <w:i w:val="0"/>
          <w:szCs w:val="24"/>
        </w:rPr>
        <w:t xml:space="preserve">The current schedule for finalizing and publishing amendments </w:t>
      </w:r>
      <w:r w:rsidR="001C75A4">
        <w:rPr>
          <w:rFonts w:ascii="Arial" w:hAnsi="Arial" w:cs="Arial"/>
          <w:i w:val="0"/>
          <w:szCs w:val="24"/>
        </w:rPr>
        <w:t xml:space="preserve">ahead of the May 24, </w:t>
      </w:r>
      <w:proofErr w:type="gramStart"/>
      <w:r w:rsidR="001C75A4">
        <w:rPr>
          <w:rFonts w:ascii="Arial" w:hAnsi="Arial" w:cs="Arial"/>
          <w:i w:val="0"/>
          <w:szCs w:val="24"/>
        </w:rPr>
        <w:t>2022</w:t>
      </w:r>
      <w:proofErr w:type="gramEnd"/>
      <w:r w:rsidR="001C75A4">
        <w:rPr>
          <w:rFonts w:ascii="Arial" w:hAnsi="Arial" w:cs="Arial"/>
          <w:i w:val="0"/>
          <w:szCs w:val="24"/>
        </w:rPr>
        <w:t xml:space="preserve"> Committee meeting </w:t>
      </w:r>
      <w:r>
        <w:rPr>
          <w:rFonts w:ascii="Arial" w:hAnsi="Arial" w:cs="Arial"/>
          <w:i w:val="0"/>
          <w:szCs w:val="24"/>
        </w:rPr>
        <w:t>is as follows:</w:t>
      </w:r>
    </w:p>
    <w:p w14:paraId="7CBA2EC2" w14:textId="0DA0C862" w:rsidR="00DC7B58" w:rsidRDefault="00DC7B58" w:rsidP="001C75A4">
      <w:pPr>
        <w:pStyle w:val="BodyText"/>
        <w:jc w:val="both"/>
        <w:rPr>
          <w:rFonts w:ascii="Arial" w:hAnsi="Arial" w:cs="Arial"/>
          <w:i w:val="0"/>
          <w:szCs w:val="24"/>
        </w:rPr>
      </w:pPr>
    </w:p>
    <w:tbl>
      <w:tblPr>
        <w:tblW w:w="7002" w:type="dxa"/>
        <w:jc w:val="center"/>
        <w:tblBorders>
          <w:insideH w:val="single" w:sz="8" w:space="0" w:color="auto"/>
          <w:insideV w:val="single" w:sz="12" w:space="0" w:color="auto"/>
        </w:tblBorders>
        <w:tblCellMar>
          <w:left w:w="0" w:type="dxa"/>
          <w:right w:w="0" w:type="dxa"/>
        </w:tblCellMar>
        <w:tblLook w:val="04A0" w:firstRow="1" w:lastRow="0" w:firstColumn="1" w:lastColumn="0" w:noHBand="0" w:noVBand="1"/>
      </w:tblPr>
      <w:tblGrid>
        <w:gridCol w:w="1611"/>
        <w:gridCol w:w="5391"/>
      </w:tblGrid>
      <w:tr w:rsidR="00176DD3" w:rsidRPr="00176DD3" w14:paraId="058644D9" w14:textId="77777777" w:rsidTr="0077714E">
        <w:trPr>
          <w:jc w:val="center"/>
        </w:trPr>
        <w:tc>
          <w:tcPr>
            <w:tcW w:w="1611" w:type="dxa"/>
            <w:tcMar>
              <w:top w:w="0" w:type="dxa"/>
              <w:left w:w="108" w:type="dxa"/>
              <w:bottom w:w="0" w:type="dxa"/>
              <w:right w:w="108" w:type="dxa"/>
            </w:tcMar>
            <w:vAlign w:val="center"/>
            <w:hideMark/>
          </w:tcPr>
          <w:p w14:paraId="5481DF0B" w14:textId="77777777" w:rsidR="00176DD3" w:rsidRPr="00176DD3" w:rsidRDefault="00176DD3">
            <w:pPr>
              <w:rPr>
                <w:rFonts w:ascii="Arial" w:hAnsi="Arial" w:cs="Arial"/>
                <w:sz w:val="22"/>
              </w:rPr>
            </w:pPr>
            <w:r w:rsidRPr="00176DD3">
              <w:rPr>
                <w:rFonts w:ascii="Arial" w:hAnsi="Arial" w:cs="Arial"/>
              </w:rPr>
              <w:t>May 17</w:t>
            </w:r>
          </w:p>
          <w:p w14:paraId="15569353" w14:textId="77777777" w:rsidR="00176DD3" w:rsidRPr="00176DD3" w:rsidRDefault="00176DD3">
            <w:pPr>
              <w:rPr>
                <w:rFonts w:ascii="Arial" w:hAnsi="Arial" w:cs="Arial"/>
              </w:rPr>
            </w:pPr>
            <w:r w:rsidRPr="00176DD3">
              <w:rPr>
                <w:rFonts w:ascii="Arial" w:hAnsi="Arial" w:cs="Arial"/>
              </w:rPr>
              <w:t>End of Day</w:t>
            </w:r>
          </w:p>
        </w:tc>
        <w:tc>
          <w:tcPr>
            <w:tcW w:w="5391" w:type="dxa"/>
            <w:tcMar>
              <w:top w:w="0" w:type="dxa"/>
              <w:left w:w="108" w:type="dxa"/>
              <w:bottom w:w="0" w:type="dxa"/>
              <w:right w:w="108" w:type="dxa"/>
            </w:tcMar>
            <w:hideMark/>
          </w:tcPr>
          <w:p w14:paraId="355E80F7" w14:textId="77777777" w:rsidR="00176DD3" w:rsidRPr="00176DD3" w:rsidRDefault="00176DD3">
            <w:pPr>
              <w:rPr>
                <w:rFonts w:ascii="Arial" w:hAnsi="Arial" w:cs="Arial"/>
              </w:rPr>
            </w:pPr>
            <w:r w:rsidRPr="00176DD3">
              <w:rPr>
                <w:rFonts w:ascii="Arial" w:hAnsi="Arial" w:cs="Arial"/>
              </w:rPr>
              <w:t>Striking amendment direction due to staff</w:t>
            </w:r>
          </w:p>
        </w:tc>
      </w:tr>
      <w:tr w:rsidR="00176DD3" w:rsidRPr="00176DD3" w14:paraId="5296D120" w14:textId="77777777" w:rsidTr="0077714E">
        <w:trPr>
          <w:jc w:val="center"/>
        </w:trPr>
        <w:tc>
          <w:tcPr>
            <w:tcW w:w="1611" w:type="dxa"/>
            <w:tcMar>
              <w:top w:w="0" w:type="dxa"/>
              <w:left w:w="108" w:type="dxa"/>
              <w:bottom w:w="0" w:type="dxa"/>
              <w:right w:w="108" w:type="dxa"/>
            </w:tcMar>
            <w:vAlign w:val="center"/>
            <w:hideMark/>
          </w:tcPr>
          <w:p w14:paraId="0B0BE664" w14:textId="77777777" w:rsidR="00176DD3" w:rsidRPr="00176DD3" w:rsidRDefault="00176DD3">
            <w:pPr>
              <w:rPr>
                <w:rFonts w:ascii="Arial" w:hAnsi="Arial" w:cs="Arial"/>
              </w:rPr>
            </w:pPr>
            <w:r w:rsidRPr="00176DD3">
              <w:rPr>
                <w:rFonts w:ascii="Arial" w:hAnsi="Arial" w:cs="Arial"/>
              </w:rPr>
              <w:t>May 19</w:t>
            </w:r>
          </w:p>
          <w:p w14:paraId="62924E96" w14:textId="77777777" w:rsidR="00176DD3" w:rsidRPr="00176DD3" w:rsidRDefault="00176DD3">
            <w:pPr>
              <w:rPr>
                <w:rFonts w:ascii="Arial" w:hAnsi="Arial" w:cs="Arial"/>
              </w:rPr>
            </w:pPr>
            <w:r w:rsidRPr="00176DD3">
              <w:rPr>
                <w:rFonts w:ascii="Arial" w:hAnsi="Arial" w:cs="Arial"/>
              </w:rPr>
              <w:t>End of day</w:t>
            </w:r>
          </w:p>
        </w:tc>
        <w:tc>
          <w:tcPr>
            <w:tcW w:w="5391" w:type="dxa"/>
            <w:tcMar>
              <w:top w:w="0" w:type="dxa"/>
              <w:left w:w="108" w:type="dxa"/>
              <w:bottom w:w="0" w:type="dxa"/>
              <w:right w:w="108" w:type="dxa"/>
            </w:tcMar>
            <w:hideMark/>
          </w:tcPr>
          <w:p w14:paraId="21DDBC8A" w14:textId="77777777" w:rsidR="00176DD3" w:rsidRPr="00176DD3" w:rsidRDefault="00176DD3">
            <w:pPr>
              <w:rPr>
                <w:rFonts w:ascii="Arial" w:hAnsi="Arial" w:cs="Arial"/>
              </w:rPr>
            </w:pPr>
            <w:r w:rsidRPr="00176DD3">
              <w:rPr>
                <w:rFonts w:ascii="Arial" w:hAnsi="Arial" w:cs="Arial"/>
              </w:rPr>
              <w:t>Striking amendment finalized and distributed</w:t>
            </w:r>
          </w:p>
        </w:tc>
      </w:tr>
      <w:tr w:rsidR="00176DD3" w:rsidRPr="00176DD3" w14:paraId="148373D6" w14:textId="77777777" w:rsidTr="0077714E">
        <w:trPr>
          <w:jc w:val="center"/>
        </w:trPr>
        <w:tc>
          <w:tcPr>
            <w:tcW w:w="1611" w:type="dxa"/>
            <w:tcMar>
              <w:top w:w="0" w:type="dxa"/>
              <w:left w:w="108" w:type="dxa"/>
              <w:bottom w:w="0" w:type="dxa"/>
              <w:right w:w="108" w:type="dxa"/>
            </w:tcMar>
            <w:vAlign w:val="center"/>
            <w:hideMark/>
          </w:tcPr>
          <w:p w14:paraId="7EE18E0A" w14:textId="77777777" w:rsidR="00176DD3" w:rsidRPr="00176DD3" w:rsidRDefault="00176DD3">
            <w:pPr>
              <w:rPr>
                <w:rFonts w:ascii="Arial" w:hAnsi="Arial" w:cs="Arial"/>
              </w:rPr>
            </w:pPr>
            <w:r w:rsidRPr="00176DD3">
              <w:rPr>
                <w:rFonts w:ascii="Arial" w:hAnsi="Arial" w:cs="Arial"/>
              </w:rPr>
              <w:t>May 20</w:t>
            </w:r>
          </w:p>
          <w:p w14:paraId="2E131889" w14:textId="77777777" w:rsidR="00176DD3" w:rsidRPr="00176DD3" w:rsidRDefault="00176DD3">
            <w:pPr>
              <w:rPr>
                <w:rFonts w:ascii="Arial" w:hAnsi="Arial" w:cs="Arial"/>
              </w:rPr>
            </w:pPr>
            <w:r w:rsidRPr="00176DD3">
              <w:rPr>
                <w:rFonts w:ascii="Arial" w:hAnsi="Arial" w:cs="Arial"/>
              </w:rPr>
              <w:t xml:space="preserve">End of day </w:t>
            </w:r>
          </w:p>
        </w:tc>
        <w:tc>
          <w:tcPr>
            <w:tcW w:w="5391" w:type="dxa"/>
            <w:tcMar>
              <w:top w:w="0" w:type="dxa"/>
              <w:left w:w="108" w:type="dxa"/>
              <w:bottom w:w="0" w:type="dxa"/>
              <w:right w:w="108" w:type="dxa"/>
            </w:tcMar>
            <w:hideMark/>
          </w:tcPr>
          <w:p w14:paraId="2DA0FFD6" w14:textId="77777777" w:rsidR="00176DD3" w:rsidRPr="00176DD3" w:rsidRDefault="00176DD3">
            <w:pPr>
              <w:rPr>
                <w:rFonts w:ascii="Arial" w:hAnsi="Arial" w:cs="Arial"/>
              </w:rPr>
            </w:pPr>
            <w:r w:rsidRPr="00176DD3">
              <w:rPr>
                <w:rFonts w:ascii="Arial" w:hAnsi="Arial" w:cs="Arial"/>
              </w:rPr>
              <w:t>Line amendment direction due to staff</w:t>
            </w:r>
          </w:p>
        </w:tc>
      </w:tr>
    </w:tbl>
    <w:p w14:paraId="7A4FB052" w14:textId="311CBFC5" w:rsidR="00176DD3" w:rsidRDefault="00176DD3" w:rsidP="00716F37">
      <w:pPr>
        <w:jc w:val="both"/>
        <w:rPr>
          <w:rFonts w:ascii="Arial" w:hAnsi="Arial" w:cs="Arial"/>
          <w:b/>
          <w:szCs w:val="24"/>
          <w:u w:val="single"/>
        </w:rPr>
      </w:pPr>
    </w:p>
    <w:p w14:paraId="7F9DA5FF" w14:textId="70DCAB64" w:rsidR="001C75A4" w:rsidRDefault="001C75A4" w:rsidP="00716F37">
      <w:pPr>
        <w:jc w:val="both"/>
        <w:rPr>
          <w:rFonts w:ascii="Arial" w:hAnsi="Arial" w:cs="Arial"/>
          <w:b/>
          <w:szCs w:val="24"/>
          <w:u w:val="single"/>
        </w:rPr>
      </w:pPr>
      <w:r w:rsidRPr="001C75A4">
        <w:rPr>
          <w:rFonts w:ascii="Arial" w:hAnsi="Arial" w:cs="Arial"/>
          <w:bCs/>
          <w:szCs w:val="24"/>
        </w:rPr>
        <w:t xml:space="preserve">The schedule and </w:t>
      </w:r>
      <w:r>
        <w:rPr>
          <w:rFonts w:ascii="Arial" w:hAnsi="Arial" w:cs="Arial"/>
          <w:bCs/>
          <w:szCs w:val="24"/>
        </w:rPr>
        <w:t>amendment deadlines for full Council is shown in Attachment 9 to this staff report.</w:t>
      </w:r>
    </w:p>
    <w:p w14:paraId="5FC28D93" w14:textId="7E8442AC" w:rsidR="00176DD3" w:rsidRDefault="00176DD3" w:rsidP="00716F37">
      <w:pPr>
        <w:jc w:val="both"/>
        <w:rPr>
          <w:rFonts w:ascii="Arial" w:hAnsi="Arial" w:cs="Arial"/>
          <w:b/>
          <w:szCs w:val="24"/>
          <w:u w:val="single"/>
        </w:rPr>
      </w:pPr>
    </w:p>
    <w:p w14:paraId="32FECD6D" w14:textId="5E1E197D" w:rsidR="00087F43" w:rsidRDefault="00087F43" w:rsidP="00716F37">
      <w:pPr>
        <w:jc w:val="both"/>
        <w:rPr>
          <w:rFonts w:ascii="Arial" w:hAnsi="Arial" w:cs="Arial"/>
          <w:bCs/>
          <w:szCs w:val="24"/>
        </w:rPr>
      </w:pPr>
      <w:r w:rsidRPr="00087F43">
        <w:rPr>
          <w:rFonts w:ascii="Arial" w:hAnsi="Arial" w:cs="Arial"/>
          <w:bCs/>
          <w:szCs w:val="24"/>
        </w:rPr>
        <w:lastRenderedPageBreak/>
        <w:t xml:space="preserve">A public hearing notice has been issued for the June 14, </w:t>
      </w:r>
      <w:proofErr w:type="gramStart"/>
      <w:r w:rsidRPr="00087F43">
        <w:rPr>
          <w:rFonts w:ascii="Arial" w:hAnsi="Arial" w:cs="Arial"/>
          <w:bCs/>
          <w:szCs w:val="24"/>
        </w:rPr>
        <w:t>2022</w:t>
      </w:r>
      <w:proofErr w:type="gramEnd"/>
      <w:r w:rsidRPr="00087F43">
        <w:rPr>
          <w:rFonts w:ascii="Arial" w:hAnsi="Arial" w:cs="Arial"/>
          <w:bCs/>
          <w:szCs w:val="24"/>
        </w:rPr>
        <w:t xml:space="preserve"> full Council meeting.</w:t>
      </w:r>
      <w:r>
        <w:rPr>
          <w:rFonts w:ascii="Arial" w:hAnsi="Arial" w:cs="Arial"/>
          <w:bCs/>
          <w:szCs w:val="24"/>
        </w:rPr>
        <w:t xml:space="preserve">  The public hearing notice is Attachment 10 to this staff report; note that if Councilmembers</w:t>
      </w:r>
      <w:r w:rsidR="00877918">
        <w:rPr>
          <w:rFonts w:ascii="Arial" w:hAnsi="Arial" w:cs="Arial"/>
          <w:bCs/>
          <w:szCs w:val="24"/>
        </w:rPr>
        <w:t xml:space="preserve"> raise amendment concepts during the Local Services and Land Use Committee, the</w:t>
      </w:r>
      <w:r w:rsidR="000F505F">
        <w:rPr>
          <w:rFonts w:ascii="Arial" w:hAnsi="Arial" w:cs="Arial"/>
          <w:bCs/>
          <w:szCs w:val="24"/>
        </w:rPr>
        <w:t>se concepts</w:t>
      </w:r>
      <w:r w:rsidR="00877918">
        <w:rPr>
          <w:rFonts w:ascii="Arial" w:hAnsi="Arial" w:cs="Arial"/>
          <w:bCs/>
          <w:szCs w:val="24"/>
        </w:rPr>
        <w:t xml:space="preserve"> can be considered at the full Council adoption.</w:t>
      </w:r>
    </w:p>
    <w:p w14:paraId="1993AF01" w14:textId="77777777" w:rsidR="00087F43" w:rsidRPr="00087F43" w:rsidRDefault="00087F43" w:rsidP="00716F37">
      <w:pPr>
        <w:jc w:val="both"/>
        <w:rPr>
          <w:rFonts w:ascii="Arial" w:hAnsi="Arial" w:cs="Arial"/>
          <w:bCs/>
          <w:szCs w:val="24"/>
        </w:rPr>
      </w:pPr>
    </w:p>
    <w:p w14:paraId="07299D31" w14:textId="5E2C2CE1" w:rsidR="00716F37" w:rsidRPr="001C4B19" w:rsidRDefault="003C064E" w:rsidP="0077714E">
      <w:pPr>
        <w:keepNext/>
        <w:keepLines/>
        <w:jc w:val="both"/>
        <w:rPr>
          <w:rFonts w:ascii="Arial" w:hAnsi="Arial" w:cs="Arial"/>
          <w:b/>
          <w:szCs w:val="24"/>
          <w:u w:val="single"/>
        </w:rPr>
      </w:pPr>
      <w:r>
        <w:rPr>
          <w:rFonts w:ascii="Arial" w:hAnsi="Arial" w:cs="Arial"/>
          <w:b/>
          <w:szCs w:val="24"/>
          <w:u w:val="single"/>
        </w:rPr>
        <w:t>INVITE</w:t>
      </w:r>
      <w:r w:rsidR="00134579">
        <w:rPr>
          <w:rFonts w:ascii="Arial" w:hAnsi="Arial" w:cs="Arial"/>
          <w:b/>
          <w:szCs w:val="24"/>
          <w:u w:val="single"/>
        </w:rPr>
        <w:t>D</w:t>
      </w:r>
    </w:p>
    <w:p w14:paraId="62800D15" w14:textId="77777777" w:rsidR="00716F37" w:rsidRPr="001C4B19" w:rsidRDefault="00716F37" w:rsidP="0077714E">
      <w:pPr>
        <w:keepNext/>
        <w:keepLines/>
        <w:jc w:val="both"/>
        <w:rPr>
          <w:rFonts w:ascii="Arial" w:hAnsi="Arial" w:cs="Arial"/>
          <w:szCs w:val="24"/>
        </w:rPr>
      </w:pPr>
    </w:p>
    <w:p w14:paraId="6582C5E1" w14:textId="33B6417C" w:rsidR="00716F37" w:rsidRDefault="005E061A" w:rsidP="0077714E">
      <w:pPr>
        <w:pStyle w:val="ListParagraph0"/>
        <w:keepNext/>
        <w:keepLines/>
        <w:numPr>
          <w:ilvl w:val="0"/>
          <w:numId w:val="2"/>
        </w:numPr>
        <w:jc w:val="both"/>
        <w:rPr>
          <w:rFonts w:ascii="Arial" w:hAnsi="Arial" w:cs="Arial"/>
        </w:rPr>
      </w:pPr>
      <w:r>
        <w:rPr>
          <w:rFonts w:ascii="Arial" w:hAnsi="Arial" w:cs="Arial"/>
        </w:rPr>
        <w:t>Calli Knight</w:t>
      </w:r>
      <w:r w:rsidR="00716F37" w:rsidRPr="00D97318">
        <w:rPr>
          <w:rFonts w:ascii="Arial" w:hAnsi="Arial" w:cs="Arial"/>
        </w:rPr>
        <w:t xml:space="preserve">, </w:t>
      </w:r>
      <w:r>
        <w:rPr>
          <w:rFonts w:ascii="Arial" w:hAnsi="Arial" w:cs="Arial"/>
        </w:rPr>
        <w:t>External Relations Director</w:t>
      </w:r>
      <w:r w:rsidR="00716F37" w:rsidRPr="00D97318">
        <w:rPr>
          <w:rFonts w:ascii="Arial" w:hAnsi="Arial" w:cs="Arial"/>
        </w:rPr>
        <w:t xml:space="preserve">, </w:t>
      </w:r>
      <w:r>
        <w:rPr>
          <w:rFonts w:ascii="Arial" w:hAnsi="Arial" w:cs="Arial"/>
        </w:rPr>
        <w:t>Executive's Office</w:t>
      </w:r>
    </w:p>
    <w:p w14:paraId="7C02CE69" w14:textId="7E5AAFC3" w:rsidR="005E061A" w:rsidRDefault="005E061A" w:rsidP="0077714E">
      <w:pPr>
        <w:pStyle w:val="ListParagraph0"/>
        <w:keepNext/>
        <w:keepLines/>
        <w:numPr>
          <w:ilvl w:val="0"/>
          <w:numId w:val="2"/>
        </w:numPr>
        <w:jc w:val="both"/>
        <w:rPr>
          <w:rFonts w:ascii="Arial" w:hAnsi="Arial" w:cs="Arial"/>
        </w:rPr>
      </w:pPr>
      <w:r>
        <w:rPr>
          <w:rFonts w:ascii="Arial" w:hAnsi="Arial" w:cs="Arial"/>
        </w:rPr>
        <w:t>Jim Chan, Division Director, Permitting, Department of Local Services</w:t>
      </w:r>
    </w:p>
    <w:p w14:paraId="7815C7FE" w14:textId="7888A45F" w:rsidR="009407E2" w:rsidRDefault="009407E2" w:rsidP="0077714E">
      <w:pPr>
        <w:pStyle w:val="ListParagraph0"/>
        <w:keepNext/>
        <w:keepLines/>
        <w:numPr>
          <w:ilvl w:val="0"/>
          <w:numId w:val="2"/>
        </w:numPr>
        <w:jc w:val="both"/>
        <w:rPr>
          <w:rFonts w:ascii="Arial" w:hAnsi="Arial" w:cs="Arial"/>
        </w:rPr>
      </w:pPr>
      <w:r>
        <w:rPr>
          <w:rFonts w:ascii="Arial" w:hAnsi="Arial" w:cs="Arial"/>
        </w:rPr>
        <w:t>Cristy Craig, Senior Deputy Prosecuting Attorney, Prosecuting Attorney's Office</w:t>
      </w:r>
    </w:p>
    <w:p w14:paraId="2D16CCD2" w14:textId="7A695DE8" w:rsidR="009407E2" w:rsidRDefault="009407E2" w:rsidP="0077714E">
      <w:pPr>
        <w:pStyle w:val="ListParagraph0"/>
        <w:keepNext/>
        <w:keepLines/>
        <w:numPr>
          <w:ilvl w:val="0"/>
          <w:numId w:val="2"/>
        </w:numPr>
        <w:jc w:val="both"/>
        <w:rPr>
          <w:rFonts w:ascii="Arial" w:hAnsi="Arial" w:cs="Arial"/>
        </w:rPr>
      </w:pPr>
      <w:r>
        <w:rPr>
          <w:rFonts w:ascii="Arial" w:hAnsi="Arial" w:cs="Arial"/>
        </w:rPr>
        <w:t>Lena Madden, Senior Deputy Prosecuting Attorney, Prosecuting Attorney's Office</w:t>
      </w:r>
    </w:p>
    <w:p w14:paraId="37447E93" w14:textId="164AAC0C" w:rsidR="0024345A" w:rsidRPr="00D97318" w:rsidRDefault="0024345A" w:rsidP="0077714E">
      <w:pPr>
        <w:pStyle w:val="ListParagraph0"/>
        <w:keepNext/>
        <w:keepLines/>
        <w:numPr>
          <w:ilvl w:val="0"/>
          <w:numId w:val="2"/>
        </w:numPr>
        <w:jc w:val="both"/>
        <w:rPr>
          <w:rFonts w:ascii="Arial" w:hAnsi="Arial" w:cs="Arial"/>
        </w:rPr>
      </w:pPr>
      <w:r>
        <w:rPr>
          <w:rFonts w:ascii="Arial" w:hAnsi="Arial" w:cs="Arial"/>
        </w:rPr>
        <w:t>Darren Carnell, Senior Deputy Prosecuting Attorney, Prosecuting Attorney's Office</w:t>
      </w:r>
    </w:p>
    <w:p w14:paraId="64EE2E1D" w14:textId="77777777" w:rsidR="00716F37" w:rsidRDefault="00716F37" w:rsidP="005B478C">
      <w:pPr>
        <w:pStyle w:val="BodyText"/>
        <w:jc w:val="both"/>
        <w:rPr>
          <w:rFonts w:ascii="Arial" w:hAnsi="Arial" w:cs="Arial"/>
          <w:b/>
          <w:i w:val="0"/>
          <w:szCs w:val="24"/>
          <w:u w:val="single"/>
        </w:rPr>
      </w:pPr>
    </w:p>
    <w:p w14:paraId="206C0586"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6B1CAA3D" w14:textId="77777777" w:rsidR="00B24961" w:rsidRPr="001C4B19" w:rsidRDefault="00B24961" w:rsidP="005B478C">
      <w:pPr>
        <w:pStyle w:val="BodyText"/>
        <w:jc w:val="both"/>
        <w:rPr>
          <w:rFonts w:ascii="Arial" w:hAnsi="Arial" w:cs="Arial"/>
          <w:i w:val="0"/>
          <w:szCs w:val="24"/>
        </w:rPr>
      </w:pPr>
    </w:p>
    <w:p w14:paraId="45BBC7B7" w14:textId="00E87577" w:rsidR="004C241A" w:rsidRPr="009407E2" w:rsidRDefault="00C521D8" w:rsidP="00E10A51">
      <w:pPr>
        <w:pStyle w:val="BodyText"/>
        <w:numPr>
          <w:ilvl w:val="0"/>
          <w:numId w:val="1"/>
        </w:numPr>
        <w:jc w:val="both"/>
        <w:rPr>
          <w:rFonts w:ascii="Arial" w:hAnsi="Arial" w:cs="Arial"/>
          <w:i w:val="0"/>
          <w:szCs w:val="24"/>
        </w:rPr>
      </w:pPr>
      <w:r w:rsidRPr="009407E2">
        <w:rPr>
          <w:rFonts w:ascii="Arial" w:hAnsi="Arial" w:cs="Arial"/>
          <w:i w:val="0"/>
          <w:szCs w:val="24"/>
        </w:rPr>
        <w:t xml:space="preserve">Proposed </w:t>
      </w:r>
      <w:r w:rsidR="00664648" w:rsidRPr="009407E2">
        <w:rPr>
          <w:rFonts w:ascii="Arial" w:hAnsi="Arial" w:cs="Arial"/>
          <w:i w:val="0"/>
          <w:szCs w:val="24"/>
        </w:rPr>
        <w:t>Ordinance</w:t>
      </w:r>
      <w:r w:rsidR="00716F37" w:rsidRPr="009407E2">
        <w:rPr>
          <w:rFonts w:ascii="Arial" w:hAnsi="Arial" w:cs="Arial"/>
          <w:i w:val="0"/>
          <w:szCs w:val="24"/>
        </w:rPr>
        <w:t xml:space="preserve"> 20</w:t>
      </w:r>
      <w:r w:rsidR="001C01BB" w:rsidRPr="009407E2">
        <w:rPr>
          <w:rFonts w:ascii="Arial" w:hAnsi="Arial" w:cs="Arial"/>
          <w:i w:val="0"/>
          <w:szCs w:val="24"/>
        </w:rPr>
        <w:t>2</w:t>
      </w:r>
      <w:r w:rsidR="000F11D6" w:rsidRPr="009407E2">
        <w:rPr>
          <w:rFonts w:ascii="Arial" w:hAnsi="Arial" w:cs="Arial"/>
          <w:i w:val="0"/>
          <w:szCs w:val="24"/>
        </w:rPr>
        <w:t>2</w:t>
      </w:r>
      <w:r w:rsidRPr="009407E2">
        <w:rPr>
          <w:rFonts w:ascii="Arial" w:hAnsi="Arial" w:cs="Arial"/>
          <w:i w:val="0"/>
          <w:szCs w:val="24"/>
        </w:rPr>
        <w:t>-</w:t>
      </w:r>
      <w:r w:rsidR="009407E2" w:rsidRPr="009407E2">
        <w:rPr>
          <w:rFonts w:ascii="Arial" w:hAnsi="Arial" w:cs="Arial"/>
          <w:i w:val="0"/>
          <w:szCs w:val="24"/>
        </w:rPr>
        <w:t>0147</w:t>
      </w:r>
      <w:r w:rsidR="00575B03" w:rsidRPr="009407E2">
        <w:rPr>
          <w:rFonts w:ascii="Arial" w:hAnsi="Arial" w:cs="Arial"/>
          <w:i w:val="0"/>
          <w:szCs w:val="24"/>
        </w:rPr>
        <w:t xml:space="preserve"> and its attachment</w:t>
      </w:r>
      <w:r w:rsidR="00A6488F" w:rsidRPr="009407E2">
        <w:rPr>
          <w:rFonts w:ascii="Arial" w:hAnsi="Arial" w:cs="Arial"/>
          <w:i w:val="0"/>
          <w:szCs w:val="24"/>
        </w:rPr>
        <w:t xml:space="preserve"> (Ordinance 1, modify 19030)</w:t>
      </w:r>
    </w:p>
    <w:p w14:paraId="50F4B2E3" w14:textId="6399FF39" w:rsidR="00A6488F" w:rsidRPr="009407E2" w:rsidRDefault="00A6488F" w:rsidP="00E10A51">
      <w:pPr>
        <w:pStyle w:val="BodyText"/>
        <w:numPr>
          <w:ilvl w:val="0"/>
          <w:numId w:val="1"/>
        </w:numPr>
        <w:jc w:val="both"/>
        <w:rPr>
          <w:rFonts w:ascii="Arial" w:hAnsi="Arial" w:cs="Arial"/>
          <w:i w:val="0"/>
          <w:szCs w:val="24"/>
        </w:rPr>
      </w:pPr>
      <w:r w:rsidRPr="009407E2">
        <w:rPr>
          <w:rFonts w:ascii="Arial" w:hAnsi="Arial" w:cs="Arial"/>
          <w:i w:val="0"/>
          <w:szCs w:val="24"/>
        </w:rPr>
        <w:t>Proposed Ordinance 2022-0</w:t>
      </w:r>
      <w:r w:rsidR="009407E2" w:rsidRPr="009407E2">
        <w:rPr>
          <w:rFonts w:ascii="Arial" w:hAnsi="Arial" w:cs="Arial"/>
          <w:i w:val="0"/>
          <w:szCs w:val="24"/>
        </w:rPr>
        <w:t>148</w:t>
      </w:r>
      <w:r w:rsidRPr="009407E2">
        <w:rPr>
          <w:rFonts w:ascii="Arial" w:hAnsi="Arial" w:cs="Arial"/>
          <w:i w:val="0"/>
          <w:szCs w:val="24"/>
        </w:rPr>
        <w:t xml:space="preserve"> (Ordinance 2, modify Ordinance 1)</w:t>
      </w:r>
    </w:p>
    <w:p w14:paraId="1C516E5F" w14:textId="60CE5A4D" w:rsidR="006C11DF" w:rsidRDefault="0078251A" w:rsidP="00E10A51">
      <w:pPr>
        <w:pStyle w:val="BodyText"/>
        <w:numPr>
          <w:ilvl w:val="0"/>
          <w:numId w:val="1"/>
        </w:numPr>
        <w:jc w:val="both"/>
        <w:rPr>
          <w:rFonts w:ascii="Arial" w:hAnsi="Arial" w:cs="Arial"/>
          <w:i w:val="0"/>
          <w:szCs w:val="24"/>
        </w:rPr>
      </w:pPr>
      <w:r>
        <w:rPr>
          <w:rFonts w:ascii="Arial" w:hAnsi="Arial" w:cs="Arial"/>
          <w:i w:val="0"/>
          <w:szCs w:val="24"/>
        </w:rPr>
        <w:t xml:space="preserve">DRAFT </w:t>
      </w:r>
      <w:r w:rsidR="004E4636">
        <w:rPr>
          <w:rFonts w:ascii="Arial" w:hAnsi="Arial" w:cs="Arial"/>
          <w:i w:val="0"/>
          <w:szCs w:val="24"/>
        </w:rPr>
        <w:t>Striking Amendment to PO 2022-0147</w:t>
      </w:r>
    </w:p>
    <w:p w14:paraId="7A32EDB6" w14:textId="4E4F9EE2" w:rsidR="004E4636" w:rsidRDefault="0078251A" w:rsidP="00E10A51">
      <w:pPr>
        <w:pStyle w:val="BodyText"/>
        <w:numPr>
          <w:ilvl w:val="0"/>
          <w:numId w:val="1"/>
        </w:numPr>
        <w:jc w:val="both"/>
        <w:rPr>
          <w:rFonts w:ascii="Arial" w:hAnsi="Arial" w:cs="Arial"/>
          <w:i w:val="0"/>
          <w:szCs w:val="24"/>
        </w:rPr>
      </w:pPr>
      <w:r>
        <w:rPr>
          <w:rFonts w:ascii="Arial" w:hAnsi="Arial" w:cs="Arial"/>
          <w:i w:val="0"/>
          <w:szCs w:val="24"/>
        </w:rPr>
        <w:t xml:space="preserve">DRAFT </w:t>
      </w:r>
      <w:r w:rsidR="004E4636">
        <w:rPr>
          <w:rFonts w:ascii="Arial" w:hAnsi="Arial" w:cs="Arial"/>
          <w:i w:val="0"/>
          <w:szCs w:val="24"/>
        </w:rPr>
        <w:t>Striking Amendment to PO 2022-0148</w:t>
      </w:r>
    </w:p>
    <w:p w14:paraId="667AD6F8" w14:textId="6127CD81" w:rsidR="00726694" w:rsidRPr="009407E2" w:rsidRDefault="00726694" w:rsidP="00E10A51">
      <w:pPr>
        <w:pStyle w:val="BodyText"/>
        <w:numPr>
          <w:ilvl w:val="0"/>
          <w:numId w:val="1"/>
        </w:numPr>
        <w:jc w:val="both"/>
        <w:rPr>
          <w:rFonts w:ascii="Arial" w:hAnsi="Arial" w:cs="Arial"/>
          <w:i w:val="0"/>
          <w:szCs w:val="24"/>
        </w:rPr>
      </w:pPr>
      <w:r w:rsidRPr="009407E2">
        <w:rPr>
          <w:rFonts w:ascii="Arial" w:hAnsi="Arial" w:cs="Arial"/>
          <w:i w:val="0"/>
          <w:szCs w:val="24"/>
        </w:rPr>
        <w:t>Summary Table Comparison – Former Code, Ordinance 19030, and PO 2022-0</w:t>
      </w:r>
      <w:r w:rsidR="009407E2" w:rsidRPr="009407E2">
        <w:rPr>
          <w:rFonts w:ascii="Arial" w:hAnsi="Arial" w:cs="Arial"/>
          <w:i w:val="0"/>
          <w:szCs w:val="24"/>
        </w:rPr>
        <w:t>147</w:t>
      </w:r>
      <w:r w:rsidR="004E4636">
        <w:rPr>
          <w:rFonts w:ascii="Arial" w:hAnsi="Arial" w:cs="Arial"/>
          <w:i w:val="0"/>
          <w:szCs w:val="24"/>
        </w:rPr>
        <w:t xml:space="preserve">/8 </w:t>
      </w:r>
      <w:r w:rsidR="004E4636" w:rsidRPr="00FA388F">
        <w:rPr>
          <w:rFonts w:ascii="Arial" w:hAnsi="Arial" w:cs="Arial"/>
          <w:i w:val="0"/>
          <w:szCs w:val="24"/>
        </w:rPr>
        <w:t xml:space="preserve">with </w:t>
      </w:r>
      <w:r w:rsidR="0078251A">
        <w:rPr>
          <w:rFonts w:ascii="Arial" w:hAnsi="Arial" w:cs="Arial"/>
          <w:i w:val="0"/>
          <w:szCs w:val="24"/>
        </w:rPr>
        <w:t xml:space="preserve">DRAFT </w:t>
      </w:r>
      <w:r w:rsidR="004E4636" w:rsidRPr="00FA388F">
        <w:rPr>
          <w:rFonts w:ascii="Arial" w:hAnsi="Arial" w:cs="Arial"/>
          <w:i w:val="0"/>
          <w:szCs w:val="24"/>
        </w:rPr>
        <w:t>Striking Amendment</w:t>
      </w:r>
      <w:r w:rsidR="000106A1" w:rsidRPr="00FA388F">
        <w:rPr>
          <w:rFonts w:ascii="Arial" w:hAnsi="Arial" w:cs="Arial"/>
          <w:i w:val="0"/>
          <w:szCs w:val="24"/>
        </w:rPr>
        <w:t xml:space="preserve"> changes</w:t>
      </w:r>
      <w:r w:rsidR="005E271B">
        <w:rPr>
          <w:rFonts w:ascii="Arial" w:hAnsi="Arial" w:cs="Arial"/>
          <w:i w:val="0"/>
          <w:szCs w:val="24"/>
        </w:rPr>
        <w:t>, updated April 2</w:t>
      </w:r>
      <w:r w:rsidR="00FA388F">
        <w:rPr>
          <w:rFonts w:ascii="Arial" w:hAnsi="Arial" w:cs="Arial"/>
          <w:i w:val="0"/>
          <w:szCs w:val="24"/>
        </w:rPr>
        <w:t>8</w:t>
      </w:r>
      <w:r w:rsidR="005E271B">
        <w:rPr>
          <w:rFonts w:ascii="Arial" w:hAnsi="Arial" w:cs="Arial"/>
          <w:i w:val="0"/>
          <w:szCs w:val="24"/>
        </w:rPr>
        <w:t>, 2022</w:t>
      </w:r>
    </w:p>
    <w:p w14:paraId="7E30B3CD" w14:textId="03C655BD" w:rsidR="00A6488F" w:rsidRDefault="00A6488F" w:rsidP="00E10A51">
      <w:pPr>
        <w:pStyle w:val="BodyText"/>
        <w:numPr>
          <w:ilvl w:val="0"/>
          <w:numId w:val="1"/>
        </w:numPr>
        <w:jc w:val="both"/>
        <w:rPr>
          <w:rFonts w:ascii="Arial" w:hAnsi="Arial" w:cs="Arial"/>
          <w:i w:val="0"/>
          <w:szCs w:val="24"/>
        </w:rPr>
      </w:pPr>
      <w:r w:rsidRPr="009407E2">
        <w:rPr>
          <w:rFonts w:ascii="Arial" w:hAnsi="Arial" w:cs="Arial"/>
          <w:i w:val="0"/>
          <w:szCs w:val="24"/>
        </w:rPr>
        <w:t>Steps in Production for Alcohol Making</w:t>
      </w:r>
    </w:p>
    <w:p w14:paraId="393BE060" w14:textId="3B37E4F0" w:rsidR="006072CD" w:rsidRPr="009407E2" w:rsidRDefault="006072CD" w:rsidP="00E10A51">
      <w:pPr>
        <w:pStyle w:val="BodyText"/>
        <w:numPr>
          <w:ilvl w:val="0"/>
          <w:numId w:val="1"/>
        </w:numPr>
        <w:jc w:val="both"/>
        <w:rPr>
          <w:rFonts w:ascii="Arial" w:hAnsi="Arial" w:cs="Arial"/>
          <w:i w:val="0"/>
          <w:szCs w:val="24"/>
        </w:rPr>
      </w:pPr>
      <w:bookmarkStart w:id="5" w:name="_Hlk101338382"/>
      <w:r>
        <w:rPr>
          <w:rFonts w:ascii="Arial" w:hAnsi="Arial" w:cs="Arial"/>
          <w:i w:val="0"/>
          <w:szCs w:val="24"/>
        </w:rPr>
        <w:t>RCW and WAC Allowances for Production Licenses</w:t>
      </w:r>
    </w:p>
    <w:bookmarkEnd w:id="5"/>
    <w:p w14:paraId="6F2AF038" w14:textId="77777777" w:rsidR="006072CD" w:rsidRDefault="006072CD" w:rsidP="006072CD">
      <w:pPr>
        <w:pStyle w:val="BodyText"/>
        <w:numPr>
          <w:ilvl w:val="0"/>
          <w:numId w:val="1"/>
        </w:numPr>
        <w:jc w:val="both"/>
        <w:rPr>
          <w:rFonts w:ascii="Arial" w:hAnsi="Arial" w:cs="Arial"/>
          <w:i w:val="0"/>
          <w:szCs w:val="24"/>
        </w:rPr>
      </w:pPr>
      <w:r>
        <w:rPr>
          <w:rFonts w:ascii="Arial" w:hAnsi="Arial" w:cs="Arial"/>
          <w:i w:val="0"/>
          <w:szCs w:val="24"/>
        </w:rPr>
        <w:t>Parcel Analysis Information</w:t>
      </w:r>
    </w:p>
    <w:p w14:paraId="1C4784D8" w14:textId="107708CE" w:rsidR="002243CE" w:rsidRDefault="002243CE" w:rsidP="00E10A51">
      <w:pPr>
        <w:pStyle w:val="BodyText"/>
        <w:numPr>
          <w:ilvl w:val="0"/>
          <w:numId w:val="1"/>
        </w:numPr>
        <w:jc w:val="both"/>
        <w:rPr>
          <w:rFonts w:ascii="Arial" w:hAnsi="Arial" w:cs="Arial"/>
          <w:i w:val="0"/>
          <w:szCs w:val="24"/>
        </w:rPr>
      </w:pPr>
      <w:r w:rsidRPr="005E271B">
        <w:rPr>
          <w:rFonts w:ascii="Arial" w:hAnsi="Arial" w:cs="Arial"/>
          <w:i w:val="0"/>
          <w:szCs w:val="24"/>
        </w:rPr>
        <w:t xml:space="preserve">Schedule for Adoption – updated </w:t>
      </w:r>
      <w:r w:rsidR="0078251A">
        <w:rPr>
          <w:rFonts w:ascii="Arial" w:hAnsi="Arial" w:cs="Arial"/>
          <w:i w:val="0"/>
          <w:szCs w:val="24"/>
        </w:rPr>
        <w:t xml:space="preserve">May </w:t>
      </w:r>
      <w:r w:rsidR="0078251A" w:rsidRPr="0078251A">
        <w:rPr>
          <w:rFonts w:ascii="Arial" w:hAnsi="Arial" w:cs="Arial"/>
          <w:i w:val="0"/>
          <w:szCs w:val="24"/>
        </w:rPr>
        <w:t>4</w:t>
      </w:r>
      <w:r w:rsidRPr="0078251A">
        <w:rPr>
          <w:rFonts w:ascii="Arial" w:hAnsi="Arial" w:cs="Arial"/>
          <w:i w:val="0"/>
          <w:szCs w:val="24"/>
        </w:rPr>
        <w:t>, 2022</w:t>
      </w:r>
    </w:p>
    <w:p w14:paraId="419972BF" w14:textId="3905B2CF" w:rsidR="00877918" w:rsidRPr="005E271B" w:rsidRDefault="00877918" w:rsidP="00E10A51">
      <w:pPr>
        <w:pStyle w:val="BodyText"/>
        <w:numPr>
          <w:ilvl w:val="0"/>
          <w:numId w:val="1"/>
        </w:numPr>
        <w:jc w:val="both"/>
        <w:rPr>
          <w:rFonts w:ascii="Arial" w:hAnsi="Arial" w:cs="Arial"/>
          <w:i w:val="0"/>
          <w:szCs w:val="24"/>
        </w:rPr>
      </w:pPr>
      <w:r>
        <w:rPr>
          <w:rFonts w:ascii="Arial" w:hAnsi="Arial" w:cs="Arial"/>
          <w:i w:val="0"/>
          <w:szCs w:val="24"/>
        </w:rPr>
        <w:t xml:space="preserve">Public Hearing Notice for June 14, </w:t>
      </w:r>
      <w:proofErr w:type="gramStart"/>
      <w:r>
        <w:rPr>
          <w:rFonts w:ascii="Arial" w:hAnsi="Arial" w:cs="Arial"/>
          <w:i w:val="0"/>
          <w:szCs w:val="24"/>
        </w:rPr>
        <w:t>2022</w:t>
      </w:r>
      <w:proofErr w:type="gramEnd"/>
      <w:r>
        <w:rPr>
          <w:rFonts w:ascii="Arial" w:hAnsi="Arial" w:cs="Arial"/>
          <w:i w:val="0"/>
          <w:szCs w:val="24"/>
        </w:rPr>
        <w:t xml:space="preserve"> full Council for Proposed Ordinance 2022-0147</w:t>
      </w:r>
    </w:p>
    <w:p w14:paraId="7B934F1A" w14:textId="77777777" w:rsidR="00C521D8" w:rsidRPr="001C4B19" w:rsidRDefault="00C521D8" w:rsidP="005B478C">
      <w:pPr>
        <w:pStyle w:val="BodyText"/>
        <w:jc w:val="both"/>
        <w:rPr>
          <w:rFonts w:ascii="Arial" w:hAnsi="Arial" w:cs="Arial"/>
          <w:b/>
          <w:i w:val="0"/>
          <w:szCs w:val="24"/>
          <w:u w:val="single"/>
        </w:rPr>
      </w:pPr>
    </w:p>
    <w:p w14:paraId="54D83C2B" w14:textId="705F6190" w:rsidR="00A93FA0" w:rsidRPr="000B3D71" w:rsidRDefault="000B3D71" w:rsidP="000B3D71">
      <w:pPr>
        <w:pBdr>
          <w:top w:val="single" w:sz="4" w:space="1" w:color="auto"/>
          <w:left w:val="single" w:sz="4" w:space="4" w:color="auto"/>
          <w:bottom w:val="single" w:sz="4" w:space="1" w:color="auto"/>
          <w:right w:val="single" w:sz="4" w:space="4" w:color="auto"/>
        </w:pBdr>
        <w:jc w:val="both"/>
        <w:rPr>
          <w:rFonts w:ascii="Arial" w:hAnsi="Arial" w:cs="Arial"/>
          <w:b/>
          <w:bCs/>
          <w:szCs w:val="24"/>
        </w:rPr>
      </w:pPr>
      <w:r w:rsidRPr="000B3D71">
        <w:rPr>
          <w:rFonts w:ascii="Arial" w:hAnsi="Arial" w:cs="Arial"/>
          <w:b/>
          <w:bCs/>
          <w:szCs w:val="24"/>
        </w:rPr>
        <w:t xml:space="preserve">Information regarding the Proposed Ordinances, including meeting materials, public notices, and a public comment form, can be found at this website: </w:t>
      </w:r>
      <w:hyperlink r:id="rId10" w:history="1">
        <w:r w:rsidRPr="000B3D71">
          <w:rPr>
            <w:rStyle w:val="Hyperlink"/>
            <w:rFonts w:ascii="Arial" w:hAnsi="Arial" w:cs="Arial"/>
            <w:b/>
            <w:bCs/>
            <w:szCs w:val="24"/>
          </w:rPr>
          <w:t>https://kingcounty.gov/council/issues/winery-code.aspx</w:t>
        </w:r>
      </w:hyperlink>
      <w:r w:rsidRPr="000B3D71">
        <w:rPr>
          <w:rFonts w:ascii="Arial" w:hAnsi="Arial" w:cs="Arial"/>
          <w:b/>
          <w:bCs/>
          <w:szCs w:val="24"/>
        </w:rPr>
        <w:t>.</w:t>
      </w:r>
    </w:p>
    <w:p w14:paraId="25203511" w14:textId="77777777" w:rsidR="000B3D71" w:rsidRPr="000B3D71" w:rsidRDefault="000B3D71" w:rsidP="000B3D71">
      <w:pPr>
        <w:pBdr>
          <w:top w:val="single" w:sz="4" w:space="1" w:color="auto"/>
          <w:left w:val="single" w:sz="4" w:space="4" w:color="auto"/>
          <w:bottom w:val="single" w:sz="4" w:space="1" w:color="auto"/>
          <w:right w:val="single" w:sz="4" w:space="4" w:color="auto"/>
        </w:pBdr>
        <w:jc w:val="both"/>
        <w:rPr>
          <w:rFonts w:ascii="Arial" w:hAnsi="Arial" w:cs="Arial"/>
          <w:b/>
          <w:bCs/>
          <w:szCs w:val="24"/>
        </w:rPr>
      </w:pPr>
    </w:p>
    <w:sectPr w:rsidR="000B3D71" w:rsidRPr="000B3D71"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903F" w14:textId="77777777" w:rsidR="00E34949" w:rsidRDefault="00E34949">
      <w:r>
        <w:separator/>
      </w:r>
    </w:p>
  </w:endnote>
  <w:endnote w:type="continuationSeparator" w:id="0">
    <w:p w14:paraId="729FF3FF" w14:textId="77777777" w:rsidR="00E34949" w:rsidRDefault="00E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995A" w14:textId="77777777" w:rsidR="00E34949" w:rsidRDefault="00E34949">
      <w:r>
        <w:separator/>
      </w:r>
    </w:p>
  </w:footnote>
  <w:footnote w:type="continuationSeparator" w:id="0">
    <w:p w14:paraId="5D877F5E" w14:textId="77777777" w:rsidR="00E34949" w:rsidRDefault="00E34949">
      <w:r>
        <w:continuationSeparator/>
      </w:r>
    </w:p>
  </w:footnote>
  <w:footnote w:id="1">
    <w:p w14:paraId="3D25406C" w14:textId="77777777" w:rsidR="005E061A" w:rsidRPr="001D44FE" w:rsidRDefault="005E061A" w:rsidP="005E061A">
      <w:pPr>
        <w:pStyle w:val="FootnoteText"/>
        <w:rPr>
          <w:rFonts w:ascii="Arial" w:hAnsi="Arial" w:cs="Arial"/>
        </w:rPr>
      </w:pPr>
      <w:r w:rsidRPr="001D44FE">
        <w:rPr>
          <w:rStyle w:val="FootnoteReference"/>
          <w:rFonts w:ascii="Arial" w:hAnsi="Arial" w:cs="Arial"/>
        </w:rPr>
        <w:footnoteRef/>
      </w:r>
      <w:r w:rsidRPr="001D44FE">
        <w:rPr>
          <w:rFonts w:ascii="Arial" w:hAnsi="Arial" w:cs="Arial"/>
        </w:rPr>
        <w:t xml:space="preserve"> Ordinance 10870</w:t>
      </w:r>
    </w:p>
  </w:footnote>
  <w:footnote w:id="2">
    <w:p w14:paraId="59254FE4" w14:textId="77777777" w:rsidR="005E061A" w:rsidRPr="001D44FE" w:rsidRDefault="005E061A" w:rsidP="005E061A">
      <w:pPr>
        <w:pStyle w:val="FootnoteText"/>
        <w:rPr>
          <w:rFonts w:ascii="Arial" w:hAnsi="Arial" w:cs="Arial"/>
        </w:rPr>
      </w:pPr>
      <w:r w:rsidRPr="001D44FE">
        <w:rPr>
          <w:rStyle w:val="FootnoteReference"/>
          <w:rFonts w:ascii="Arial" w:hAnsi="Arial" w:cs="Arial"/>
        </w:rPr>
        <w:footnoteRef/>
      </w:r>
      <w:r w:rsidRPr="001D44FE">
        <w:rPr>
          <w:rFonts w:ascii="Arial" w:hAnsi="Arial" w:cs="Arial"/>
        </w:rPr>
        <w:t xml:space="preserve"> Ordinance 14781</w:t>
      </w:r>
    </w:p>
  </w:footnote>
  <w:footnote w:id="3">
    <w:p w14:paraId="360AADE1" w14:textId="5421E8A5" w:rsidR="006C11DF" w:rsidRDefault="006C11DF">
      <w:pPr>
        <w:pStyle w:val="FootnoteText"/>
      </w:pPr>
      <w:r>
        <w:rPr>
          <w:rStyle w:val="FootnoteReference"/>
        </w:rPr>
        <w:footnoteRef/>
      </w:r>
      <w:r>
        <w:t xml:space="preserve"> </w:t>
      </w:r>
      <w:r w:rsidRPr="006C11DF">
        <w:rPr>
          <w:rFonts w:ascii="Arial" w:hAnsi="Arial" w:cs="Arial"/>
        </w:rPr>
        <w:t>There were some changes in 2007 with Ordinance 15974</w:t>
      </w:r>
      <w:r>
        <w:rPr>
          <w:rFonts w:ascii="Arial" w:hAnsi="Arial" w:cs="Arial"/>
        </w:rPr>
        <w:t xml:space="preserve">, and allowances for WBDs in commercial zones was added in 2010 with Ordinance </w:t>
      </w:r>
      <w:r w:rsidRPr="006C11DF">
        <w:rPr>
          <w:rFonts w:ascii="Arial" w:hAnsi="Arial" w:cs="Arial"/>
        </w:rPr>
        <w:t>16950</w:t>
      </w:r>
    </w:p>
  </w:footnote>
  <w:footnote w:id="4">
    <w:p w14:paraId="0776C3CF" w14:textId="77777777" w:rsidR="005E061A" w:rsidRPr="001D44FE" w:rsidRDefault="005E061A" w:rsidP="005E061A">
      <w:pPr>
        <w:pStyle w:val="FootnoteText"/>
        <w:rPr>
          <w:rFonts w:ascii="Arial" w:hAnsi="Arial" w:cs="Arial"/>
        </w:rPr>
      </w:pPr>
      <w:r w:rsidRPr="001D44FE">
        <w:rPr>
          <w:rStyle w:val="FootnoteReference"/>
          <w:rFonts w:ascii="Arial" w:hAnsi="Arial" w:cs="Arial"/>
        </w:rPr>
        <w:footnoteRef/>
      </w:r>
      <w:r w:rsidRPr="001D44FE">
        <w:rPr>
          <w:rFonts w:ascii="Arial" w:hAnsi="Arial" w:cs="Arial"/>
        </w:rPr>
        <w:t xml:space="preserve"> Ordinance 17539</w:t>
      </w:r>
    </w:p>
  </w:footnote>
  <w:footnote w:id="5">
    <w:p w14:paraId="724297D7" w14:textId="6D712674" w:rsidR="005E061A" w:rsidRPr="001D44FE" w:rsidRDefault="005E061A" w:rsidP="005E061A">
      <w:pPr>
        <w:pStyle w:val="FootnoteText"/>
        <w:rPr>
          <w:rFonts w:ascii="Arial" w:hAnsi="Arial" w:cs="Arial"/>
        </w:rPr>
      </w:pPr>
      <w:r w:rsidRPr="001D44FE">
        <w:rPr>
          <w:rStyle w:val="FootnoteReference"/>
          <w:rFonts w:ascii="Arial" w:hAnsi="Arial" w:cs="Arial"/>
        </w:rPr>
        <w:footnoteRef/>
      </w:r>
      <w:r w:rsidRPr="001D44FE">
        <w:rPr>
          <w:rFonts w:ascii="Arial" w:hAnsi="Arial" w:cs="Arial"/>
        </w:rPr>
        <w:t xml:space="preserve"> Ordinance 17485</w:t>
      </w:r>
      <w:r w:rsidR="000E606E">
        <w:rPr>
          <w:rFonts w:ascii="Arial" w:hAnsi="Arial" w:cs="Arial"/>
        </w:rPr>
        <w:t>, Section 50.P.</w:t>
      </w:r>
    </w:p>
  </w:footnote>
  <w:footnote w:id="6">
    <w:p w14:paraId="37382ADD" w14:textId="77777777" w:rsidR="005E061A" w:rsidRDefault="005E061A" w:rsidP="005E061A">
      <w:pPr>
        <w:pStyle w:val="FootnoteText"/>
      </w:pPr>
      <w:r w:rsidRPr="001D44FE">
        <w:rPr>
          <w:rStyle w:val="FootnoteReference"/>
          <w:rFonts w:ascii="Arial" w:hAnsi="Arial" w:cs="Arial"/>
        </w:rPr>
        <w:footnoteRef/>
      </w:r>
      <w:r w:rsidRPr="001D44FE">
        <w:rPr>
          <w:rFonts w:ascii="Arial" w:hAnsi="Arial" w:cs="Arial"/>
        </w:rPr>
        <w:t xml:space="preserve"> Ordinance 18239</w:t>
      </w:r>
    </w:p>
  </w:footnote>
  <w:footnote w:id="7">
    <w:p w14:paraId="00D13808" w14:textId="77777777" w:rsidR="005E061A" w:rsidRPr="001D44FE" w:rsidRDefault="005E061A" w:rsidP="005E061A">
      <w:pPr>
        <w:pStyle w:val="FootnoteText"/>
        <w:rPr>
          <w:rFonts w:ascii="Arial" w:hAnsi="Arial" w:cs="Arial"/>
        </w:rPr>
      </w:pPr>
      <w:r w:rsidRPr="001D44FE">
        <w:rPr>
          <w:rStyle w:val="FootnoteReference"/>
          <w:rFonts w:ascii="Arial" w:hAnsi="Arial" w:cs="Arial"/>
        </w:rPr>
        <w:footnoteRef/>
      </w:r>
      <w:r w:rsidRPr="001D44FE">
        <w:rPr>
          <w:rFonts w:ascii="Arial" w:hAnsi="Arial" w:cs="Arial"/>
        </w:rPr>
        <w:t xml:space="preserve"> Link to report: </w:t>
      </w:r>
      <w:hyperlink r:id="rId1" w:history="1">
        <w:r w:rsidRPr="001D44FE">
          <w:rPr>
            <w:rStyle w:val="Hyperlink"/>
            <w:rFonts w:ascii="Arial" w:hAnsi="Arial" w:cs="Arial"/>
          </w:rPr>
          <w:t>https://www.kingcounty.gov/~/media/depts/executive/performance-strategy-budget/regional-planning/Sammamish-Study-Area/CAISammValleyWineBeverageStudyFINAL-091216.ashx?la=en</w:t>
        </w:r>
      </w:hyperlink>
      <w:r w:rsidRPr="001D44FE">
        <w:rPr>
          <w:rFonts w:ascii="Arial" w:hAnsi="Arial" w:cs="Arial"/>
        </w:rPr>
        <w:t xml:space="preserve"> </w:t>
      </w:r>
    </w:p>
  </w:footnote>
  <w:footnote w:id="8">
    <w:p w14:paraId="06DB3A86" w14:textId="46BBF5BA" w:rsidR="00C81D1A" w:rsidRPr="001D44FE" w:rsidRDefault="00C81D1A">
      <w:pPr>
        <w:pStyle w:val="FootnoteText"/>
        <w:rPr>
          <w:rFonts w:ascii="Arial" w:hAnsi="Arial" w:cs="Arial"/>
        </w:rPr>
      </w:pPr>
      <w:r w:rsidRPr="001D44FE">
        <w:rPr>
          <w:rStyle w:val="FootnoteReference"/>
          <w:rFonts w:ascii="Arial" w:hAnsi="Arial" w:cs="Arial"/>
        </w:rPr>
        <w:footnoteRef/>
      </w:r>
      <w:r w:rsidRPr="001D44FE">
        <w:rPr>
          <w:rFonts w:ascii="Arial" w:hAnsi="Arial" w:cs="Arial"/>
        </w:rPr>
        <w:t xml:space="preserve"> Ordinance 19122</w:t>
      </w:r>
    </w:p>
  </w:footnote>
  <w:footnote w:id="9">
    <w:p w14:paraId="0776C118" w14:textId="7A8F3FFE" w:rsidR="00256758" w:rsidRDefault="00256758">
      <w:pPr>
        <w:pStyle w:val="FootnoteText"/>
      </w:pPr>
      <w:r w:rsidRPr="001D44FE">
        <w:rPr>
          <w:rStyle w:val="FootnoteReference"/>
          <w:rFonts w:ascii="Arial" w:hAnsi="Arial" w:cs="Arial"/>
        </w:rPr>
        <w:footnoteRef/>
      </w:r>
      <w:r w:rsidRPr="001D44FE">
        <w:rPr>
          <w:rFonts w:ascii="Arial" w:hAnsi="Arial" w:cs="Arial"/>
        </w:rPr>
        <w:t xml:space="preserve"> Motion 15649</w:t>
      </w:r>
    </w:p>
  </w:footnote>
  <w:footnote w:id="10">
    <w:p w14:paraId="639E484C" w14:textId="74BC8E0F" w:rsidR="003952C2" w:rsidRPr="00497007" w:rsidRDefault="003952C2">
      <w:pPr>
        <w:pStyle w:val="FootnoteText"/>
        <w:rPr>
          <w:rFonts w:ascii="Arial" w:hAnsi="Arial" w:cs="Arial"/>
        </w:rPr>
      </w:pPr>
      <w:r w:rsidRPr="00497007">
        <w:rPr>
          <w:rStyle w:val="FootnoteReference"/>
          <w:rFonts w:ascii="Arial" w:hAnsi="Arial" w:cs="Arial"/>
        </w:rPr>
        <w:footnoteRef/>
      </w:r>
      <w:r w:rsidRPr="00497007">
        <w:rPr>
          <w:rFonts w:ascii="Arial" w:hAnsi="Arial" w:cs="Arial"/>
        </w:rPr>
        <w:t xml:space="preserve"> There was written public comment about this area submitted </w:t>
      </w:r>
      <w:r w:rsidR="007D6B91">
        <w:rPr>
          <w:rFonts w:ascii="Arial" w:hAnsi="Arial" w:cs="Arial"/>
        </w:rPr>
        <w:t>at</w:t>
      </w:r>
      <w:r w:rsidRPr="00497007">
        <w:rPr>
          <w:rFonts w:ascii="Arial" w:hAnsi="Arial" w:cs="Arial"/>
        </w:rPr>
        <w:t xml:space="preserve"> the March 22, </w:t>
      </w:r>
      <w:proofErr w:type="gramStart"/>
      <w:r w:rsidRPr="00497007">
        <w:rPr>
          <w:rFonts w:ascii="Arial" w:hAnsi="Arial" w:cs="Arial"/>
        </w:rPr>
        <w:t>2022</w:t>
      </w:r>
      <w:proofErr w:type="gramEnd"/>
      <w:r w:rsidRPr="00497007">
        <w:rPr>
          <w:rFonts w:ascii="Arial" w:hAnsi="Arial" w:cs="Arial"/>
        </w:rPr>
        <w:t xml:space="preserve"> LSLU Committee meeting that stated that 43 properties could be eligible for WBD II or III</w:t>
      </w:r>
      <w:r w:rsidR="007D6B91">
        <w:rPr>
          <w:rFonts w:ascii="Arial" w:hAnsi="Arial" w:cs="Arial"/>
        </w:rPr>
        <w:t xml:space="preserve"> under Proposed Ordinances 2022-0147/8</w:t>
      </w:r>
      <w:r w:rsidRPr="00497007">
        <w:rPr>
          <w:rFonts w:ascii="Arial" w:hAnsi="Arial" w:cs="Arial"/>
        </w:rPr>
        <w:t xml:space="preserve">.  </w:t>
      </w:r>
      <w:r w:rsidR="00497007">
        <w:rPr>
          <w:rFonts w:ascii="Arial" w:hAnsi="Arial" w:cs="Arial"/>
        </w:rPr>
        <w:t xml:space="preserve">Council staff </w:t>
      </w:r>
      <w:r w:rsidR="00744914">
        <w:rPr>
          <w:rFonts w:ascii="Arial" w:hAnsi="Arial" w:cs="Arial"/>
        </w:rPr>
        <w:t xml:space="preserve">attempted to but </w:t>
      </w:r>
      <w:r w:rsidR="00497007">
        <w:rPr>
          <w:rFonts w:ascii="Arial" w:hAnsi="Arial" w:cs="Arial"/>
        </w:rPr>
        <w:t>could not conduct an</w:t>
      </w:r>
      <w:r w:rsidRPr="00497007">
        <w:rPr>
          <w:rFonts w:ascii="Arial" w:hAnsi="Arial" w:cs="Arial"/>
        </w:rPr>
        <w:t xml:space="preserve"> apples-to-apples comparison, as th</w:t>
      </w:r>
      <w:r w:rsidR="00497007">
        <w:rPr>
          <w:rFonts w:ascii="Arial" w:hAnsi="Arial" w:cs="Arial"/>
        </w:rPr>
        <w:t>e</w:t>
      </w:r>
      <w:r w:rsidRPr="00497007">
        <w:rPr>
          <w:rFonts w:ascii="Arial" w:hAnsi="Arial" w:cs="Arial"/>
        </w:rPr>
        <w:t xml:space="preserve"> analysis</w:t>
      </w:r>
      <w:r w:rsidR="00497007">
        <w:rPr>
          <w:rFonts w:ascii="Arial" w:hAnsi="Arial" w:cs="Arial"/>
        </w:rPr>
        <w:t xml:space="preserve"> submitted at Committee</w:t>
      </w:r>
      <w:r w:rsidRPr="00497007">
        <w:rPr>
          <w:rFonts w:ascii="Arial" w:hAnsi="Arial" w:cs="Arial"/>
        </w:rPr>
        <w:t xml:space="preserve"> did not consider the full proposal under Proposed Ordinances 2022-0147/8</w:t>
      </w:r>
      <w:r w:rsidR="00497007">
        <w:rPr>
          <w:rFonts w:ascii="Arial" w:hAnsi="Arial" w:cs="Arial"/>
        </w:rPr>
        <w:t xml:space="preserve"> (notably the 1,000</w:t>
      </w:r>
      <w:r w:rsidR="007D6B91">
        <w:rPr>
          <w:rFonts w:ascii="Arial" w:hAnsi="Arial" w:cs="Arial"/>
        </w:rPr>
        <w:t xml:space="preserve"> </w:t>
      </w:r>
      <w:r w:rsidR="00497007">
        <w:rPr>
          <w:rFonts w:ascii="Arial" w:hAnsi="Arial" w:cs="Arial"/>
        </w:rPr>
        <w:t>ft separation requirement for WBD II and III</w:t>
      </w:r>
      <w:proofErr w:type="gramStart"/>
      <w:r w:rsidR="00497007">
        <w:rPr>
          <w:rFonts w:ascii="Arial" w:hAnsi="Arial" w:cs="Arial"/>
        </w:rPr>
        <w:t>)</w:t>
      </w:r>
      <w:r w:rsidRPr="00497007">
        <w:rPr>
          <w:rFonts w:ascii="Arial" w:hAnsi="Arial" w:cs="Arial"/>
        </w:rPr>
        <w:t xml:space="preserve">, </w:t>
      </w:r>
      <w:r w:rsidR="00497007">
        <w:rPr>
          <w:rFonts w:ascii="Arial" w:hAnsi="Arial" w:cs="Arial"/>
        </w:rPr>
        <w:t>and</w:t>
      </w:r>
      <w:proofErr w:type="gramEnd"/>
      <w:r w:rsidR="00497007">
        <w:rPr>
          <w:rFonts w:ascii="Arial" w:hAnsi="Arial" w:cs="Arial"/>
        </w:rPr>
        <w:t xml:space="preserve"> </w:t>
      </w:r>
      <w:r w:rsidR="007D6B91">
        <w:rPr>
          <w:rFonts w:ascii="Arial" w:hAnsi="Arial" w:cs="Arial"/>
        </w:rPr>
        <w:t xml:space="preserve">excluded </w:t>
      </w:r>
      <w:r w:rsidR="00497007">
        <w:rPr>
          <w:rFonts w:ascii="Arial" w:hAnsi="Arial" w:cs="Arial"/>
        </w:rPr>
        <w:t xml:space="preserve">some properties that could theoretically </w:t>
      </w:r>
      <w:r w:rsidR="00744914">
        <w:rPr>
          <w:rFonts w:ascii="Arial" w:hAnsi="Arial" w:cs="Arial"/>
        </w:rPr>
        <w:t>meet the requirements for a</w:t>
      </w:r>
      <w:r w:rsidR="00497007">
        <w:rPr>
          <w:rFonts w:ascii="Arial" w:hAnsi="Arial" w:cs="Arial"/>
        </w:rPr>
        <w:t xml:space="preserve"> WBD II or III.  The written public comment also did not compare the analysis to what was allowed under Former Code, which allowed any parcel to establish a home occupation WBD with no limit on square footage.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A2CE" w14:textId="77777777" w:rsidR="00C75025" w:rsidRDefault="00C75025" w:rsidP="00C75025">
    <w:pPr>
      <w:jc w:val="center"/>
    </w:pPr>
    <w:r>
      <w:rPr>
        <w:noProof/>
      </w:rPr>
      <w:drawing>
        <wp:inline distT="0" distB="0" distL="0" distR="0" wp14:anchorId="068B901B" wp14:editId="33241E6C">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52CAB8E" w14:textId="77777777" w:rsidR="00C75025" w:rsidRPr="003B03EF" w:rsidRDefault="00C75025" w:rsidP="00C75025">
    <w:pPr>
      <w:jc w:val="center"/>
      <w:rPr>
        <w:rFonts w:ascii="Arial" w:hAnsi="Arial"/>
        <w:szCs w:val="22"/>
      </w:rPr>
    </w:pPr>
  </w:p>
  <w:p w14:paraId="3DBE1D9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181C368" w14:textId="3457572B" w:rsidR="00C75025" w:rsidRPr="004A1D48" w:rsidRDefault="00455447" w:rsidP="00C75025">
    <w:pPr>
      <w:jc w:val="center"/>
      <w:rPr>
        <w:rFonts w:ascii="Verdana" w:hAnsi="Verdana"/>
        <w:b/>
        <w:sz w:val="28"/>
        <w:szCs w:val="28"/>
      </w:rPr>
    </w:pPr>
    <w:r>
      <w:rPr>
        <w:rFonts w:ascii="Verdana" w:hAnsi="Verdana"/>
        <w:b/>
        <w:sz w:val="28"/>
        <w:szCs w:val="28"/>
      </w:rPr>
      <w:t>Local Services</w:t>
    </w:r>
    <w:r w:rsidR="00E64C83">
      <w:rPr>
        <w:rFonts w:ascii="Verdana" w:hAnsi="Verdana"/>
        <w:b/>
        <w:sz w:val="28"/>
        <w:szCs w:val="28"/>
      </w:rPr>
      <w:t xml:space="preserve"> </w:t>
    </w:r>
    <w:r w:rsidR="00931976">
      <w:rPr>
        <w:rFonts w:ascii="Verdana" w:hAnsi="Verdana"/>
        <w:b/>
        <w:sz w:val="28"/>
        <w:szCs w:val="28"/>
      </w:rPr>
      <w:t>and</w:t>
    </w:r>
    <w:r w:rsidR="00556817">
      <w:rPr>
        <w:rFonts w:ascii="Verdana" w:hAnsi="Verdana"/>
        <w:b/>
        <w:sz w:val="28"/>
        <w:szCs w:val="28"/>
      </w:rPr>
      <w:t xml:space="preserve"> Land Use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44E"/>
    <w:multiLevelType w:val="hybridMultilevel"/>
    <w:tmpl w:val="CCB8437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7ED4F8E"/>
    <w:multiLevelType w:val="hybridMultilevel"/>
    <w:tmpl w:val="CCB8437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C553E"/>
    <w:multiLevelType w:val="hybridMultilevel"/>
    <w:tmpl w:val="95DE1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2F54"/>
    <w:multiLevelType w:val="multilevel"/>
    <w:tmpl w:val="CE58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77627"/>
    <w:multiLevelType w:val="hybridMultilevel"/>
    <w:tmpl w:val="CCB8437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3F4482E"/>
    <w:multiLevelType w:val="hybridMultilevel"/>
    <w:tmpl w:val="BA80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746D8"/>
    <w:multiLevelType w:val="hybridMultilevel"/>
    <w:tmpl w:val="29EC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C0A8C"/>
    <w:multiLevelType w:val="hybridMultilevel"/>
    <w:tmpl w:val="C12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B0870"/>
    <w:multiLevelType w:val="hybridMultilevel"/>
    <w:tmpl w:val="E31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9234C"/>
    <w:multiLevelType w:val="hybridMultilevel"/>
    <w:tmpl w:val="E96C61C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BC3DE4"/>
    <w:multiLevelType w:val="hybridMultilevel"/>
    <w:tmpl w:val="95DE1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42AD7"/>
    <w:multiLevelType w:val="hybridMultilevel"/>
    <w:tmpl w:val="79E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150C0"/>
    <w:multiLevelType w:val="hybridMultilevel"/>
    <w:tmpl w:val="C60C3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E70DB"/>
    <w:multiLevelType w:val="hybridMultilevel"/>
    <w:tmpl w:val="95DE1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33EA6"/>
    <w:multiLevelType w:val="hybridMultilevel"/>
    <w:tmpl w:val="CCB8437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63A0473A"/>
    <w:multiLevelType w:val="hybridMultilevel"/>
    <w:tmpl w:val="0AD8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A11D5"/>
    <w:multiLevelType w:val="hybridMultilevel"/>
    <w:tmpl w:val="ED0A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329C8"/>
    <w:multiLevelType w:val="hybridMultilevel"/>
    <w:tmpl w:val="784A2F6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1F10597"/>
    <w:multiLevelType w:val="hybridMultilevel"/>
    <w:tmpl w:val="5EA07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6"/>
  </w:num>
  <w:num w:numId="4">
    <w:abstractNumId w:val="16"/>
  </w:num>
  <w:num w:numId="5">
    <w:abstractNumId w:val="19"/>
  </w:num>
  <w:num w:numId="6">
    <w:abstractNumId w:val="12"/>
  </w:num>
  <w:num w:numId="7">
    <w:abstractNumId w:val="8"/>
  </w:num>
  <w:num w:numId="8">
    <w:abstractNumId w:val="3"/>
  </w:num>
  <w:num w:numId="9">
    <w:abstractNumId w:val="18"/>
  </w:num>
  <w:num w:numId="10">
    <w:abstractNumId w:val="0"/>
  </w:num>
  <w:num w:numId="11">
    <w:abstractNumId w:val="15"/>
  </w:num>
  <w:num w:numId="12">
    <w:abstractNumId w:val="5"/>
  </w:num>
  <w:num w:numId="13">
    <w:abstractNumId w:val="1"/>
  </w:num>
  <w:num w:numId="14">
    <w:abstractNumId w:val="11"/>
  </w:num>
  <w:num w:numId="15">
    <w:abstractNumId w:val="14"/>
  </w:num>
  <w:num w:numId="16">
    <w:abstractNumId w:val="10"/>
  </w:num>
  <w:num w:numId="17">
    <w:abstractNumId w:val="7"/>
  </w:num>
  <w:num w:numId="18">
    <w:abstractNumId w:val="17"/>
  </w:num>
  <w:num w:numId="19">
    <w:abstractNumId w:val="13"/>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A8"/>
    <w:rsid w:val="00000F0A"/>
    <w:rsid w:val="00002565"/>
    <w:rsid w:val="00002EFF"/>
    <w:rsid w:val="000038DD"/>
    <w:rsid w:val="000048A8"/>
    <w:rsid w:val="00006AAA"/>
    <w:rsid w:val="00007170"/>
    <w:rsid w:val="00007552"/>
    <w:rsid w:val="000079A1"/>
    <w:rsid w:val="000106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46E0"/>
    <w:rsid w:val="0002551E"/>
    <w:rsid w:val="0002555E"/>
    <w:rsid w:val="000311D8"/>
    <w:rsid w:val="000315B2"/>
    <w:rsid w:val="00031E7D"/>
    <w:rsid w:val="0003207F"/>
    <w:rsid w:val="000321D8"/>
    <w:rsid w:val="0003256E"/>
    <w:rsid w:val="000333D7"/>
    <w:rsid w:val="000333DA"/>
    <w:rsid w:val="000351B5"/>
    <w:rsid w:val="00036CFE"/>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772E3"/>
    <w:rsid w:val="00080295"/>
    <w:rsid w:val="00081382"/>
    <w:rsid w:val="00082009"/>
    <w:rsid w:val="0008325A"/>
    <w:rsid w:val="00086A9B"/>
    <w:rsid w:val="00087BF6"/>
    <w:rsid w:val="00087F43"/>
    <w:rsid w:val="000913B6"/>
    <w:rsid w:val="00093E2E"/>
    <w:rsid w:val="000940FB"/>
    <w:rsid w:val="000956D8"/>
    <w:rsid w:val="00095A14"/>
    <w:rsid w:val="00095D62"/>
    <w:rsid w:val="000967D1"/>
    <w:rsid w:val="000976A4"/>
    <w:rsid w:val="00097FCF"/>
    <w:rsid w:val="000A0800"/>
    <w:rsid w:val="000A0835"/>
    <w:rsid w:val="000A09E7"/>
    <w:rsid w:val="000A0A31"/>
    <w:rsid w:val="000A26BF"/>
    <w:rsid w:val="000A4A4E"/>
    <w:rsid w:val="000A4CB2"/>
    <w:rsid w:val="000A5F9C"/>
    <w:rsid w:val="000A5FD0"/>
    <w:rsid w:val="000A714D"/>
    <w:rsid w:val="000A73BE"/>
    <w:rsid w:val="000A78D8"/>
    <w:rsid w:val="000A7CCC"/>
    <w:rsid w:val="000A7E01"/>
    <w:rsid w:val="000B0291"/>
    <w:rsid w:val="000B3172"/>
    <w:rsid w:val="000B3D71"/>
    <w:rsid w:val="000B650C"/>
    <w:rsid w:val="000B70C3"/>
    <w:rsid w:val="000C20E2"/>
    <w:rsid w:val="000C299B"/>
    <w:rsid w:val="000C311D"/>
    <w:rsid w:val="000C44B1"/>
    <w:rsid w:val="000C4BA4"/>
    <w:rsid w:val="000C4E99"/>
    <w:rsid w:val="000C4E9C"/>
    <w:rsid w:val="000C565D"/>
    <w:rsid w:val="000C6442"/>
    <w:rsid w:val="000C6F99"/>
    <w:rsid w:val="000D077F"/>
    <w:rsid w:val="000D097E"/>
    <w:rsid w:val="000D0F7A"/>
    <w:rsid w:val="000D4A15"/>
    <w:rsid w:val="000D5202"/>
    <w:rsid w:val="000D6835"/>
    <w:rsid w:val="000D6C72"/>
    <w:rsid w:val="000E0684"/>
    <w:rsid w:val="000E1BAB"/>
    <w:rsid w:val="000E1CD3"/>
    <w:rsid w:val="000E4781"/>
    <w:rsid w:val="000E606E"/>
    <w:rsid w:val="000E7EFC"/>
    <w:rsid w:val="000F11D6"/>
    <w:rsid w:val="000F29F5"/>
    <w:rsid w:val="000F4DCA"/>
    <w:rsid w:val="000F505F"/>
    <w:rsid w:val="000F5E4A"/>
    <w:rsid w:val="00103094"/>
    <w:rsid w:val="00103A2D"/>
    <w:rsid w:val="00105382"/>
    <w:rsid w:val="0010576B"/>
    <w:rsid w:val="00106179"/>
    <w:rsid w:val="001062E7"/>
    <w:rsid w:val="001074C3"/>
    <w:rsid w:val="00110AC4"/>
    <w:rsid w:val="00111799"/>
    <w:rsid w:val="00113B09"/>
    <w:rsid w:val="00117D3D"/>
    <w:rsid w:val="00121D0A"/>
    <w:rsid w:val="001245DE"/>
    <w:rsid w:val="0012573D"/>
    <w:rsid w:val="00126322"/>
    <w:rsid w:val="00131D0E"/>
    <w:rsid w:val="001320CB"/>
    <w:rsid w:val="0013286C"/>
    <w:rsid w:val="00132C16"/>
    <w:rsid w:val="00132DFC"/>
    <w:rsid w:val="00132FA5"/>
    <w:rsid w:val="00133981"/>
    <w:rsid w:val="00134579"/>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736"/>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6DD3"/>
    <w:rsid w:val="00177734"/>
    <w:rsid w:val="00183030"/>
    <w:rsid w:val="001835BD"/>
    <w:rsid w:val="00183EAB"/>
    <w:rsid w:val="001850BD"/>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382A"/>
    <w:rsid w:val="001B4E6F"/>
    <w:rsid w:val="001B65A3"/>
    <w:rsid w:val="001B6C67"/>
    <w:rsid w:val="001B7023"/>
    <w:rsid w:val="001C01BB"/>
    <w:rsid w:val="001C0CD3"/>
    <w:rsid w:val="001C254D"/>
    <w:rsid w:val="001C4B19"/>
    <w:rsid w:val="001C4EAE"/>
    <w:rsid w:val="001C75A4"/>
    <w:rsid w:val="001C7EDC"/>
    <w:rsid w:val="001D0111"/>
    <w:rsid w:val="001D15FF"/>
    <w:rsid w:val="001D2DDB"/>
    <w:rsid w:val="001D396A"/>
    <w:rsid w:val="001D44FE"/>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23BF"/>
    <w:rsid w:val="001F3766"/>
    <w:rsid w:val="001F3996"/>
    <w:rsid w:val="001F447F"/>
    <w:rsid w:val="001F4FC3"/>
    <w:rsid w:val="001F5169"/>
    <w:rsid w:val="001F6119"/>
    <w:rsid w:val="001F624F"/>
    <w:rsid w:val="001F6A5E"/>
    <w:rsid w:val="002005DF"/>
    <w:rsid w:val="00201498"/>
    <w:rsid w:val="002054F9"/>
    <w:rsid w:val="00205F74"/>
    <w:rsid w:val="002072C9"/>
    <w:rsid w:val="0020735A"/>
    <w:rsid w:val="00210E29"/>
    <w:rsid w:val="00212C08"/>
    <w:rsid w:val="00215732"/>
    <w:rsid w:val="00220282"/>
    <w:rsid w:val="00223040"/>
    <w:rsid w:val="002243CE"/>
    <w:rsid w:val="00224F9B"/>
    <w:rsid w:val="00227E8A"/>
    <w:rsid w:val="00230A23"/>
    <w:rsid w:val="00230AA7"/>
    <w:rsid w:val="00230B3D"/>
    <w:rsid w:val="002327A2"/>
    <w:rsid w:val="00232B86"/>
    <w:rsid w:val="002333E7"/>
    <w:rsid w:val="00234580"/>
    <w:rsid w:val="002345A1"/>
    <w:rsid w:val="00236BA3"/>
    <w:rsid w:val="002413EE"/>
    <w:rsid w:val="00242922"/>
    <w:rsid w:val="0024345A"/>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758"/>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0B1C"/>
    <w:rsid w:val="0028252E"/>
    <w:rsid w:val="00283483"/>
    <w:rsid w:val="00283B58"/>
    <w:rsid w:val="002859EF"/>
    <w:rsid w:val="00285AF1"/>
    <w:rsid w:val="00286227"/>
    <w:rsid w:val="0029050E"/>
    <w:rsid w:val="00292DEC"/>
    <w:rsid w:val="00293B99"/>
    <w:rsid w:val="00293D02"/>
    <w:rsid w:val="00294222"/>
    <w:rsid w:val="00296690"/>
    <w:rsid w:val="002A1127"/>
    <w:rsid w:val="002A1228"/>
    <w:rsid w:val="002A2420"/>
    <w:rsid w:val="002A3C2E"/>
    <w:rsid w:val="002A6326"/>
    <w:rsid w:val="002B0E1F"/>
    <w:rsid w:val="002B376D"/>
    <w:rsid w:val="002B76A4"/>
    <w:rsid w:val="002B7D72"/>
    <w:rsid w:val="002C13D3"/>
    <w:rsid w:val="002C1543"/>
    <w:rsid w:val="002C42B2"/>
    <w:rsid w:val="002C4D38"/>
    <w:rsid w:val="002D1993"/>
    <w:rsid w:val="002D6D64"/>
    <w:rsid w:val="002E0EBA"/>
    <w:rsid w:val="002E2ECF"/>
    <w:rsid w:val="002E4150"/>
    <w:rsid w:val="002E6164"/>
    <w:rsid w:val="002E61CB"/>
    <w:rsid w:val="002E6554"/>
    <w:rsid w:val="002E6838"/>
    <w:rsid w:val="002E71BD"/>
    <w:rsid w:val="002F3DFD"/>
    <w:rsid w:val="002F5230"/>
    <w:rsid w:val="002F6129"/>
    <w:rsid w:val="003002EE"/>
    <w:rsid w:val="00301EF5"/>
    <w:rsid w:val="00302F3E"/>
    <w:rsid w:val="00303D74"/>
    <w:rsid w:val="0030553B"/>
    <w:rsid w:val="00306680"/>
    <w:rsid w:val="00307D40"/>
    <w:rsid w:val="003110A1"/>
    <w:rsid w:val="00311CD5"/>
    <w:rsid w:val="003149CE"/>
    <w:rsid w:val="0031514F"/>
    <w:rsid w:val="0031593D"/>
    <w:rsid w:val="00317CB5"/>
    <w:rsid w:val="00321185"/>
    <w:rsid w:val="00321882"/>
    <w:rsid w:val="003218B9"/>
    <w:rsid w:val="00321CDB"/>
    <w:rsid w:val="00322AA8"/>
    <w:rsid w:val="003260D6"/>
    <w:rsid w:val="00327189"/>
    <w:rsid w:val="0032788E"/>
    <w:rsid w:val="00330976"/>
    <w:rsid w:val="00331AD9"/>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52C2"/>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008"/>
    <w:rsid w:val="003C027F"/>
    <w:rsid w:val="003C064E"/>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3E24"/>
    <w:rsid w:val="00404F31"/>
    <w:rsid w:val="00405402"/>
    <w:rsid w:val="004079CC"/>
    <w:rsid w:val="004121CD"/>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631"/>
    <w:rsid w:val="00433E5C"/>
    <w:rsid w:val="004349B7"/>
    <w:rsid w:val="00436DD2"/>
    <w:rsid w:val="0043717B"/>
    <w:rsid w:val="00437287"/>
    <w:rsid w:val="004412EB"/>
    <w:rsid w:val="004420A6"/>
    <w:rsid w:val="00447B01"/>
    <w:rsid w:val="00450155"/>
    <w:rsid w:val="0045274D"/>
    <w:rsid w:val="00452DA1"/>
    <w:rsid w:val="0045544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007"/>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63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4F0C"/>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6817"/>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0EB7"/>
    <w:rsid w:val="005E061A"/>
    <w:rsid w:val="005E271B"/>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072CD"/>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410"/>
    <w:rsid w:val="0066056A"/>
    <w:rsid w:val="0066097C"/>
    <w:rsid w:val="0066130C"/>
    <w:rsid w:val="006620F2"/>
    <w:rsid w:val="0066224F"/>
    <w:rsid w:val="0066257C"/>
    <w:rsid w:val="00662E15"/>
    <w:rsid w:val="00662E44"/>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1DF"/>
    <w:rsid w:val="006C1861"/>
    <w:rsid w:val="006C7139"/>
    <w:rsid w:val="006C71C9"/>
    <w:rsid w:val="006D1FAB"/>
    <w:rsid w:val="006D3174"/>
    <w:rsid w:val="006D4A90"/>
    <w:rsid w:val="006D5B17"/>
    <w:rsid w:val="006D6BEA"/>
    <w:rsid w:val="006D6C04"/>
    <w:rsid w:val="006D7272"/>
    <w:rsid w:val="006E1DED"/>
    <w:rsid w:val="006E2265"/>
    <w:rsid w:val="006E3EC7"/>
    <w:rsid w:val="006E4980"/>
    <w:rsid w:val="006E5942"/>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37"/>
    <w:rsid w:val="00716FDD"/>
    <w:rsid w:val="007216BF"/>
    <w:rsid w:val="007219D8"/>
    <w:rsid w:val="00722569"/>
    <w:rsid w:val="007244A4"/>
    <w:rsid w:val="00724D34"/>
    <w:rsid w:val="007260A1"/>
    <w:rsid w:val="00726694"/>
    <w:rsid w:val="0073043C"/>
    <w:rsid w:val="00730621"/>
    <w:rsid w:val="00731CC6"/>
    <w:rsid w:val="007335BD"/>
    <w:rsid w:val="00734103"/>
    <w:rsid w:val="0073475E"/>
    <w:rsid w:val="00734CFE"/>
    <w:rsid w:val="00734F1B"/>
    <w:rsid w:val="00734F2E"/>
    <w:rsid w:val="007362F4"/>
    <w:rsid w:val="007404DF"/>
    <w:rsid w:val="00744914"/>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7714E"/>
    <w:rsid w:val="007814FF"/>
    <w:rsid w:val="0078206A"/>
    <w:rsid w:val="0078251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47B2"/>
    <w:rsid w:val="007C6843"/>
    <w:rsid w:val="007C7BDF"/>
    <w:rsid w:val="007D178B"/>
    <w:rsid w:val="007D17ED"/>
    <w:rsid w:val="007D2C57"/>
    <w:rsid w:val="007D6B91"/>
    <w:rsid w:val="007D72EC"/>
    <w:rsid w:val="007D78E8"/>
    <w:rsid w:val="007D7D5A"/>
    <w:rsid w:val="007E2E94"/>
    <w:rsid w:val="007E3231"/>
    <w:rsid w:val="007F0F9A"/>
    <w:rsid w:val="007F2EFD"/>
    <w:rsid w:val="007F566F"/>
    <w:rsid w:val="007F6661"/>
    <w:rsid w:val="00800EC7"/>
    <w:rsid w:val="0080188E"/>
    <w:rsid w:val="0080247D"/>
    <w:rsid w:val="008028FF"/>
    <w:rsid w:val="008029E9"/>
    <w:rsid w:val="00803ADB"/>
    <w:rsid w:val="0080466D"/>
    <w:rsid w:val="008054C0"/>
    <w:rsid w:val="00806E8B"/>
    <w:rsid w:val="00812048"/>
    <w:rsid w:val="0081445B"/>
    <w:rsid w:val="00816B49"/>
    <w:rsid w:val="00820136"/>
    <w:rsid w:val="008203C8"/>
    <w:rsid w:val="008212BA"/>
    <w:rsid w:val="00821B8A"/>
    <w:rsid w:val="0082285D"/>
    <w:rsid w:val="00822B84"/>
    <w:rsid w:val="008240CE"/>
    <w:rsid w:val="0082419F"/>
    <w:rsid w:val="00824FBF"/>
    <w:rsid w:val="00826536"/>
    <w:rsid w:val="00826643"/>
    <w:rsid w:val="008268BC"/>
    <w:rsid w:val="008276D2"/>
    <w:rsid w:val="00827831"/>
    <w:rsid w:val="00830BB1"/>
    <w:rsid w:val="0083235F"/>
    <w:rsid w:val="008327CE"/>
    <w:rsid w:val="00833D81"/>
    <w:rsid w:val="0083560B"/>
    <w:rsid w:val="00836694"/>
    <w:rsid w:val="008376FD"/>
    <w:rsid w:val="008444FD"/>
    <w:rsid w:val="008455FA"/>
    <w:rsid w:val="0084565D"/>
    <w:rsid w:val="008462F0"/>
    <w:rsid w:val="00846649"/>
    <w:rsid w:val="00855067"/>
    <w:rsid w:val="0085578C"/>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7918"/>
    <w:rsid w:val="00881630"/>
    <w:rsid w:val="00881F37"/>
    <w:rsid w:val="00882407"/>
    <w:rsid w:val="00882B75"/>
    <w:rsid w:val="00882C72"/>
    <w:rsid w:val="00883A48"/>
    <w:rsid w:val="008848DC"/>
    <w:rsid w:val="00885C43"/>
    <w:rsid w:val="00886402"/>
    <w:rsid w:val="00887986"/>
    <w:rsid w:val="00892075"/>
    <w:rsid w:val="00892A2F"/>
    <w:rsid w:val="0089377A"/>
    <w:rsid w:val="0089463A"/>
    <w:rsid w:val="00894CDD"/>
    <w:rsid w:val="00897140"/>
    <w:rsid w:val="008A0A01"/>
    <w:rsid w:val="008A1766"/>
    <w:rsid w:val="008A2B57"/>
    <w:rsid w:val="008A5B27"/>
    <w:rsid w:val="008A706A"/>
    <w:rsid w:val="008B120F"/>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12B1"/>
    <w:rsid w:val="0090274A"/>
    <w:rsid w:val="00903C11"/>
    <w:rsid w:val="00904115"/>
    <w:rsid w:val="00905154"/>
    <w:rsid w:val="00905286"/>
    <w:rsid w:val="009114C1"/>
    <w:rsid w:val="00913FE4"/>
    <w:rsid w:val="009149B1"/>
    <w:rsid w:val="0091571C"/>
    <w:rsid w:val="0092081A"/>
    <w:rsid w:val="00920D44"/>
    <w:rsid w:val="0092110D"/>
    <w:rsid w:val="009211DA"/>
    <w:rsid w:val="009212B3"/>
    <w:rsid w:val="00923832"/>
    <w:rsid w:val="00923F1E"/>
    <w:rsid w:val="00924047"/>
    <w:rsid w:val="00924A5F"/>
    <w:rsid w:val="00924F91"/>
    <w:rsid w:val="00925702"/>
    <w:rsid w:val="00925828"/>
    <w:rsid w:val="0092633C"/>
    <w:rsid w:val="00926D1F"/>
    <w:rsid w:val="00930C01"/>
    <w:rsid w:val="00930CE2"/>
    <w:rsid w:val="00931976"/>
    <w:rsid w:val="00932CEB"/>
    <w:rsid w:val="00932EF0"/>
    <w:rsid w:val="00935AB2"/>
    <w:rsid w:val="00935F95"/>
    <w:rsid w:val="009407E2"/>
    <w:rsid w:val="00941D80"/>
    <w:rsid w:val="00943E7A"/>
    <w:rsid w:val="0094499D"/>
    <w:rsid w:val="009456E6"/>
    <w:rsid w:val="00945FF7"/>
    <w:rsid w:val="0094628E"/>
    <w:rsid w:val="00946942"/>
    <w:rsid w:val="00947964"/>
    <w:rsid w:val="0095041F"/>
    <w:rsid w:val="00951A06"/>
    <w:rsid w:val="009526CD"/>
    <w:rsid w:val="009532E2"/>
    <w:rsid w:val="009535B1"/>
    <w:rsid w:val="00954BC9"/>
    <w:rsid w:val="00955248"/>
    <w:rsid w:val="0096284C"/>
    <w:rsid w:val="0096513A"/>
    <w:rsid w:val="00965A1E"/>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30E4"/>
    <w:rsid w:val="009D48A1"/>
    <w:rsid w:val="009D48CE"/>
    <w:rsid w:val="009D4FCF"/>
    <w:rsid w:val="009D55BB"/>
    <w:rsid w:val="009E348B"/>
    <w:rsid w:val="009E3F80"/>
    <w:rsid w:val="009E3FF6"/>
    <w:rsid w:val="009E652E"/>
    <w:rsid w:val="009F2726"/>
    <w:rsid w:val="009F356D"/>
    <w:rsid w:val="009F5577"/>
    <w:rsid w:val="00A01832"/>
    <w:rsid w:val="00A02216"/>
    <w:rsid w:val="00A0380E"/>
    <w:rsid w:val="00A06458"/>
    <w:rsid w:val="00A06776"/>
    <w:rsid w:val="00A07959"/>
    <w:rsid w:val="00A124BC"/>
    <w:rsid w:val="00A13877"/>
    <w:rsid w:val="00A15161"/>
    <w:rsid w:val="00A1689C"/>
    <w:rsid w:val="00A20459"/>
    <w:rsid w:val="00A20B2E"/>
    <w:rsid w:val="00A21507"/>
    <w:rsid w:val="00A23355"/>
    <w:rsid w:val="00A25BEF"/>
    <w:rsid w:val="00A25DEB"/>
    <w:rsid w:val="00A26B99"/>
    <w:rsid w:val="00A308BA"/>
    <w:rsid w:val="00A30A51"/>
    <w:rsid w:val="00A3188A"/>
    <w:rsid w:val="00A31CF0"/>
    <w:rsid w:val="00A320D2"/>
    <w:rsid w:val="00A32FF8"/>
    <w:rsid w:val="00A34277"/>
    <w:rsid w:val="00A347A7"/>
    <w:rsid w:val="00A35E0F"/>
    <w:rsid w:val="00A3643F"/>
    <w:rsid w:val="00A37E33"/>
    <w:rsid w:val="00A40E9F"/>
    <w:rsid w:val="00A415A9"/>
    <w:rsid w:val="00A42F0C"/>
    <w:rsid w:val="00A4406D"/>
    <w:rsid w:val="00A46752"/>
    <w:rsid w:val="00A5174B"/>
    <w:rsid w:val="00A55AAD"/>
    <w:rsid w:val="00A567DC"/>
    <w:rsid w:val="00A57E80"/>
    <w:rsid w:val="00A602E9"/>
    <w:rsid w:val="00A623C2"/>
    <w:rsid w:val="00A62920"/>
    <w:rsid w:val="00A6349A"/>
    <w:rsid w:val="00A6488F"/>
    <w:rsid w:val="00A64D19"/>
    <w:rsid w:val="00A66C92"/>
    <w:rsid w:val="00A67B23"/>
    <w:rsid w:val="00A7006F"/>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321C"/>
    <w:rsid w:val="00A93FA0"/>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666F"/>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4B33"/>
    <w:rsid w:val="00B051C0"/>
    <w:rsid w:val="00B07BB9"/>
    <w:rsid w:val="00B10483"/>
    <w:rsid w:val="00B1061E"/>
    <w:rsid w:val="00B12B60"/>
    <w:rsid w:val="00B12F4B"/>
    <w:rsid w:val="00B13D04"/>
    <w:rsid w:val="00B15169"/>
    <w:rsid w:val="00B15DFA"/>
    <w:rsid w:val="00B16296"/>
    <w:rsid w:val="00B17CEA"/>
    <w:rsid w:val="00B2043E"/>
    <w:rsid w:val="00B21EA6"/>
    <w:rsid w:val="00B23613"/>
    <w:rsid w:val="00B23B35"/>
    <w:rsid w:val="00B23E7A"/>
    <w:rsid w:val="00B2456C"/>
    <w:rsid w:val="00B24961"/>
    <w:rsid w:val="00B276F7"/>
    <w:rsid w:val="00B32A9C"/>
    <w:rsid w:val="00B32CF9"/>
    <w:rsid w:val="00B33ED2"/>
    <w:rsid w:val="00B34180"/>
    <w:rsid w:val="00B37B8A"/>
    <w:rsid w:val="00B406D7"/>
    <w:rsid w:val="00B410AF"/>
    <w:rsid w:val="00B418C2"/>
    <w:rsid w:val="00B424FA"/>
    <w:rsid w:val="00B445B5"/>
    <w:rsid w:val="00B46027"/>
    <w:rsid w:val="00B47954"/>
    <w:rsid w:val="00B5059B"/>
    <w:rsid w:val="00B5157E"/>
    <w:rsid w:val="00B51CA8"/>
    <w:rsid w:val="00B51EFC"/>
    <w:rsid w:val="00B5298C"/>
    <w:rsid w:val="00B64FE9"/>
    <w:rsid w:val="00B65EB6"/>
    <w:rsid w:val="00B66304"/>
    <w:rsid w:val="00B701FA"/>
    <w:rsid w:val="00B7081E"/>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1067"/>
    <w:rsid w:val="00BB2F7B"/>
    <w:rsid w:val="00BB4CB6"/>
    <w:rsid w:val="00BB7D80"/>
    <w:rsid w:val="00BC0755"/>
    <w:rsid w:val="00BC369B"/>
    <w:rsid w:val="00BC4875"/>
    <w:rsid w:val="00BC5120"/>
    <w:rsid w:val="00BD004A"/>
    <w:rsid w:val="00BD1F11"/>
    <w:rsid w:val="00BD2360"/>
    <w:rsid w:val="00BD24E9"/>
    <w:rsid w:val="00BD2A49"/>
    <w:rsid w:val="00BD560A"/>
    <w:rsid w:val="00BD63E2"/>
    <w:rsid w:val="00BE251E"/>
    <w:rsid w:val="00BE26EF"/>
    <w:rsid w:val="00BE294C"/>
    <w:rsid w:val="00BE3367"/>
    <w:rsid w:val="00BE4252"/>
    <w:rsid w:val="00BE46A7"/>
    <w:rsid w:val="00BE5F70"/>
    <w:rsid w:val="00BE796C"/>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173D"/>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6B8C"/>
    <w:rsid w:val="00C7715D"/>
    <w:rsid w:val="00C771DE"/>
    <w:rsid w:val="00C814A3"/>
    <w:rsid w:val="00C81634"/>
    <w:rsid w:val="00C81879"/>
    <w:rsid w:val="00C81D1A"/>
    <w:rsid w:val="00C822A0"/>
    <w:rsid w:val="00C8489E"/>
    <w:rsid w:val="00C84D9E"/>
    <w:rsid w:val="00C85437"/>
    <w:rsid w:val="00C856CB"/>
    <w:rsid w:val="00C8595A"/>
    <w:rsid w:val="00C86972"/>
    <w:rsid w:val="00C9201A"/>
    <w:rsid w:val="00C922EA"/>
    <w:rsid w:val="00C953AF"/>
    <w:rsid w:val="00C96E22"/>
    <w:rsid w:val="00C97211"/>
    <w:rsid w:val="00C9726A"/>
    <w:rsid w:val="00C975AC"/>
    <w:rsid w:val="00C976B6"/>
    <w:rsid w:val="00CA0067"/>
    <w:rsid w:val="00CA0929"/>
    <w:rsid w:val="00CA0C81"/>
    <w:rsid w:val="00CA1FE3"/>
    <w:rsid w:val="00CA31AA"/>
    <w:rsid w:val="00CA3554"/>
    <w:rsid w:val="00CA3AF7"/>
    <w:rsid w:val="00CA4211"/>
    <w:rsid w:val="00CA4C49"/>
    <w:rsid w:val="00CA585D"/>
    <w:rsid w:val="00CA74BD"/>
    <w:rsid w:val="00CB0923"/>
    <w:rsid w:val="00CB1443"/>
    <w:rsid w:val="00CB175C"/>
    <w:rsid w:val="00CB240D"/>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32FB"/>
    <w:rsid w:val="00CE0613"/>
    <w:rsid w:val="00CE1231"/>
    <w:rsid w:val="00CE1F3A"/>
    <w:rsid w:val="00CE2E6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3ED9"/>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8C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512"/>
    <w:rsid w:val="00DA7766"/>
    <w:rsid w:val="00DB0574"/>
    <w:rsid w:val="00DB254D"/>
    <w:rsid w:val="00DB268C"/>
    <w:rsid w:val="00DB3B68"/>
    <w:rsid w:val="00DB4590"/>
    <w:rsid w:val="00DB4DFD"/>
    <w:rsid w:val="00DB50C7"/>
    <w:rsid w:val="00DB6A20"/>
    <w:rsid w:val="00DB7F81"/>
    <w:rsid w:val="00DC0EB7"/>
    <w:rsid w:val="00DC15FF"/>
    <w:rsid w:val="00DC1F18"/>
    <w:rsid w:val="00DC1F8D"/>
    <w:rsid w:val="00DC4642"/>
    <w:rsid w:val="00DC4F01"/>
    <w:rsid w:val="00DC600C"/>
    <w:rsid w:val="00DC6642"/>
    <w:rsid w:val="00DC6AED"/>
    <w:rsid w:val="00DC7B58"/>
    <w:rsid w:val="00DD0717"/>
    <w:rsid w:val="00DD19E1"/>
    <w:rsid w:val="00DD1D0C"/>
    <w:rsid w:val="00DD1D99"/>
    <w:rsid w:val="00DD1E33"/>
    <w:rsid w:val="00DD3BC4"/>
    <w:rsid w:val="00DE33C8"/>
    <w:rsid w:val="00DE4463"/>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0A51"/>
    <w:rsid w:val="00E1337E"/>
    <w:rsid w:val="00E13F64"/>
    <w:rsid w:val="00E147A2"/>
    <w:rsid w:val="00E15C29"/>
    <w:rsid w:val="00E15DB3"/>
    <w:rsid w:val="00E16CCE"/>
    <w:rsid w:val="00E17D34"/>
    <w:rsid w:val="00E17FF3"/>
    <w:rsid w:val="00E20049"/>
    <w:rsid w:val="00E21079"/>
    <w:rsid w:val="00E23E0E"/>
    <w:rsid w:val="00E244B3"/>
    <w:rsid w:val="00E245DC"/>
    <w:rsid w:val="00E272C6"/>
    <w:rsid w:val="00E274FC"/>
    <w:rsid w:val="00E27805"/>
    <w:rsid w:val="00E30001"/>
    <w:rsid w:val="00E302A8"/>
    <w:rsid w:val="00E309D4"/>
    <w:rsid w:val="00E32B17"/>
    <w:rsid w:val="00E3323F"/>
    <w:rsid w:val="00E33C11"/>
    <w:rsid w:val="00E34949"/>
    <w:rsid w:val="00E35009"/>
    <w:rsid w:val="00E350AA"/>
    <w:rsid w:val="00E361CE"/>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2E79"/>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5D44"/>
    <w:rsid w:val="00ED0178"/>
    <w:rsid w:val="00ED1C6C"/>
    <w:rsid w:val="00ED4C66"/>
    <w:rsid w:val="00ED520F"/>
    <w:rsid w:val="00ED7379"/>
    <w:rsid w:val="00EE00F3"/>
    <w:rsid w:val="00EE1077"/>
    <w:rsid w:val="00EE164A"/>
    <w:rsid w:val="00EE4EFC"/>
    <w:rsid w:val="00EE5070"/>
    <w:rsid w:val="00EE5F51"/>
    <w:rsid w:val="00EF0F70"/>
    <w:rsid w:val="00EF2157"/>
    <w:rsid w:val="00EF2C25"/>
    <w:rsid w:val="00EF340E"/>
    <w:rsid w:val="00EF4257"/>
    <w:rsid w:val="00EF47FF"/>
    <w:rsid w:val="00EF73AB"/>
    <w:rsid w:val="00EF74E2"/>
    <w:rsid w:val="00F01092"/>
    <w:rsid w:val="00F028A0"/>
    <w:rsid w:val="00F02BC8"/>
    <w:rsid w:val="00F051CE"/>
    <w:rsid w:val="00F0581C"/>
    <w:rsid w:val="00F06C8C"/>
    <w:rsid w:val="00F14ED2"/>
    <w:rsid w:val="00F20B79"/>
    <w:rsid w:val="00F20BE0"/>
    <w:rsid w:val="00F230D6"/>
    <w:rsid w:val="00F275EE"/>
    <w:rsid w:val="00F27CFB"/>
    <w:rsid w:val="00F301F8"/>
    <w:rsid w:val="00F31CDD"/>
    <w:rsid w:val="00F32E77"/>
    <w:rsid w:val="00F3709D"/>
    <w:rsid w:val="00F3763B"/>
    <w:rsid w:val="00F4162A"/>
    <w:rsid w:val="00F420E4"/>
    <w:rsid w:val="00F44ED5"/>
    <w:rsid w:val="00F45EB3"/>
    <w:rsid w:val="00F462B2"/>
    <w:rsid w:val="00F466F4"/>
    <w:rsid w:val="00F50181"/>
    <w:rsid w:val="00F50458"/>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388F"/>
    <w:rsid w:val="00FA594E"/>
    <w:rsid w:val="00FA7679"/>
    <w:rsid w:val="00FB1A59"/>
    <w:rsid w:val="00FB2A39"/>
    <w:rsid w:val="00FB3121"/>
    <w:rsid w:val="00FB4D01"/>
    <w:rsid w:val="00FB500C"/>
    <w:rsid w:val="00FB574A"/>
    <w:rsid w:val="00FB6345"/>
    <w:rsid w:val="00FB66FD"/>
    <w:rsid w:val="00FB684A"/>
    <w:rsid w:val="00FC09F4"/>
    <w:rsid w:val="00FC3DA6"/>
    <w:rsid w:val="00FC69EC"/>
    <w:rsid w:val="00FC71FB"/>
    <w:rsid w:val="00FC76A2"/>
    <w:rsid w:val="00FC7EFC"/>
    <w:rsid w:val="00FD11CE"/>
    <w:rsid w:val="00FD18E1"/>
    <w:rsid w:val="00FD2280"/>
    <w:rsid w:val="00FD22E8"/>
    <w:rsid w:val="00FD24F5"/>
    <w:rsid w:val="00FD6012"/>
    <w:rsid w:val="00FD69DC"/>
    <w:rsid w:val="00FD7938"/>
    <w:rsid w:val="00FE007A"/>
    <w:rsid w:val="00FE1CCE"/>
    <w:rsid w:val="00FE3738"/>
    <w:rsid w:val="00FE54C5"/>
    <w:rsid w:val="00FE58BC"/>
    <w:rsid w:val="00FE6191"/>
    <w:rsid w:val="00FE6821"/>
    <w:rsid w:val="00FE71D3"/>
    <w:rsid w:val="00FE7EB1"/>
    <w:rsid w:val="00FF18E0"/>
    <w:rsid w:val="00FF24AF"/>
    <w:rsid w:val="00FF3B62"/>
    <w:rsid w:val="00FF48A1"/>
    <w:rsid w:val="00FF56F5"/>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4001A"/>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46E0"/>
    <w:rPr>
      <w:color w:val="605E5C"/>
      <w:shd w:val="clear" w:color="auto" w:fill="E1DFDD"/>
    </w:rPr>
  </w:style>
  <w:style w:type="character" w:customStyle="1" w:styleId="yrbpuc">
    <w:name w:val="yrbpuc"/>
    <w:basedOn w:val="DefaultParagraphFont"/>
    <w:rsid w:val="00BE294C"/>
  </w:style>
  <w:style w:type="character" w:customStyle="1" w:styleId="kqeaa">
    <w:name w:val="kqeaa"/>
    <w:basedOn w:val="DefaultParagraphFont"/>
    <w:rsid w:val="00BE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5723553">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39700002">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927">
      <w:bodyDiv w:val="1"/>
      <w:marLeft w:val="0"/>
      <w:marRight w:val="0"/>
      <w:marTop w:val="0"/>
      <w:marBottom w:val="0"/>
      <w:divBdr>
        <w:top w:val="none" w:sz="0" w:space="0" w:color="auto"/>
        <w:left w:val="none" w:sz="0" w:space="0" w:color="auto"/>
        <w:bottom w:val="none" w:sz="0" w:space="0" w:color="auto"/>
        <w:right w:val="none" w:sz="0" w:space="0" w:color="auto"/>
      </w:divBdr>
    </w:div>
    <w:div w:id="1477380522">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09100498">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33530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04378703">
      <w:bodyDiv w:val="1"/>
      <w:marLeft w:val="0"/>
      <w:marRight w:val="0"/>
      <w:marTop w:val="0"/>
      <w:marBottom w:val="0"/>
      <w:divBdr>
        <w:top w:val="none" w:sz="0" w:space="0" w:color="auto"/>
        <w:left w:val="none" w:sz="0" w:space="0" w:color="auto"/>
        <w:bottom w:val="none" w:sz="0" w:space="0" w:color="auto"/>
        <w:right w:val="none" w:sz="0" w:space="0" w:color="auto"/>
      </w:divBdr>
      <w:divsChild>
        <w:div w:id="377243663">
          <w:marLeft w:val="0"/>
          <w:marRight w:val="0"/>
          <w:marTop w:val="0"/>
          <w:marBottom w:val="0"/>
          <w:divBdr>
            <w:top w:val="none" w:sz="0" w:space="0" w:color="auto"/>
            <w:left w:val="none" w:sz="0" w:space="0" w:color="auto"/>
            <w:bottom w:val="none" w:sz="0" w:space="0" w:color="auto"/>
            <w:right w:val="none" w:sz="0" w:space="0" w:color="auto"/>
          </w:divBdr>
          <w:divsChild>
            <w:div w:id="1293562370">
              <w:marLeft w:val="0"/>
              <w:marRight w:val="0"/>
              <w:marTop w:val="0"/>
              <w:marBottom w:val="0"/>
              <w:divBdr>
                <w:top w:val="none" w:sz="0" w:space="0" w:color="auto"/>
                <w:left w:val="none" w:sz="0" w:space="0" w:color="auto"/>
                <w:bottom w:val="none" w:sz="0" w:space="0" w:color="auto"/>
                <w:right w:val="none" w:sz="0" w:space="0" w:color="auto"/>
              </w:divBdr>
              <w:divsChild>
                <w:div w:id="250621563">
                  <w:marLeft w:val="0"/>
                  <w:marRight w:val="0"/>
                  <w:marTop w:val="0"/>
                  <w:marBottom w:val="0"/>
                  <w:divBdr>
                    <w:top w:val="none" w:sz="0" w:space="0" w:color="auto"/>
                    <w:left w:val="none" w:sz="0" w:space="0" w:color="auto"/>
                    <w:bottom w:val="none" w:sz="0" w:space="0" w:color="auto"/>
                    <w:right w:val="none" w:sz="0" w:space="0" w:color="auto"/>
                  </w:divBdr>
                </w:div>
                <w:div w:id="10429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1907">
          <w:marLeft w:val="0"/>
          <w:marRight w:val="0"/>
          <w:marTop w:val="0"/>
          <w:marBottom w:val="0"/>
          <w:divBdr>
            <w:top w:val="none" w:sz="0" w:space="0" w:color="auto"/>
            <w:left w:val="none" w:sz="0" w:space="0" w:color="auto"/>
            <w:bottom w:val="none" w:sz="0" w:space="0" w:color="auto"/>
            <w:right w:val="none" w:sz="0" w:space="0" w:color="auto"/>
          </w:divBdr>
          <w:divsChild>
            <w:div w:id="1502117862">
              <w:marLeft w:val="0"/>
              <w:marRight w:val="0"/>
              <w:marTop w:val="0"/>
              <w:marBottom w:val="0"/>
              <w:divBdr>
                <w:top w:val="none" w:sz="0" w:space="0" w:color="auto"/>
                <w:left w:val="none" w:sz="0" w:space="0" w:color="auto"/>
                <w:bottom w:val="none" w:sz="0" w:space="0" w:color="auto"/>
                <w:right w:val="none" w:sz="0" w:space="0" w:color="auto"/>
              </w:divBdr>
              <w:divsChild>
                <w:div w:id="1700667226">
                  <w:marLeft w:val="0"/>
                  <w:marRight w:val="0"/>
                  <w:marTop w:val="0"/>
                  <w:marBottom w:val="0"/>
                  <w:divBdr>
                    <w:top w:val="none" w:sz="0" w:space="0" w:color="auto"/>
                    <w:left w:val="none" w:sz="0" w:space="0" w:color="auto"/>
                    <w:bottom w:val="none" w:sz="0" w:space="0" w:color="auto"/>
                    <w:right w:val="none" w:sz="0" w:space="0" w:color="auto"/>
                  </w:divBdr>
                  <w:divsChild>
                    <w:div w:id="1475369943">
                      <w:marLeft w:val="300"/>
                      <w:marRight w:val="0"/>
                      <w:marTop w:val="0"/>
                      <w:marBottom w:val="0"/>
                      <w:divBdr>
                        <w:top w:val="none" w:sz="0" w:space="0" w:color="auto"/>
                        <w:left w:val="none" w:sz="0" w:space="0" w:color="auto"/>
                        <w:bottom w:val="none" w:sz="0" w:space="0" w:color="auto"/>
                        <w:right w:val="none" w:sz="0" w:space="0" w:color="auto"/>
                      </w:divBdr>
                      <w:divsChild>
                        <w:div w:id="112672624">
                          <w:marLeft w:val="-300"/>
                          <w:marRight w:val="0"/>
                          <w:marTop w:val="0"/>
                          <w:marBottom w:val="0"/>
                          <w:divBdr>
                            <w:top w:val="none" w:sz="0" w:space="0" w:color="auto"/>
                            <w:left w:val="none" w:sz="0" w:space="0" w:color="auto"/>
                            <w:bottom w:val="none" w:sz="0" w:space="0" w:color="auto"/>
                            <w:right w:val="none" w:sz="0" w:space="0" w:color="auto"/>
                          </w:divBdr>
                          <w:divsChild>
                            <w:div w:id="651981138">
                              <w:marLeft w:val="0"/>
                              <w:marRight w:val="0"/>
                              <w:marTop w:val="0"/>
                              <w:marBottom w:val="0"/>
                              <w:divBdr>
                                <w:top w:val="none" w:sz="0" w:space="0" w:color="auto"/>
                                <w:left w:val="none" w:sz="0" w:space="0" w:color="auto"/>
                                <w:bottom w:val="none" w:sz="0" w:space="0" w:color="auto"/>
                                <w:right w:val="none" w:sz="0" w:space="0" w:color="auto"/>
                              </w:divBdr>
                              <w:divsChild>
                                <w:div w:id="432434311">
                                  <w:marLeft w:val="0"/>
                                  <w:marRight w:val="0"/>
                                  <w:marTop w:val="0"/>
                                  <w:marBottom w:val="0"/>
                                  <w:divBdr>
                                    <w:top w:val="none" w:sz="0" w:space="0" w:color="auto"/>
                                    <w:left w:val="none" w:sz="0" w:space="0" w:color="auto"/>
                                    <w:bottom w:val="none" w:sz="0" w:space="0" w:color="auto"/>
                                    <w:right w:val="none" w:sz="0" w:space="0" w:color="auto"/>
                                  </w:divBdr>
                                </w:div>
                                <w:div w:id="1832987161">
                                  <w:marLeft w:val="0"/>
                                  <w:marRight w:val="0"/>
                                  <w:marTop w:val="0"/>
                                  <w:marBottom w:val="0"/>
                                  <w:divBdr>
                                    <w:top w:val="none" w:sz="0" w:space="0" w:color="auto"/>
                                    <w:left w:val="none" w:sz="0" w:space="0" w:color="auto"/>
                                    <w:bottom w:val="none" w:sz="0" w:space="0" w:color="auto"/>
                                    <w:right w:val="none" w:sz="0" w:space="0" w:color="auto"/>
                                  </w:divBdr>
                                  <w:divsChild>
                                    <w:div w:id="5479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cclegisearch.kingcounty.gov/LegislationDetail.aspx?ID=3488987&amp;GUID=C06F6D4A-A59E-422E-AF8B-AF39AD24762B&amp;Options=ID|Text|&amp;Search=190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ingcounty.gov/council/issues/winery-code.aspx" TargetMode="External"/><Relationship Id="rId4" Type="http://schemas.openxmlformats.org/officeDocument/2006/relationships/settings" Target="settings.xml"/><Relationship Id="rId9" Type="http://schemas.openxmlformats.org/officeDocument/2006/relationships/hyperlink" Target="https://kingcounty.gov/depts/executive/performance-strategy-budget/regional-planning/king-county-comprehensive-plan.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ingcounty.gov/~/media/depts/executive/performance-strategy-budget/regional-planning/Sammamish-Study-Area/CAISammValleyWineBeverageStudyFINAL-091216.ashx?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E132-E878-4AEA-9CD0-F3A9B6B5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6878</Words>
  <Characters>36832</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Auzins, Erin</cp:lastModifiedBy>
  <cp:revision>10</cp:revision>
  <cp:lastPrinted>2015-03-13T15:09:00Z</cp:lastPrinted>
  <dcterms:created xsi:type="dcterms:W3CDTF">2022-05-05T21:38:00Z</dcterms:created>
  <dcterms:modified xsi:type="dcterms:W3CDTF">2022-05-06T16:20:00Z</dcterms:modified>
</cp:coreProperties>
</file>