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CABA" w14:textId="77777777" w:rsidR="00FE3046" w:rsidRPr="00D114D7" w:rsidRDefault="00FE3046" w:rsidP="002023C0">
      <w:pPr>
        <w:spacing w:after="0" w:line="240" w:lineRule="auto"/>
        <w:jc w:val="center"/>
        <w:rPr>
          <w:rFonts w:cstheme="minorHAnsi"/>
          <w:bCs/>
          <w:sz w:val="32"/>
        </w:rPr>
      </w:pPr>
    </w:p>
    <w:p w14:paraId="469D45E7" w14:textId="77777777" w:rsidR="00502DB5" w:rsidRDefault="00502DB5" w:rsidP="002023C0">
      <w:pPr>
        <w:pBdr>
          <w:bottom w:val="single" w:sz="4" w:space="1" w:color="auto"/>
        </w:pBdr>
        <w:spacing w:after="0" w:line="240" w:lineRule="auto"/>
        <w:jc w:val="center"/>
        <w:rPr>
          <w:rFonts w:cstheme="minorHAnsi"/>
          <w:b/>
          <w:bCs/>
          <w:color w:val="2E74B5" w:themeColor="accent1" w:themeShade="BF"/>
          <w:sz w:val="32"/>
        </w:rPr>
      </w:pPr>
    </w:p>
    <w:p w14:paraId="0DFFFD5A" w14:textId="77777777" w:rsidR="00502DB5" w:rsidRDefault="00502DB5" w:rsidP="002023C0">
      <w:pPr>
        <w:pBdr>
          <w:bottom w:val="single" w:sz="4" w:space="1" w:color="auto"/>
        </w:pBdr>
        <w:spacing w:after="0" w:line="240" w:lineRule="auto"/>
        <w:jc w:val="center"/>
        <w:rPr>
          <w:rFonts w:cstheme="minorHAnsi"/>
          <w:b/>
          <w:bCs/>
          <w:color w:val="2E74B5" w:themeColor="accent1" w:themeShade="BF"/>
          <w:sz w:val="32"/>
        </w:rPr>
      </w:pPr>
    </w:p>
    <w:p w14:paraId="1712CC6D" w14:textId="77777777" w:rsidR="00502DB5" w:rsidRDefault="00502DB5" w:rsidP="002023C0">
      <w:pPr>
        <w:pBdr>
          <w:bottom w:val="single" w:sz="4" w:space="1" w:color="auto"/>
        </w:pBdr>
        <w:spacing w:after="0" w:line="240" w:lineRule="auto"/>
        <w:jc w:val="center"/>
        <w:rPr>
          <w:rFonts w:cstheme="minorHAnsi"/>
          <w:b/>
          <w:bCs/>
          <w:color w:val="2E74B5" w:themeColor="accent1" w:themeShade="BF"/>
          <w:sz w:val="32"/>
        </w:rPr>
      </w:pPr>
    </w:p>
    <w:p w14:paraId="6C3F06E0" w14:textId="42A746E3" w:rsidR="00FE3046" w:rsidRPr="00FA4DA1" w:rsidRDefault="00425D9F" w:rsidP="002023C0">
      <w:pPr>
        <w:pBdr>
          <w:bottom w:val="single" w:sz="4" w:space="1" w:color="auto"/>
        </w:pBdr>
        <w:spacing w:after="0" w:line="240" w:lineRule="auto"/>
        <w:jc w:val="center"/>
        <w:rPr>
          <w:rFonts w:cstheme="minorHAnsi"/>
          <w:b/>
          <w:bCs/>
          <w:color w:val="2E74B5" w:themeColor="accent1" w:themeShade="BF"/>
          <w:sz w:val="32"/>
        </w:rPr>
      </w:pPr>
      <w:r>
        <w:rPr>
          <w:rFonts w:cstheme="minorHAnsi"/>
          <w:b/>
          <w:bCs/>
          <w:color w:val="2E74B5" w:themeColor="accent1" w:themeShade="BF"/>
          <w:sz w:val="32"/>
        </w:rPr>
        <w:t xml:space="preserve">2021 </w:t>
      </w:r>
      <w:r w:rsidR="00FE0581">
        <w:rPr>
          <w:rFonts w:cstheme="minorHAnsi"/>
          <w:b/>
          <w:bCs/>
          <w:color w:val="2E74B5" w:themeColor="accent1" w:themeShade="BF"/>
          <w:sz w:val="32"/>
        </w:rPr>
        <w:t xml:space="preserve">Annual Report on </w:t>
      </w:r>
      <w:r w:rsidR="00AB33BA">
        <w:rPr>
          <w:rFonts w:cstheme="minorHAnsi"/>
          <w:b/>
          <w:bCs/>
          <w:color w:val="2E74B5" w:themeColor="accent1" w:themeShade="BF"/>
          <w:sz w:val="32"/>
        </w:rPr>
        <w:t>General Obligation</w:t>
      </w:r>
      <w:r w:rsidR="00C024E1">
        <w:rPr>
          <w:rFonts w:cstheme="minorHAnsi"/>
          <w:b/>
          <w:bCs/>
          <w:color w:val="2E74B5" w:themeColor="accent1" w:themeShade="BF"/>
          <w:sz w:val="32"/>
        </w:rPr>
        <w:t xml:space="preserve"> Debt </w:t>
      </w:r>
      <w:r w:rsidR="00FE0581">
        <w:rPr>
          <w:rFonts w:cstheme="minorHAnsi"/>
          <w:b/>
          <w:bCs/>
          <w:color w:val="2E74B5" w:themeColor="accent1" w:themeShade="BF"/>
          <w:sz w:val="32"/>
        </w:rPr>
        <w:t>Issuances</w:t>
      </w:r>
      <w:r w:rsidR="00C024E1">
        <w:rPr>
          <w:rFonts w:cstheme="minorHAnsi"/>
          <w:b/>
          <w:bCs/>
          <w:color w:val="2E74B5" w:themeColor="accent1" w:themeShade="BF"/>
          <w:sz w:val="32"/>
        </w:rPr>
        <w:t xml:space="preserve"> </w:t>
      </w:r>
    </w:p>
    <w:p w14:paraId="48F7C040" w14:textId="77777777" w:rsidR="00FE3046" w:rsidRPr="00D114D7" w:rsidRDefault="00FE3046" w:rsidP="002023C0">
      <w:pPr>
        <w:spacing w:after="0" w:line="240" w:lineRule="auto"/>
        <w:jc w:val="center"/>
        <w:rPr>
          <w:rFonts w:cstheme="minorHAnsi"/>
          <w:b/>
          <w:bCs/>
          <w:sz w:val="24"/>
        </w:rPr>
      </w:pPr>
    </w:p>
    <w:p w14:paraId="63974146" w14:textId="5ADF734D" w:rsidR="00FE3046" w:rsidRDefault="00D56777" w:rsidP="002023C0">
      <w:pPr>
        <w:spacing w:after="0" w:line="240" w:lineRule="auto"/>
        <w:jc w:val="center"/>
        <w:rPr>
          <w:rFonts w:cstheme="minorHAnsi"/>
          <w:bCs/>
          <w:sz w:val="24"/>
        </w:rPr>
      </w:pPr>
      <w:r>
        <w:rPr>
          <w:rFonts w:cstheme="minorHAnsi"/>
          <w:bCs/>
          <w:sz w:val="24"/>
        </w:rPr>
        <w:t>March</w:t>
      </w:r>
      <w:r w:rsidR="008F7C33">
        <w:rPr>
          <w:rFonts w:cstheme="minorHAnsi"/>
          <w:bCs/>
          <w:sz w:val="24"/>
        </w:rPr>
        <w:t xml:space="preserve"> </w:t>
      </w:r>
      <w:r w:rsidR="007F4C98">
        <w:rPr>
          <w:rFonts w:cstheme="minorHAnsi"/>
          <w:bCs/>
          <w:sz w:val="24"/>
        </w:rPr>
        <w:t>202</w:t>
      </w:r>
      <w:r w:rsidR="008F7C33">
        <w:rPr>
          <w:rFonts w:cstheme="minorHAnsi"/>
          <w:bCs/>
          <w:sz w:val="24"/>
        </w:rPr>
        <w:t>2</w:t>
      </w:r>
    </w:p>
    <w:p w14:paraId="39A4444A" w14:textId="77777777" w:rsidR="00512CC6" w:rsidRDefault="00512CC6" w:rsidP="002023C0">
      <w:pPr>
        <w:spacing w:after="0" w:line="240" w:lineRule="auto"/>
        <w:jc w:val="center"/>
        <w:rPr>
          <w:b/>
          <w:sz w:val="28"/>
          <w:szCs w:val="28"/>
        </w:rPr>
      </w:pPr>
    </w:p>
    <w:p w14:paraId="0A1E72EC" w14:textId="77777777" w:rsidR="00C024E1" w:rsidRDefault="00C024E1" w:rsidP="002023C0">
      <w:pPr>
        <w:spacing w:after="0" w:line="240" w:lineRule="auto"/>
        <w:jc w:val="center"/>
        <w:rPr>
          <w:b/>
          <w:sz w:val="28"/>
          <w:szCs w:val="28"/>
        </w:rPr>
      </w:pPr>
    </w:p>
    <w:p w14:paraId="16428DE4" w14:textId="77777777" w:rsidR="00C024E1" w:rsidRDefault="00C024E1" w:rsidP="002023C0">
      <w:pPr>
        <w:spacing w:after="0" w:line="240" w:lineRule="auto"/>
        <w:jc w:val="center"/>
        <w:rPr>
          <w:b/>
          <w:sz w:val="28"/>
          <w:szCs w:val="28"/>
        </w:rPr>
      </w:pPr>
    </w:p>
    <w:p w14:paraId="3F0281CB" w14:textId="77777777" w:rsidR="00C024E1" w:rsidRDefault="00C024E1" w:rsidP="002023C0">
      <w:pPr>
        <w:spacing w:after="0" w:line="240" w:lineRule="auto"/>
        <w:jc w:val="center"/>
        <w:rPr>
          <w:b/>
          <w:sz w:val="28"/>
          <w:szCs w:val="28"/>
        </w:rPr>
      </w:pPr>
    </w:p>
    <w:p w14:paraId="7717089E" w14:textId="77777777" w:rsidR="00C024E1" w:rsidRDefault="00C024E1" w:rsidP="002023C0">
      <w:pPr>
        <w:spacing w:after="0" w:line="240" w:lineRule="auto"/>
        <w:jc w:val="center"/>
        <w:rPr>
          <w:b/>
          <w:sz w:val="28"/>
          <w:szCs w:val="28"/>
        </w:rPr>
      </w:pPr>
    </w:p>
    <w:p w14:paraId="42581086" w14:textId="5E3A2129" w:rsidR="00512CC6" w:rsidRPr="00FE3046" w:rsidRDefault="00C024E1" w:rsidP="002023C0">
      <w:pPr>
        <w:spacing w:after="0" w:line="240" w:lineRule="auto"/>
        <w:jc w:val="center"/>
        <w:rPr>
          <w:rFonts w:cstheme="minorHAnsi"/>
          <w:bCs/>
          <w:sz w:val="32"/>
        </w:rPr>
      </w:pPr>
      <w:r>
        <w:rPr>
          <w:b/>
          <w:noProof/>
          <w:sz w:val="28"/>
          <w:szCs w:val="28"/>
        </w:rPr>
        <w:drawing>
          <wp:inline distT="0" distB="0" distL="0" distR="0" wp14:anchorId="21152212" wp14:editId="3DD5870A">
            <wp:extent cx="1676400" cy="1207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207135"/>
                    </a:xfrm>
                    <a:prstGeom prst="rect">
                      <a:avLst/>
                    </a:prstGeom>
                    <a:noFill/>
                  </pic:spPr>
                </pic:pic>
              </a:graphicData>
            </a:graphic>
          </wp:inline>
        </w:drawing>
      </w:r>
      <w:r w:rsidR="00512CC6">
        <w:rPr>
          <w:b/>
          <w:sz w:val="28"/>
          <w:szCs w:val="28"/>
        </w:rPr>
        <w:br w:type="page"/>
      </w:r>
    </w:p>
    <w:p w14:paraId="232B9225" w14:textId="77777777" w:rsidR="006F0CFC" w:rsidRDefault="006F0CFC" w:rsidP="002023C0">
      <w:pPr>
        <w:spacing w:after="0" w:line="240" w:lineRule="auto"/>
        <w:jc w:val="center"/>
        <w:rPr>
          <w:b/>
          <w:sz w:val="28"/>
          <w:szCs w:val="28"/>
        </w:rPr>
      </w:pPr>
    </w:p>
    <w:sdt>
      <w:sdtPr>
        <w:rPr>
          <w:rFonts w:ascii="Calibri" w:eastAsiaTheme="minorHAnsi" w:hAnsi="Calibri" w:cs="Calibri"/>
          <w:b w:val="0"/>
          <w:color w:val="auto"/>
          <w:sz w:val="22"/>
          <w:szCs w:val="22"/>
        </w:rPr>
        <w:id w:val="-785502654"/>
        <w:docPartObj>
          <w:docPartGallery w:val="Table of Contents"/>
          <w:docPartUnique/>
        </w:docPartObj>
      </w:sdtPr>
      <w:sdtEndPr>
        <w:rPr>
          <w:rFonts w:asciiTheme="minorHAnsi" w:hAnsiTheme="minorHAnsi" w:cstheme="minorBidi"/>
          <w:bCs/>
          <w:noProof/>
        </w:rPr>
      </w:sdtEndPr>
      <w:sdtContent>
        <w:p w14:paraId="43093E38" w14:textId="77777777" w:rsidR="0050094E" w:rsidRPr="00D114D7" w:rsidRDefault="0050094E" w:rsidP="002023C0">
          <w:pPr>
            <w:pStyle w:val="TOCHeading"/>
            <w:spacing w:before="0" w:line="240" w:lineRule="auto"/>
          </w:pPr>
          <w:r w:rsidRPr="00D114D7">
            <w:t>Contents</w:t>
          </w:r>
        </w:p>
        <w:p w14:paraId="4CAEB843" w14:textId="2422F36F" w:rsidR="00D2585D" w:rsidRDefault="0050094E" w:rsidP="002023C0">
          <w:pPr>
            <w:pStyle w:val="TOC1"/>
            <w:spacing w:after="0"/>
            <w:rPr>
              <w:rFonts w:asciiTheme="minorHAnsi" w:eastAsiaTheme="minorEastAsia" w:hAnsiTheme="minorHAnsi" w:cstheme="minorBidi"/>
            </w:rPr>
          </w:pPr>
          <w:r w:rsidRPr="0086365F">
            <w:rPr>
              <w:rFonts w:ascii="Calibri" w:hAnsi="Calibri" w:cs="Calibri"/>
            </w:rPr>
            <w:fldChar w:fldCharType="begin"/>
          </w:r>
          <w:r w:rsidRPr="0086365F">
            <w:rPr>
              <w:rFonts w:ascii="Calibri" w:hAnsi="Calibri" w:cs="Calibri"/>
            </w:rPr>
            <w:instrText xml:space="preserve"> TOC \o "1-3" \h \z \u </w:instrText>
          </w:r>
          <w:r w:rsidRPr="0086365F">
            <w:rPr>
              <w:rFonts w:ascii="Calibri" w:hAnsi="Calibri" w:cs="Calibri"/>
            </w:rPr>
            <w:fldChar w:fldCharType="separate"/>
          </w:r>
          <w:hyperlink w:anchor="_Toc97027129" w:history="1">
            <w:r w:rsidR="00D2585D" w:rsidRPr="00DD1146">
              <w:rPr>
                <w:rStyle w:val="Hyperlink"/>
              </w:rPr>
              <w:t>II.</w:t>
            </w:r>
            <w:r w:rsidR="00D2585D">
              <w:rPr>
                <w:rFonts w:asciiTheme="minorHAnsi" w:eastAsiaTheme="minorEastAsia" w:hAnsiTheme="minorHAnsi" w:cstheme="minorBidi"/>
              </w:rPr>
              <w:tab/>
            </w:r>
            <w:r w:rsidR="00D2585D" w:rsidRPr="00DD1146">
              <w:rPr>
                <w:rStyle w:val="Hyperlink"/>
              </w:rPr>
              <w:t>Executive Summary</w:t>
            </w:r>
            <w:r w:rsidR="00D2585D">
              <w:rPr>
                <w:webHidden/>
              </w:rPr>
              <w:tab/>
            </w:r>
            <w:r w:rsidR="00D2585D">
              <w:rPr>
                <w:webHidden/>
              </w:rPr>
              <w:fldChar w:fldCharType="begin"/>
            </w:r>
            <w:r w:rsidR="00D2585D">
              <w:rPr>
                <w:webHidden/>
              </w:rPr>
              <w:instrText xml:space="preserve"> PAGEREF _Toc97027129 \h </w:instrText>
            </w:r>
            <w:r w:rsidR="00D2585D">
              <w:rPr>
                <w:webHidden/>
              </w:rPr>
            </w:r>
            <w:r w:rsidR="00D2585D">
              <w:rPr>
                <w:webHidden/>
              </w:rPr>
              <w:fldChar w:fldCharType="separate"/>
            </w:r>
            <w:r w:rsidR="00D2585D">
              <w:rPr>
                <w:webHidden/>
              </w:rPr>
              <w:t>3</w:t>
            </w:r>
            <w:r w:rsidR="00D2585D">
              <w:rPr>
                <w:webHidden/>
              </w:rPr>
              <w:fldChar w:fldCharType="end"/>
            </w:r>
          </w:hyperlink>
        </w:p>
        <w:p w14:paraId="65DFC64B" w14:textId="1DF232F7" w:rsidR="00D2585D" w:rsidRDefault="00823E7A" w:rsidP="002023C0">
          <w:pPr>
            <w:pStyle w:val="TOC1"/>
            <w:spacing w:after="0"/>
            <w:rPr>
              <w:rFonts w:asciiTheme="minorHAnsi" w:eastAsiaTheme="minorEastAsia" w:hAnsiTheme="minorHAnsi" w:cstheme="minorBidi"/>
            </w:rPr>
          </w:pPr>
          <w:hyperlink w:anchor="_Toc97027130" w:history="1">
            <w:r w:rsidR="00D2585D" w:rsidRPr="00DD1146">
              <w:rPr>
                <w:rStyle w:val="Hyperlink"/>
              </w:rPr>
              <w:t>III.</w:t>
            </w:r>
            <w:r w:rsidR="00D2585D">
              <w:rPr>
                <w:rFonts w:asciiTheme="minorHAnsi" w:eastAsiaTheme="minorEastAsia" w:hAnsiTheme="minorHAnsi" w:cstheme="minorBidi"/>
              </w:rPr>
              <w:tab/>
            </w:r>
            <w:r w:rsidR="00D2585D" w:rsidRPr="00DD1146">
              <w:rPr>
                <w:rStyle w:val="Hyperlink"/>
              </w:rPr>
              <w:t>Background</w:t>
            </w:r>
            <w:r w:rsidR="00D2585D">
              <w:rPr>
                <w:webHidden/>
              </w:rPr>
              <w:tab/>
            </w:r>
            <w:r w:rsidR="00D2585D">
              <w:rPr>
                <w:webHidden/>
              </w:rPr>
              <w:fldChar w:fldCharType="begin"/>
            </w:r>
            <w:r w:rsidR="00D2585D">
              <w:rPr>
                <w:webHidden/>
              </w:rPr>
              <w:instrText xml:space="preserve"> PAGEREF _Toc97027130 \h </w:instrText>
            </w:r>
            <w:r w:rsidR="00D2585D">
              <w:rPr>
                <w:webHidden/>
              </w:rPr>
            </w:r>
            <w:r w:rsidR="00D2585D">
              <w:rPr>
                <w:webHidden/>
              </w:rPr>
              <w:fldChar w:fldCharType="separate"/>
            </w:r>
            <w:r w:rsidR="00D2585D">
              <w:rPr>
                <w:webHidden/>
              </w:rPr>
              <w:t>3</w:t>
            </w:r>
            <w:r w:rsidR="00D2585D">
              <w:rPr>
                <w:webHidden/>
              </w:rPr>
              <w:fldChar w:fldCharType="end"/>
            </w:r>
          </w:hyperlink>
        </w:p>
        <w:p w14:paraId="54C710EC" w14:textId="2E99C07E" w:rsidR="00D2585D" w:rsidRDefault="00823E7A" w:rsidP="002023C0">
          <w:pPr>
            <w:pStyle w:val="TOC1"/>
            <w:spacing w:after="0"/>
            <w:rPr>
              <w:rFonts w:asciiTheme="minorHAnsi" w:eastAsiaTheme="minorEastAsia" w:hAnsiTheme="minorHAnsi" w:cstheme="minorBidi"/>
            </w:rPr>
          </w:pPr>
          <w:hyperlink w:anchor="_Toc97027131" w:history="1">
            <w:r w:rsidR="00D2585D" w:rsidRPr="00DD1146">
              <w:rPr>
                <w:rStyle w:val="Hyperlink"/>
              </w:rPr>
              <w:t>IV.</w:t>
            </w:r>
            <w:r w:rsidR="00D2585D">
              <w:rPr>
                <w:rFonts w:asciiTheme="minorHAnsi" w:eastAsiaTheme="minorEastAsia" w:hAnsiTheme="minorHAnsi" w:cstheme="minorBidi"/>
              </w:rPr>
              <w:tab/>
            </w:r>
            <w:r w:rsidR="00D2585D" w:rsidRPr="00DD1146">
              <w:rPr>
                <w:rStyle w:val="Hyperlink"/>
              </w:rPr>
              <w:t>Sales Undertaken</w:t>
            </w:r>
            <w:r w:rsidR="00D2585D">
              <w:rPr>
                <w:webHidden/>
              </w:rPr>
              <w:tab/>
            </w:r>
            <w:r w:rsidR="00D2585D">
              <w:rPr>
                <w:webHidden/>
              </w:rPr>
              <w:fldChar w:fldCharType="begin"/>
            </w:r>
            <w:r w:rsidR="00D2585D">
              <w:rPr>
                <w:webHidden/>
              </w:rPr>
              <w:instrText xml:space="preserve"> PAGEREF _Toc97027131 \h </w:instrText>
            </w:r>
            <w:r w:rsidR="00D2585D">
              <w:rPr>
                <w:webHidden/>
              </w:rPr>
            </w:r>
            <w:r w:rsidR="00D2585D">
              <w:rPr>
                <w:webHidden/>
              </w:rPr>
              <w:fldChar w:fldCharType="separate"/>
            </w:r>
            <w:r w:rsidR="00D2585D">
              <w:rPr>
                <w:webHidden/>
              </w:rPr>
              <w:t>3</w:t>
            </w:r>
            <w:r w:rsidR="00D2585D">
              <w:rPr>
                <w:webHidden/>
              </w:rPr>
              <w:fldChar w:fldCharType="end"/>
            </w:r>
          </w:hyperlink>
        </w:p>
        <w:p w14:paraId="73E11A3A" w14:textId="7E0A97A0" w:rsidR="00D2585D" w:rsidRDefault="00823E7A" w:rsidP="002023C0">
          <w:pPr>
            <w:pStyle w:val="TOC1"/>
            <w:spacing w:after="0"/>
            <w:rPr>
              <w:rFonts w:asciiTheme="minorHAnsi" w:eastAsiaTheme="minorEastAsia" w:hAnsiTheme="minorHAnsi" w:cstheme="minorBidi"/>
            </w:rPr>
          </w:pPr>
          <w:hyperlink w:anchor="_Toc97027132" w:history="1">
            <w:r w:rsidR="00D2585D" w:rsidRPr="00DD1146">
              <w:rPr>
                <w:rStyle w:val="Hyperlink"/>
              </w:rPr>
              <w:t>V.</w:t>
            </w:r>
            <w:r w:rsidR="00D2585D">
              <w:rPr>
                <w:rFonts w:asciiTheme="minorHAnsi" w:eastAsiaTheme="minorEastAsia" w:hAnsiTheme="minorHAnsi" w:cstheme="minorBidi"/>
              </w:rPr>
              <w:tab/>
            </w:r>
            <w:r w:rsidR="00D2585D" w:rsidRPr="00DD1146">
              <w:rPr>
                <w:rStyle w:val="Hyperlink"/>
              </w:rPr>
              <w:t>Next Steps</w:t>
            </w:r>
            <w:r w:rsidR="00D2585D">
              <w:rPr>
                <w:webHidden/>
              </w:rPr>
              <w:tab/>
            </w:r>
            <w:r w:rsidR="00D2585D">
              <w:rPr>
                <w:webHidden/>
              </w:rPr>
              <w:fldChar w:fldCharType="begin"/>
            </w:r>
            <w:r w:rsidR="00D2585D">
              <w:rPr>
                <w:webHidden/>
              </w:rPr>
              <w:instrText xml:space="preserve"> PAGEREF _Toc97027132 \h </w:instrText>
            </w:r>
            <w:r w:rsidR="00D2585D">
              <w:rPr>
                <w:webHidden/>
              </w:rPr>
            </w:r>
            <w:r w:rsidR="00D2585D">
              <w:rPr>
                <w:webHidden/>
              </w:rPr>
              <w:fldChar w:fldCharType="separate"/>
            </w:r>
            <w:r w:rsidR="00D2585D">
              <w:rPr>
                <w:webHidden/>
              </w:rPr>
              <w:t>5</w:t>
            </w:r>
            <w:r w:rsidR="00D2585D">
              <w:rPr>
                <w:webHidden/>
              </w:rPr>
              <w:fldChar w:fldCharType="end"/>
            </w:r>
          </w:hyperlink>
        </w:p>
        <w:p w14:paraId="5F66C022" w14:textId="1DB823E0" w:rsidR="0050094E" w:rsidRDefault="0050094E" w:rsidP="002023C0">
          <w:pPr>
            <w:spacing w:after="0" w:line="240" w:lineRule="auto"/>
            <w:rPr>
              <w:bCs/>
              <w:noProof/>
            </w:rPr>
          </w:pPr>
          <w:r w:rsidRPr="0086365F">
            <w:rPr>
              <w:b/>
              <w:bCs/>
              <w:noProof/>
            </w:rPr>
            <w:fldChar w:fldCharType="end"/>
          </w:r>
        </w:p>
      </w:sdtContent>
    </w:sdt>
    <w:p w14:paraId="6C09BBB1" w14:textId="77777777" w:rsidR="00101181" w:rsidRDefault="00101181" w:rsidP="002023C0">
      <w:pPr>
        <w:spacing w:after="0" w:line="240" w:lineRule="auto"/>
        <w:rPr>
          <w:b/>
          <w:sz w:val="28"/>
          <w:szCs w:val="28"/>
        </w:rPr>
      </w:pPr>
    </w:p>
    <w:p w14:paraId="6BFAF11C" w14:textId="77777777" w:rsidR="00101181" w:rsidRDefault="00101181" w:rsidP="002023C0">
      <w:pPr>
        <w:spacing w:after="0" w:line="240" w:lineRule="auto"/>
        <w:rPr>
          <w:b/>
          <w:sz w:val="28"/>
          <w:szCs w:val="28"/>
        </w:rPr>
      </w:pPr>
    </w:p>
    <w:p w14:paraId="48A96AED" w14:textId="77777777" w:rsidR="00101181" w:rsidRDefault="00101181" w:rsidP="002023C0">
      <w:pPr>
        <w:spacing w:after="0" w:line="240" w:lineRule="auto"/>
        <w:rPr>
          <w:b/>
          <w:sz w:val="28"/>
          <w:szCs w:val="28"/>
        </w:rPr>
      </w:pPr>
    </w:p>
    <w:p w14:paraId="13287C77" w14:textId="77777777" w:rsidR="00101181" w:rsidRDefault="00101181" w:rsidP="002023C0">
      <w:pPr>
        <w:spacing w:after="0" w:line="240" w:lineRule="auto"/>
        <w:rPr>
          <w:b/>
          <w:sz w:val="28"/>
          <w:szCs w:val="28"/>
        </w:rPr>
      </w:pPr>
    </w:p>
    <w:p w14:paraId="36B68EA1" w14:textId="77777777" w:rsidR="00101181" w:rsidRDefault="00101181" w:rsidP="002023C0">
      <w:pPr>
        <w:spacing w:after="0" w:line="240" w:lineRule="auto"/>
        <w:rPr>
          <w:b/>
          <w:sz w:val="28"/>
          <w:szCs w:val="28"/>
        </w:rPr>
      </w:pPr>
    </w:p>
    <w:p w14:paraId="5569D05D" w14:textId="77777777" w:rsidR="00101181" w:rsidRDefault="00101181" w:rsidP="002023C0">
      <w:pPr>
        <w:spacing w:after="0" w:line="240" w:lineRule="auto"/>
        <w:rPr>
          <w:b/>
          <w:sz w:val="28"/>
          <w:szCs w:val="28"/>
        </w:rPr>
      </w:pPr>
    </w:p>
    <w:p w14:paraId="1BA30CA0" w14:textId="77777777" w:rsidR="00101181" w:rsidRDefault="00101181" w:rsidP="002023C0">
      <w:pPr>
        <w:spacing w:after="0" w:line="240" w:lineRule="auto"/>
        <w:rPr>
          <w:b/>
          <w:sz w:val="28"/>
          <w:szCs w:val="28"/>
        </w:rPr>
      </w:pPr>
    </w:p>
    <w:p w14:paraId="6D6F7C6F" w14:textId="77777777" w:rsidR="00101181" w:rsidRDefault="00101181" w:rsidP="002023C0">
      <w:pPr>
        <w:spacing w:after="0" w:line="240" w:lineRule="auto"/>
        <w:rPr>
          <w:b/>
          <w:sz w:val="28"/>
          <w:szCs w:val="28"/>
        </w:rPr>
      </w:pPr>
    </w:p>
    <w:p w14:paraId="2040247C" w14:textId="77777777" w:rsidR="00101181" w:rsidRDefault="00101181" w:rsidP="002023C0">
      <w:pPr>
        <w:spacing w:after="0" w:line="240" w:lineRule="auto"/>
        <w:rPr>
          <w:b/>
          <w:sz w:val="28"/>
          <w:szCs w:val="28"/>
        </w:rPr>
      </w:pPr>
    </w:p>
    <w:p w14:paraId="4F2852AA" w14:textId="77777777" w:rsidR="00101181" w:rsidRDefault="00101181" w:rsidP="002023C0">
      <w:pPr>
        <w:spacing w:after="0" w:line="240" w:lineRule="auto"/>
        <w:rPr>
          <w:b/>
          <w:sz w:val="28"/>
          <w:szCs w:val="28"/>
        </w:rPr>
      </w:pPr>
    </w:p>
    <w:p w14:paraId="593B08AA" w14:textId="77777777" w:rsidR="00101181" w:rsidRDefault="00101181" w:rsidP="002023C0">
      <w:pPr>
        <w:spacing w:after="0" w:line="240" w:lineRule="auto"/>
        <w:rPr>
          <w:b/>
          <w:sz w:val="28"/>
          <w:szCs w:val="28"/>
        </w:rPr>
      </w:pPr>
    </w:p>
    <w:p w14:paraId="33BAE5F1" w14:textId="77777777" w:rsidR="00101181" w:rsidRDefault="00101181" w:rsidP="002023C0">
      <w:pPr>
        <w:spacing w:after="0" w:line="240" w:lineRule="auto"/>
        <w:rPr>
          <w:b/>
          <w:sz w:val="28"/>
          <w:szCs w:val="28"/>
        </w:rPr>
      </w:pPr>
    </w:p>
    <w:p w14:paraId="6EE81F11" w14:textId="77777777" w:rsidR="00101181" w:rsidRDefault="00101181" w:rsidP="002023C0">
      <w:pPr>
        <w:spacing w:after="0" w:line="240" w:lineRule="auto"/>
        <w:rPr>
          <w:b/>
          <w:sz w:val="28"/>
          <w:szCs w:val="28"/>
        </w:rPr>
      </w:pPr>
    </w:p>
    <w:p w14:paraId="4FAC0B8F" w14:textId="77777777" w:rsidR="00101181" w:rsidRDefault="00101181" w:rsidP="002023C0">
      <w:pPr>
        <w:spacing w:after="0" w:line="240" w:lineRule="auto"/>
        <w:rPr>
          <w:b/>
          <w:sz w:val="28"/>
          <w:szCs w:val="28"/>
        </w:rPr>
      </w:pPr>
    </w:p>
    <w:p w14:paraId="031B71EC" w14:textId="77777777" w:rsidR="00101181" w:rsidRDefault="00101181" w:rsidP="002023C0">
      <w:pPr>
        <w:spacing w:after="0" w:line="240" w:lineRule="auto"/>
        <w:rPr>
          <w:b/>
          <w:sz w:val="28"/>
          <w:szCs w:val="28"/>
        </w:rPr>
      </w:pPr>
    </w:p>
    <w:p w14:paraId="0BB30AB4" w14:textId="77777777" w:rsidR="00101181" w:rsidRDefault="00101181" w:rsidP="002023C0">
      <w:pPr>
        <w:spacing w:after="0" w:line="240" w:lineRule="auto"/>
        <w:rPr>
          <w:b/>
          <w:sz w:val="28"/>
          <w:szCs w:val="28"/>
        </w:rPr>
      </w:pPr>
    </w:p>
    <w:p w14:paraId="07818C0A" w14:textId="17B4BC93" w:rsidR="00310431" w:rsidRDefault="006F0CFC" w:rsidP="002023C0">
      <w:pPr>
        <w:spacing w:after="0" w:line="240" w:lineRule="auto"/>
        <w:rPr>
          <w:b/>
          <w:sz w:val="28"/>
          <w:szCs w:val="28"/>
        </w:rPr>
      </w:pPr>
      <w:r>
        <w:rPr>
          <w:b/>
          <w:sz w:val="28"/>
          <w:szCs w:val="28"/>
        </w:rPr>
        <w:br w:type="page"/>
      </w:r>
    </w:p>
    <w:p w14:paraId="65BD3C1F" w14:textId="7C7D68CD" w:rsidR="0019033D" w:rsidRDefault="0019033D" w:rsidP="002023C0">
      <w:pPr>
        <w:pStyle w:val="Heading1"/>
        <w:spacing w:before="0"/>
      </w:pPr>
      <w:bookmarkStart w:id="0" w:name="_Toc97027129"/>
      <w:r>
        <w:lastRenderedPageBreak/>
        <w:t>Executive Summary</w:t>
      </w:r>
      <w:bookmarkEnd w:id="0"/>
    </w:p>
    <w:p w14:paraId="15E93C7C" w14:textId="77777777" w:rsidR="0019033D" w:rsidRPr="0019033D" w:rsidRDefault="0019033D" w:rsidP="002023C0">
      <w:pPr>
        <w:spacing w:after="0" w:line="240" w:lineRule="auto"/>
      </w:pPr>
    </w:p>
    <w:p w14:paraId="120B59EA" w14:textId="5C9E313D" w:rsidR="0019033D" w:rsidRDefault="0019033D" w:rsidP="002023C0">
      <w:pPr>
        <w:spacing w:after="0" w:line="240" w:lineRule="auto"/>
      </w:pPr>
      <w:r>
        <w:t xml:space="preserve">As required by </w:t>
      </w:r>
      <w:r w:rsidR="000506FE">
        <w:t>O</w:t>
      </w:r>
      <w:r>
        <w:t>rdinances 19279</w:t>
      </w:r>
      <w:r>
        <w:rPr>
          <w:rStyle w:val="FootnoteReference"/>
        </w:rPr>
        <w:footnoteReference w:id="1"/>
      </w:r>
      <w:r>
        <w:t xml:space="preserve"> and 19325,</w:t>
      </w:r>
      <w:r>
        <w:rPr>
          <w:rStyle w:val="FootnoteReference"/>
        </w:rPr>
        <w:footnoteReference w:id="2"/>
      </w:r>
      <w:r>
        <w:t xml:space="preserve"> this report provides a detailed description of each of the four series of general obligation bonds totaling $567,650,000 that were sold during 2021.  Because of the historically low level of interest rates that prevailed throughout the course of the year</w:t>
      </w:r>
      <w:r w:rsidR="000506FE">
        <w:t>,</w:t>
      </w:r>
      <w:r>
        <w:t xml:space="preserve"> as well as the continuation of the County’s excellent “AAA” credit ratings, 2021 was a year during which the County’s debt issuance activity was considered very successful.</w:t>
      </w:r>
    </w:p>
    <w:p w14:paraId="4936DDA0" w14:textId="5769CC9F" w:rsidR="00F84010" w:rsidRDefault="00F84010" w:rsidP="002023C0">
      <w:pPr>
        <w:spacing w:after="0" w:line="240" w:lineRule="auto"/>
      </w:pPr>
    </w:p>
    <w:p w14:paraId="5B5344CC" w14:textId="77777777" w:rsidR="001E37DB" w:rsidRDefault="001E37DB" w:rsidP="002023C0">
      <w:pPr>
        <w:spacing w:after="0" w:line="240" w:lineRule="auto"/>
      </w:pPr>
      <w:r>
        <w:t xml:space="preserve">Pursuant to both </w:t>
      </w:r>
      <w:r w:rsidRPr="003A0AF2">
        <w:t xml:space="preserve">Ordinance </w:t>
      </w:r>
      <w:r>
        <w:t xml:space="preserve">19279, adopted in May 2021, and Ordinance 19325, adopted in September 2021, (collectively “the Ordinances”) the Council authorized the King County Finance Director (i.e., the director of the Finance and Business Operations Division) to approve the sale of limited tax general obligation (LTGO) bonds and unlimited tax general obligation (UTGO) bonds respectively. The Ordinances specify, however, that such approval is conditional upon the results of the sales meeting certain parameters described therein.  </w:t>
      </w:r>
    </w:p>
    <w:p w14:paraId="248325DF" w14:textId="77777777" w:rsidR="001E37DB" w:rsidRDefault="001E37DB" w:rsidP="002023C0">
      <w:pPr>
        <w:spacing w:after="0" w:line="240" w:lineRule="auto"/>
      </w:pPr>
    </w:p>
    <w:p w14:paraId="565094BB" w14:textId="2D4A5576" w:rsidR="001E37DB" w:rsidRDefault="001E37DB" w:rsidP="002023C0">
      <w:pPr>
        <w:spacing w:after="0" w:line="240" w:lineRule="auto"/>
      </w:pPr>
      <w:r>
        <w:t>Delegation of such authority enables King County to hold bond sales on a much larger number of dates during the year beyond just those when the Council is in session</w:t>
      </w:r>
      <w:r w:rsidR="000506FE">
        <w:t>,</w:t>
      </w:r>
      <w:r>
        <w:t xml:space="preserve"> as was previously the case. Such timing flexibility allows the County to be more responsive to changes in market conditions.</w:t>
      </w:r>
    </w:p>
    <w:p w14:paraId="6C66B707" w14:textId="77777777" w:rsidR="001E37DB" w:rsidRDefault="001E37DB" w:rsidP="002023C0">
      <w:pPr>
        <w:spacing w:after="0" w:line="240" w:lineRule="auto"/>
      </w:pPr>
    </w:p>
    <w:p w14:paraId="3B88735E" w14:textId="77777777" w:rsidR="001E37DB" w:rsidRDefault="001E37DB" w:rsidP="002023C0">
      <w:pPr>
        <w:spacing w:after="0" w:line="240" w:lineRule="auto"/>
      </w:pPr>
      <w:r>
        <w:t xml:space="preserve">Section 13 of Ordinance 19279 and Section 12 of Ordinance 19325 require that the Finance Director provide an annual report to the Executive Finance Committee and the County Council describing each series of bonds approved pursuant to such authority. The report must be transmitted by March 31 of each year. </w:t>
      </w:r>
    </w:p>
    <w:p w14:paraId="7CBE9F4F" w14:textId="77777777" w:rsidR="001E37DB" w:rsidRDefault="001E37DB" w:rsidP="002023C0">
      <w:pPr>
        <w:spacing w:after="0" w:line="240" w:lineRule="auto"/>
      </w:pPr>
    </w:p>
    <w:p w14:paraId="37F28273" w14:textId="77777777" w:rsidR="001E37DB" w:rsidRDefault="001E37DB" w:rsidP="002023C0">
      <w:pPr>
        <w:spacing w:after="0" w:line="240" w:lineRule="auto"/>
      </w:pPr>
      <w:r>
        <w:t>This report meets the requirements of the Ordinances for all the County’s general obligation bond issuances undertaken during 2021.</w:t>
      </w:r>
    </w:p>
    <w:p w14:paraId="6D834D37" w14:textId="77777777" w:rsidR="001E37DB" w:rsidRDefault="001E37DB" w:rsidP="002023C0">
      <w:pPr>
        <w:spacing w:after="0" w:line="240" w:lineRule="auto"/>
      </w:pPr>
    </w:p>
    <w:p w14:paraId="2261B09A" w14:textId="2DA6F2F1" w:rsidR="00BE405A" w:rsidRDefault="00B87CC0" w:rsidP="002023C0">
      <w:pPr>
        <w:pStyle w:val="Heading1"/>
        <w:spacing w:before="0"/>
      </w:pPr>
      <w:bookmarkStart w:id="1" w:name="_Toc97027130"/>
      <w:r>
        <w:t>Background</w:t>
      </w:r>
      <w:bookmarkEnd w:id="1"/>
      <w:r w:rsidR="00392457">
        <w:t xml:space="preserve"> </w:t>
      </w:r>
    </w:p>
    <w:p w14:paraId="4B38B931" w14:textId="77777777" w:rsidR="00B87CC0" w:rsidRPr="00B87CC0" w:rsidRDefault="00B87CC0" w:rsidP="002023C0">
      <w:pPr>
        <w:spacing w:after="0" w:line="240" w:lineRule="auto"/>
      </w:pPr>
    </w:p>
    <w:p w14:paraId="353F8797" w14:textId="17BD4E23" w:rsidR="00BE5D1E" w:rsidRDefault="00BB43FC" w:rsidP="002023C0">
      <w:pPr>
        <w:spacing w:after="0" w:line="240" w:lineRule="auto"/>
      </w:pPr>
      <w:r>
        <w:t xml:space="preserve">The Department of Executive Services (DES) provides internal services to King County agencies. DES has a variety of direct customers, from all county agencies in need of facilities maintenance and paycheck processing, to motor vehicle drivers applying for vehicle tab renewals.  </w:t>
      </w:r>
      <w:r w:rsidR="00F07F45">
        <w:t xml:space="preserve">The </w:t>
      </w:r>
      <w:r w:rsidR="007E539C" w:rsidRPr="00553081">
        <w:t>F</w:t>
      </w:r>
      <w:r w:rsidR="007E539C">
        <w:t>inance</w:t>
      </w:r>
      <w:r w:rsidR="00F07F45">
        <w:t xml:space="preserve"> and Business Operations Division</w:t>
      </w:r>
      <w:r w:rsidR="007E539C">
        <w:t>’s (FBOD)</w:t>
      </w:r>
      <w:r w:rsidR="00553081" w:rsidRPr="00553081">
        <w:t xml:space="preserve"> mission is to provide exceptional customer value for accounting, procurement, treasury, and small business services. </w:t>
      </w:r>
    </w:p>
    <w:p w14:paraId="546B4604" w14:textId="77777777" w:rsidR="002023C0" w:rsidRDefault="002023C0" w:rsidP="002023C0">
      <w:pPr>
        <w:spacing w:after="0" w:line="240" w:lineRule="auto"/>
      </w:pPr>
    </w:p>
    <w:p w14:paraId="202F3E34" w14:textId="1077C52D" w:rsidR="00E7755A" w:rsidRDefault="00FE0581" w:rsidP="002023C0">
      <w:pPr>
        <w:pStyle w:val="Heading1"/>
        <w:spacing w:before="0"/>
      </w:pPr>
      <w:bookmarkStart w:id="2" w:name="_Toc97027131"/>
      <w:r>
        <w:t>Sale</w:t>
      </w:r>
      <w:r w:rsidR="00E7755A">
        <w:t>s Undertaken</w:t>
      </w:r>
      <w:bookmarkEnd w:id="2"/>
    </w:p>
    <w:p w14:paraId="420B3B43" w14:textId="77777777" w:rsidR="006025C8" w:rsidRDefault="006025C8" w:rsidP="002023C0">
      <w:pPr>
        <w:spacing w:after="0" w:line="240" w:lineRule="auto"/>
      </w:pPr>
    </w:p>
    <w:p w14:paraId="168CF034" w14:textId="2C5D9001" w:rsidR="000C7136" w:rsidRDefault="00D92E4B" w:rsidP="002023C0">
      <w:pPr>
        <w:spacing w:after="0" w:line="240" w:lineRule="auto"/>
      </w:pPr>
      <w:r>
        <w:t xml:space="preserve">A total of four series of </w:t>
      </w:r>
      <w:r w:rsidR="009F6B10">
        <w:t xml:space="preserve">general obligation </w:t>
      </w:r>
      <w:r>
        <w:t xml:space="preserve">bonds </w:t>
      </w:r>
      <w:r w:rsidR="00732094">
        <w:t xml:space="preserve">totaling $567,650,000 </w:t>
      </w:r>
      <w:r>
        <w:t xml:space="preserve">were sold during 2021 pursuant to the Ordinances. </w:t>
      </w:r>
      <w:r w:rsidR="00997630">
        <w:t xml:space="preserve">Before </w:t>
      </w:r>
      <w:r w:rsidR="009F6B10">
        <w:t>providing details of e</w:t>
      </w:r>
      <w:r>
        <w:t xml:space="preserve">ach </w:t>
      </w:r>
      <w:r w:rsidR="00997630">
        <w:t xml:space="preserve">of these </w:t>
      </w:r>
      <w:r>
        <w:t>series</w:t>
      </w:r>
      <w:r w:rsidR="00997630">
        <w:t xml:space="preserve">, </w:t>
      </w:r>
      <w:r w:rsidR="009F6B10">
        <w:t>however, certain points that are common to all of them</w:t>
      </w:r>
      <w:r w:rsidR="00997630">
        <w:t xml:space="preserve"> should be noted.  </w:t>
      </w:r>
    </w:p>
    <w:p w14:paraId="7A76C37F" w14:textId="77777777" w:rsidR="004000CC" w:rsidRDefault="004000CC" w:rsidP="002023C0">
      <w:pPr>
        <w:spacing w:after="0" w:line="240" w:lineRule="auto"/>
      </w:pPr>
    </w:p>
    <w:p w14:paraId="5241E6B8" w14:textId="4E3E1453" w:rsidR="00997630" w:rsidRDefault="00997630" w:rsidP="002023C0">
      <w:pPr>
        <w:spacing w:after="0" w:line="240" w:lineRule="auto"/>
      </w:pPr>
      <w:r>
        <w:t>First, for each of these sales, the three rating agencies</w:t>
      </w:r>
      <w:r w:rsidR="002023C0">
        <w:t xml:space="preserve">, </w:t>
      </w:r>
      <w:r>
        <w:t>Fitch, Moody’s</w:t>
      </w:r>
      <w:r w:rsidR="002023C0">
        <w:t>,</w:t>
      </w:r>
      <w:r>
        <w:t xml:space="preserve"> and S</w:t>
      </w:r>
      <w:r w:rsidR="002023C0">
        <w:t xml:space="preserve">tandard and Poor’s (S&amp;P) </w:t>
      </w:r>
      <w:r>
        <w:t>all affirmed the County’s excellent “AAA” credit rating</w:t>
      </w:r>
      <w:r w:rsidR="002023C0">
        <w:t>. This rating</w:t>
      </w:r>
      <w:r>
        <w:t xml:space="preserve"> help</w:t>
      </w:r>
      <w:r w:rsidR="002023C0">
        <w:t>s</w:t>
      </w:r>
      <w:r>
        <w:t xml:space="preserve"> to ensure that the </w:t>
      </w:r>
      <w:r w:rsidR="002023C0">
        <w:t xml:space="preserve">County’s </w:t>
      </w:r>
      <w:r>
        <w:t xml:space="preserve">interest rates received were extremely favorable. Second, </w:t>
      </w:r>
      <w:r w:rsidR="009F6B10">
        <w:t xml:space="preserve">consistent with the County’s preference as </w:t>
      </w:r>
      <w:r w:rsidR="009F6B10">
        <w:lastRenderedPageBreak/>
        <w:t xml:space="preserve">documented in the </w:t>
      </w:r>
      <w:r w:rsidR="004000CC">
        <w:t xml:space="preserve">newly </w:t>
      </w:r>
      <w:r w:rsidR="0019033D">
        <w:t>adopted</w:t>
      </w:r>
      <w:r w:rsidR="009F6B10">
        <w:t xml:space="preserve"> Debt Management Policy (Motion </w:t>
      </w:r>
      <w:r w:rsidR="000C7136">
        <w:t>15984</w:t>
      </w:r>
      <w:r w:rsidR="00AE5658">
        <w:rPr>
          <w:rStyle w:val="FootnoteReference"/>
        </w:rPr>
        <w:footnoteReference w:id="3"/>
      </w:r>
      <w:r w:rsidR="009F6B10">
        <w:t xml:space="preserve">), </w:t>
      </w:r>
      <w:r w:rsidR="002023C0">
        <w:t>each</w:t>
      </w:r>
      <w:r>
        <w:t xml:space="preserve"> of </w:t>
      </w:r>
      <w:r w:rsidR="002023C0">
        <w:t>the four</w:t>
      </w:r>
      <w:r>
        <w:t xml:space="preserve"> series were sold competitively, meaning that any underwriting firm was able to bid to purchase the bonds</w:t>
      </w:r>
      <w:r w:rsidR="00E80BE6">
        <w:t xml:space="preserve"> from the County</w:t>
      </w:r>
      <w:r>
        <w:t xml:space="preserve">. The large number of bids received for each of these sales is </w:t>
      </w:r>
      <w:r w:rsidR="00D03079">
        <w:t>itself</w:t>
      </w:r>
      <w:r>
        <w:t xml:space="preserve"> a</w:t>
      </w:r>
      <w:r w:rsidR="00D03079">
        <w:t xml:space="preserve"> </w:t>
      </w:r>
      <w:r>
        <w:t>testament as to how highly the County’s credit is viewed in the market.</w:t>
      </w:r>
      <w:r w:rsidR="009F6B10">
        <w:t xml:space="preserve"> </w:t>
      </w:r>
      <w:r w:rsidR="002023C0">
        <w:t>The</w:t>
      </w:r>
      <w:r w:rsidR="009F6B10">
        <w:t xml:space="preserve"> results of each sale were consistent with the required parameters specified in the Ordinances.</w:t>
      </w:r>
      <w:r>
        <w:t xml:space="preserve">  </w:t>
      </w:r>
    </w:p>
    <w:p w14:paraId="0AA40D07" w14:textId="77777777" w:rsidR="004000CC" w:rsidRPr="00A071A7" w:rsidRDefault="004000CC" w:rsidP="002023C0">
      <w:pPr>
        <w:spacing w:after="0" w:line="240" w:lineRule="auto"/>
      </w:pPr>
    </w:p>
    <w:p w14:paraId="6AB6466E" w14:textId="211D3C6C" w:rsidR="00CC35D0" w:rsidRDefault="00A071A7" w:rsidP="002023C0">
      <w:pPr>
        <w:pStyle w:val="xmsonormal"/>
      </w:pPr>
      <w:r>
        <w:t>On June</w:t>
      </w:r>
      <w:r w:rsidR="00ED7344">
        <w:t xml:space="preserve"> </w:t>
      </w:r>
      <w:r w:rsidR="002023C0">
        <w:t>9, 2021</w:t>
      </w:r>
      <w:r w:rsidR="00ED7344">
        <w:t>, the County sold</w:t>
      </w:r>
      <w:r w:rsidR="006510F6">
        <w:t xml:space="preserve"> its</w:t>
      </w:r>
      <w:r w:rsidR="00762CA8">
        <w:t xml:space="preserve"> tax-exempt</w:t>
      </w:r>
      <w:r w:rsidR="006510F6">
        <w:t xml:space="preserve"> </w:t>
      </w:r>
      <w:r w:rsidR="006510F6" w:rsidRPr="006510F6">
        <w:rPr>
          <w:b/>
          <w:bCs/>
        </w:rPr>
        <w:t>Limited Tax General Obligation Bonds, 2021, Series A</w:t>
      </w:r>
      <w:r w:rsidR="006510F6">
        <w:t xml:space="preserve"> in the par</w:t>
      </w:r>
      <w:r w:rsidR="00067B28">
        <w:t xml:space="preserve"> </w:t>
      </w:r>
      <w:r w:rsidR="006510F6">
        <w:t xml:space="preserve">amount of </w:t>
      </w:r>
      <w:r w:rsidR="00ED7344">
        <w:t>$52</w:t>
      </w:r>
      <w:r w:rsidR="006510F6">
        <w:t>,150,000</w:t>
      </w:r>
      <w:r w:rsidR="00ED7344">
        <w:t>.</w:t>
      </w:r>
      <w:r w:rsidR="006510F6">
        <w:t xml:space="preserve"> The </w:t>
      </w:r>
      <w:r w:rsidR="00ED7344">
        <w:t>County received a total of 10 bids</w:t>
      </w:r>
      <w:r w:rsidR="006510F6">
        <w:t>, and t</w:t>
      </w:r>
      <w:r w:rsidR="00ED7344">
        <w:t>he winning bid from Hilltop Securities offered a true interest cost (TIC) of 1.895</w:t>
      </w:r>
      <w:r w:rsidR="002023C0">
        <w:t xml:space="preserve"> percent</w:t>
      </w:r>
      <w:r w:rsidR="00ED7344">
        <w:t xml:space="preserve"> for the bonds, which have an average life of </w:t>
      </w:r>
      <w:r w:rsidR="00762CA8">
        <w:t>13.6</w:t>
      </w:r>
      <w:r w:rsidR="00ED7344">
        <w:t xml:space="preserve"> years. The proceeds of these bonds will provide $65.8 million of funding for several County capital projects, including various open space land acquisitions, facility improvements at the M</w:t>
      </w:r>
      <w:r w:rsidR="00BD1508">
        <w:t xml:space="preserve">aleng </w:t>
      </w:r>
      <w:r w:rsidR="00ED7344">
        <w:t>R</w:t>
      </w:r>
      <w:r w:rsidR="00BD1508">
        <w:t xml:space="preserve">egional </w:t>
      </w:r>
      <w:r w:rsidR="00ED7344">
        <w:t>J</w:t>
      </w:r>
      <w:r w:rsidR="00BD1508">
        <w:t>ustice Center (MRJC)</w:t>
      </w:r>
      <w:r w:rsidR="00ED7344">
        <w:t>, and the Solid Waste capital program.</w:t>
      </w:r>
      <w:r w:rsidR="00544C15">
        <w:t xml:space="preserve"> This transaction closed</w:t>
      </w:r>
      <w:r w:rsidR="00762CA8">
        <w:t xml:space="preserve"> </w:t>
      </w:r>
      <w:r w:rsidR="00544C15">
        <w:t>on June 22</w:t>
      </w:r>
      <w:r w:rsidR="00544C15" w:rsidRPr="00544C15">
        <w:rPr>
          <w:vertAlign w:val="superscript"/>
        </w:rPr>
        <w:t>nd</w:t>
      </w:r>
      <w:r w:rsidR="00544C15">
        <w:t>.</w:t>
      </w:r>
    </w:p>
    <w:p w14:paraId="7E3B4A51" w14:textId="77777777" w:rsidR="0019033D" w:rsidRDefault="0019033D" w:rsidP="002023C0">
      <w:pPr>
        <w:pStyle w:val="xmsonormal"/>
      </w:pPr>
    </w:p>
    <w:p w14:paraId="61DD506B" w14:textId="1F555BFE" w:rsidR="00EE6117" w:rsidRDefault="00EF2D9D" w:rsidP="002023C0">
      <w:pPr>
        <w:pStyle w:val="xmsonormal"/>
      </w:pPr>
      <w:r>
        <w:t xml:space="preserve">It should be noted that this was the first sale of fixed rate bonds that utilized the </w:t>
      </w:r>
      <w:r w:rsidR="0019033D">
        <w:t>newly granted</w:t>
      </w:r>
      <w:r>
        <w:t xml:space="preserve"> delegated authority. </w:t>
      </w:r>
      <w:r w:rsidR="004C1F77">
        <w:t>With delegated authority in place, the</w:t>
      </w:r>
      <w:r w:rsidR="00EE6117">
        <w:t>re is no longer a</w:t>
      </w:r>
      <w:r w:rsidR="004C1F77">
        <w:t xml:space="preserve"> need for bond sales to take place on the same date as</w:t>
      </w:r>
      <w:r w:rsidR="002023C0">
        <w:t xml:space="preserve"> King C</w:t>
      </w:r>
      <w:r w:rsidR="004C1F77">
        <w:t xml:space="preserve">ounty </w:t>
      </w:r>
      <w:r w:rsidR="002023C0">
        <w:t>C</w:t>
      </w:r>
      <w:r w:rsidR="004C1F77">
        <w:t xml:space="preserve">ouncil meetings. Accordingly, the </w:t>
      </w:r>
      <w:r w:rsidR="00EE6117">
        <w:t>C</w:t>
      </w:r>
      <w:r w:rsidR="004C1F77">
        <w:t>ounty</w:t>
      </w:r>
      <w:r w:rsidR="00EE6117">
        <w:t>’s</w:t>
      </w:r>
      <w:r w:rsidR="004C1F77">
        <w:t xml:space="preserve"> </w:t>
      </w:r>
      <w:r w:rsidR="00EE6117">
        <w:t xml:space="preserve">has more flexibility to avoid a sale date that might be expected to exhibit </w:t>
      </w:r>
      <w:r w:rsidR="004C1F77">
        <w:t>unusual market risk conditions.</w:t>
      </w:r>
    </w:p>
    <w:p w14:paraId="2900420D" w14:textId="77777777" w:rsidR="00EE6117" w:rsidRDefault="00EE6117" w:rsidP="002023C0">
      <w:pPr>
        <w:pStyle w:val="xmsonormal"/>
      </w:pPr>
    </w:p>
    <w:p w14:paraId="43CEFFB2" w14:textId="11616375" w:rsidR="004000CC" w:rsidRDefault="004000CC" w:rsidP="002023C0">
      <w:pPr>
        <w:pStyle w:val="xmsonormal"/>
      </w:pPr>
      <w:r>
        <w:t xml:space="preserve">The June sale provided an example of the benefits that may result from such flexibility.  </w:t>
      </w:r>
      <w:r w:rsidR="002023C0">
        <w:t>P</w:t>
      </w:r>
      <w:r>
        <w:t>rior to the adoption of Ordinance 19279, the sale had been tentatively scheduled for Tuesday June 8</w:t>
      </w:r>
      <w:r w:rsidRPr="00EE6117">
        <w:rPr>
          <w:vertAlign w:val="superscript"/>
        </w:rPr>
        <w:t>th</w:t>
      </w:r>
      <w:r>
        <w:t xml:space="preserve"> to coincide with the Council’s meeting date.  However, with the adoption of Ordinance 19279, the County’s bond team decided to postpone the sale by one day to avoid competing with some other large issuances that were scheduled to go to market on the 8th. It is estimated that the postponement resulted in a lowering of the TIC by as much as four basis points (0.04</w:t>
      </w:r>
      <w:r w:rsidR="002023C0">
        <w:t xml:space="preserve"> percent</w:t>
      </w:r>
      <w:r>
        <w:t>) in interest, or approximately $21,000 in interest costs in the first year of the bonds alone.</w:t>
      </w:r>
    </w:p>
    <w:p w14:paraId="222A1D31" w14:textId="77777777" w:rsidR="004C1F77" w:rsidRDefault="004C1F77" w:rsidP="002023C0">
      <w:pPr>
        <w:pStyle w:val="xmsonormal"/>
      </w:pPr>
    </w:p>
    <w:p w14:paraId="3A3B22C0" w14:textId="77777777" w:rsidR="004D5D62" w:rsidRDefault="00DC5DE4" w:rsidP="002023C0">
      <w:pPr>
        <w:spacing w:after="0" w:line="240" w:lineRule="auto"/>
      </w:pPr>
      <w:r>
        <w:t xml:space="preserve">On October </w:t>
      </w:r>
      <w:r w:rsidR="00691EBC">
        <w:t>2</w:t>
      </w:r>
      <w:r w:rsidR="004D5D62">
        <w:t>0, 2021,</w:t>
      </w:r>
      <w:r>
        <w:t xml:space="preserve"> the County sold its</w:t>
      </w:r>
      <w:r w:rsidR="00762CA8">
        <w:t xml:space="preserve"> tax-exempt</w:t>
      </w:r>
      <w:r>
        <w:t xml:space="preserve"> </w:t>
      </w:r>
      <w:r w:rsidRPr="005F22FD">
        <w:rPr>
          <w:b/>
          <w:bCs/>
        </w:rPr>
        <w:t>Unlimited Tax General Obligation Bonds, 2021</w:t>
      </w:r>
      <w:r>
        <w:t xml:space="preserve"> in the par amount of $18,885,000</w:t>
      </w:r>
      <w:r w:rsidR="00DC3290">
        <w:t xml:space="preserve">. The proceeds of these bonds </w:t>
      </w:r>
      <w:r>
        <w:t>provide</w:t>
      </w:r>
      <w:r w:rsidR="00DC3290">
        <w:t>d</w:t>
      </w:r>
      <w:r>
        <w:t xml:space="preserve"> </w:t>
      </w:r>
      <w:r w:rsidR="00DC3290">
        <w:t xml:space="preserve">$23 million of </w:t>
      </w:r>
      <w:r>
        <w:t xml:space="preserve">funding for the initial planning and design </w:t>
      </w:r>
      <w:r w:rsidR="00DC3290">
        <w:t xml:space="preserve">phase </w:t>
      </w:r>
      <w:r>
        <w:t xml:space="preserve">of the </w:t>
      </w:r>
      <w:r w:rsidR="00DC3290">
        <w:t xml:space="preserve">$1.74 billion </w:t>
      </w:r>
      <w:r>
        <w:t xml:space="preserve">Harborview Bond Project that was approved by voters in November 2020. </w:t>
      </w:r>
      <w:r w:rsidR="00E21BD6">
        <w:t>T</w:t>
      </w:r>
      <w:r>
        <w:t>he County received 12 bids, with the winning bid being provided by KeyBanc Capital Markets. Th</w:t>
      </w:r>
      <w:r w:rsidR="00DC3290">
        <w:t>is winning</w:t>
      </w:r>
      <w:r>
        <w:t xml:space="preserve"> bid from KeyBanc resulted in a </w:t>
      </w:r>
      <w:r w:rsidR="00544C15">
        <w:t xml:space="preserve">TIC </w:t>
      </w:r>
      <w:r>
        <w:t>for the bonds</w:t>
      </w:r>
      <w:r w:rsidR="00DC3290">
        <w:t>, which have an average life of 11.</w:t>
      </w:r>
      <w:r w:rsidR="00B42DCA">
        <w:t>6</w:t>
      </w:r>
      <w:r w:rsidR="00DC3290">
        <w:t xml:space="preserve"> years, </w:t>
      </w:r>
      <w:r>
        <w:t>of</w:t>
      </w:r>
      <w:r w:rsidR="00DC3290">
        <w:t xml:space="preserve"> just 2.07</w:t>
      </w:r>
      <w:r w:rsidR="004D5D62">
        <w:t xml:space="preserve"> percent</w:t>
      </w:r>
      <w:r w:rsidR="00DC3290">
        <w:t>.</w:t>
      </w:r>
      <w:r w:rsidR="00647390">
        <w:t xml:space="preserve"> Th</w:t>
      </w:r>
      <w:r w:rsidR="00747C84">
        <w:t>e</w:t>
      </w:r>
      <w:r w:rsidR="00647390">
        <w:t xml:space="preserve"> transaction closed on November </w:t>
      </w:r>
      <w:r w:rsidR="004D5D62">
        <w:t>3, 2021.</w:t>
      </w:r>
    </w:p>
    <w:p w14:paraId="62A0C757" w14:textId="77777777" w:rsidR="004D5D62" w:rsidRDefault="004D5D62" w:rsidP="002023C0">
      <w:pPr>
        <w:spacing w:after="0" w:line="240" w:lineRule="auto"/>
      </w:pPr>
    </w:p>
    <w:p w14:paraId="3DFEBDEA" w14:textId="46A96EB7" w:rsidR="00981F48" w:rsidRDefault="00981F48" w:rsidP="002023C0">
      <w:pPr>
        <w:spacing w:after="0" w:line="240" w:lineRule="auto"/>
      </w:pPr>
      <w:r w:rsidRPr="00762CA8">
        <w:t>On November 1</w:t>
      </w:r>
      <w:r w:rsidR="004D5D62">
        <w:t xml:space="preserve">6, 2021, </w:t>
      </w:r>
      <w:r w:rsidRPr="00762CA8">
        <w:t>the County</w:t>
      </w:r>
      <w:r w:rsidR="00E71F84" w:rsidRPr="00762CA8">
        <w:t xml:space="preserve"> </w:t>
      </w:r>
      <w:r w:rsidR="00E21BD6" w:rsidRPr="00762CA8">
        <w:t>sold</w:t>
      </w:r>
      <w:r w:rsidR="00E71F84" w:rsidRPr="00762CA8">
        <w:t xml:space="preserve"> </w:t>
      </w:r>
      <w:r w:rsidR="00762CA8" w:rsidRPr="00762CA8">
        <w:t xml:space="preserve">its tax-exempt </w:t>
      </w:r>
      <w:r w:rsidR="00762CA8" w:rsidRPr="00762CA8">
        <w:rPr>
          <w:b/>
          <w:bCs/>
        </w:rPr>
        <w:t>Limited Tax General Obligation Refunding Bonds, 2021, Series B</w:t>
      </w:r>
      <w:r w:rsidR="00762CA8" w:rsidRPr="00762CA8">
        <w:t xml:space="preserve"> in the par amount of </w:t>
      </w:r>
      <w:r w:rsidRPr="00762CA8">
        <w:t>$30,410,000</w:t>
      </w:r>
      <w:r w:rsidR="00762CA8" w:rsidRPr="00762CA8">
        <w:t>. The County received 13 bids, with the</w:t>
      </w:r>
      <w:r w:rsidRPr="00762CA8">
        <w:t xml:space="preserve"> winning bid</w:t>
      </w:r>
      <w:r w:rsidR="00762CA8">
        <w:t xml:space="preserve"> </w:t>
      </w:r>
      <w:r w:rsidRPr="00762CA8">
        <w:t>provided by TD Securities offer</w:t>
      </w:r>
      <w:r w:rsidR="00762CA8">
        <w:t>ing</w:t>
      </w:r>
      <w:r w:rsidRPr="00762CA8">
        <w:t xml:space="preserve"> a TIC of 0.69</w:t>
      </w:r>
      <w:r w:rsidR="004D5D62">
        <w:t xml:space="preserve"> percent</w:t>
      </w:r>
      <w:r w:rsidRPr="00762CA8">
        <w:t xml:space="preserve"> for the bonds, which have an average life of 2.4 years. The proceeds were used to refund </w:t>
      </w:r>
      <w:r w:rsidR="000506FE">
        <w:t>four</w:t>
      </w:r>
      <w:r w:rsidRPr="00762CA8">
        <w:t xml:space="preserve"> series of outstanding LTGO bonds totaling $33 million that become callable within the 90 days of the closing date. This refunding reduced future debt service costs by $2.3 million, the present value of which equaled 6.8</w:t>
      </w:r>
      <w:r w:rsidR="004D5D62">
        <w:t xml:space="preserve"> percent </w:t>
      </w:r>
      <w:r w:rsidRPr="00762CA8">
        <w:t xml:space="preserve">of the bonds being refunded. This ratio comfortably exceeds the savings targets for evaluating such current refunding opportunities identified in the adopted Debt Management </w:t>
      </w:r>
      <w:r w:rsidR="00A34AFA">
        <w:t>Policy</w:t>
      </w:r>
      <w:r w:rsidRPr="00762CA8">
        <w:t>.</w:t>
      </w:r>
      <w:r w:rsidR="00762CA8" w:rsidRPr="00762CA8">
        <w:t xml:space="preserve"> Th</w:t>
      </w:r>
      <w:r w:rsidR="002F53A1">
        <w:t>is</w:t>
      </w:r>
      <w:r w:rsidR="00762CA8" w:rsidRPr="00762CA8">
        <w:t xml:space="preserve"> transaction closed on </w:t>
      </w:r>
      <w:r w:rsidR="002F53A1">
        <w:t>Dec</w:t>
      </w:r>
      <w:r w:rsidR="00762CA8" w:rsidRPr="00762CA8">
        <w:t>ember</w:t>
      </w:r>
      <w:r w:rsidR="002F53A1">
        <w:t xml:space="preserve"> </w:t>
      </w:r>
      <w:r w:rsidR="004D5D62">
        <w:t>1, 2021</w:t>
      </w:r>
      <w:r w:rsidR="00762CA8" w:rsidRPr="00762CA8">
        <w:t>.</w:t>
      </w:r>
      <w:r w:rsidR="002F53A1">
        <w:t xml:space="preserve"> </w:t>
      </w:r>
    </w:p>
    <w:p w14:paraId="72DF6C70" w14:textId="77777777" w:rsidR="004000CC" w:rsidRDefault="004000CC" w:rsidP="002023C0">
      <w:pPr>
        <w:spacing w:after="0" w:line="240" w:lineRule="auto"/>
        <w:rPr>
          <w:color w:val="4472C4"/>
        </w:rPr>
      </w:pPr>
    </w:p>
    <w:p w14:paraId="73578580" w14:textId="3917EDBF" w:rsidR="00BB48FA" w:rsidRDefault="00981F48" w:rsidP="002023C0">
      <w:pPr>
        <w:spacing w:after="0" w:line="240" w:lineRule="auto"/>
      </w:pPr>
      <w:r w:rsidRPr="00152621">
        <w:t>On November 1</w:t>
      </w:r>
      <w:r w:rsidR="004D5D62">
        <w:t>6</w:t>
      </w:r>
      <w:r w:rsidRPr="00152621">
        <w:t>,</w:t>
      </w:r>
      <w:r w:rsidR="004D5D62">
        <w:t xml:space="preserve"> 2021, </w:t>
      </w:r>
      <w:r w:rsidRPr="00152621">
        <w:t xml:space="preserve">the County also </w:t>
      </w:r>
      <w:r w:rsidR="00E21BD6" w:rsidRPr="00152621">
        <w:t xml:space="preserve">sold </w:t>
      </w:r>
      <w:r w:rsidR="00152621" w:rsidRPr="00152621">
        <w:t xml:space="preserve">its </w:t>
      </w:r>
      <w:r w:rsidR="00152621" w:rsidRPr="00152621">
        <w:rPr>
          <w:b/>
          <w:bCs/>
        </w:rPr>
        <w:t>Limited Tax General Obligation Bonds, 2021, Series C (Taxable) (Social Bonds)</w:t>
      </w:r>
      <w:r w:rsidR="00152621" w:rsidRPr="00152621">
        <w:t xml:space="preserve"> in the par amount of </w:t>
      </w:r>
      <w:r w:rsidRPr="00152621">
        <w:t>$466,150,000</w:t>
      </w:r>
      <w:r w:rsidR="00152621" w:rsidRPr="00152621">
        <w:t xml:space="preserve">. </w:t>
      </w:r>
      <w:r w:rsidR="009A5E43">
        <w:t>Although</w:t>
      </w:r>
      <w:r w:rsidR="00C10587">
        <w:t xml:space="preserve"> th</w:t>
      </w:r>
      <w:r w:rsidR="00152621" w:rsidRPr="00152621">
        <w:t>e County</w:t>
      </w:r>
      <w:r w:rsidRPr="00152621">
        <w:t xml:space="preserve"> </w:t>
      </w:r>
      <w:r w:rsidR="00152621" w:rsidRPr="00152621">
        <w:t xml:space="preserve">only </w:t>
      </w:r>
      <w:r w:rsidRPr="00152621">
        <w:t xml:space="preserve">received </w:t>
      </w:r>
      <w:r w:rsidR="000506FE">
        <w:t>five</w:t>
      </w:r>
      <w:r w:rsidRPr="00152621">
        <w:t xml:space="preserve"> bids</w:t>
      </w:r>
      <w:r w:rsidR="00C10587">
        <w:t xml:space="preserve">, this total </w:t>
      </w:r>
      <w:r w:rsidR="004D5D62">
        <w:t xml:space="preserve">is considered a success </w:t>
      </w:r>
      <w:r w:rsidR="00C10587">
        <w:t>given the large size of the transaction</w:t>
      </w:r>
      <w:r w:rsidRPr="00152621">
        <w:t xml:space="preserve">. The winning bid for these </w:t>
      </w:r>
      <w:r w:rsidRPr="00152621">
        <w:lastRenderedPageBreak/>
        <w:t>bonds was provided by B</w:t>
      </w:r>
      <w:r w:rsidR="004D5D62">
        <w:t xml:space="preserve">ank of America </w:t>
      </w:r>
      <w:r w:rsidR="00823E7A">
        <w:t xml:space="preserve">(B of A) </w:t>
      </w:r>
      <w:r w:rsidRPr="00152621">
        <w:t>Securities and offered a TIC of 2.41</w:t>
      </w:r>
      <w:r w:rsidR="004D5D62">
        <w:t xml:space="preserve"> percent</w:t>
      </w:r>
      <w:r w:rsidRPr="00152621">
        <w:t xml:space="preserve"> for the bonds, which have an average life of 11.2 years.  </w:t>
      </w:r>
    </w:p>
    <w:p w14:paraId="23A5E889" w14:textId="77777777" w:rsidR="00BE273A" w:rsidRDefault="00BE273A" w:rsidP="002023C0">
      <w:pPr>
        <w:spacing w:after="0" w:line="240" w:lineRule="auto"/>
      </w:pPr>
    </w:p>
    <w:p w14:paraId="5D32B3F8" w14:textId="283BC584" w:rsidR="00D92E4B" w:rsidRPr="00152621" w:rsidRDefault="00981F48" w:rsidP="002023C0">
      <w:pPr>
        <w:spacing w:after="0" w:line="240" w:lineRule="auto"/>
      </w:pPr>
      <w:r w:rsidRPr="00152621">
        <w:t xml:space="preserve">The proceeds </w:t>
      </w:r>
      <w:r w:rsidR="006F5CAF">
        <w:t xml:space="preserve">of this issue </w:t>
      </w:r>
      <w:r w:rsidRPr="00152621">
        <w:t>will be used to provide $264.0 million of funding for the County’s Health Through Housing (HTH) Initiative and $202.5 million of funding for transit-oriented development (TOD) projects.</w:t>
      </w:r>
      <w:r w:rsidR="00BB48FA">
        <w:t xml:space="preserve"> Because the future ownership and/or management of these projects is uncertain, it was decided that these bonds should be issued on a taxable basis, especially given that the differential between taxable and tax-exempt interest rates was relatively narrow by historical standards</w:t>
      </w:r>
      <w:r w:rsidR="00074D70">
        <w:t>.</w:t>
      </w:r>
    </w:p>
    <w:p w14:paraId="0EA8E7D5" w14:textId="77777777" w:rsidR="00074D70" w:rsidRDefault="00074D70" w:rsidP="002023C0">
      <w:pPr>
        <w:spacing w:after="0" w:line="240" w:lineRule="auto"/>
      </w:pPr>
    </w:p>
    <w:p w14:paraId="2E3CC1EA" w14:textId="6DD7D10A" w:rsidR="00747C84" w:rsidRDefault="00BB48FA" w:rsidP="002023C0">
      <w:pPr>
        <w:spacing w:after="0" w:line="240" w:lineRule="auto"/>
      </w:pPr>
      <w:r>
        <w:t>Since</w:t>
      </w:r>
      <w:r w:rsidR="0097608D" w:rsidRPr="00152621">
        <w:t xml:space="preserve"> the proceeds </w:t>
      </w:r>
      <w:r w:rsidR="00D92E4B" w:rsidRPr="00152621">
        <w:t xml:space="preserve">of the 2021C Bonds </w:t>
      </w:r>
      <w:r w:rsidR="0097608D" w:rsidRPr="00152621">
        <w:t>will</w:t>
      </w:r>
      <w:r w:rsidR="00CD1E81">
        <w:t xml:space="preserve"> </w:t>
      </w:r>
      <w:r w:rsidR="0097608D" w:rsidRPr="00152621">
        <w:t>all be used for affordable housing</w:t>
      </w:r>
      <w:r w:rsidR="00580DB3" w:rsidRPr="00152621">
        <w:t>-related purposes</w:t>
      </w:r>
      <w:r w:rsidR="0097608D" w:rsidRPr="00152621">
        <w:t xml:space="preserve">, </w:t>
      </w:r>
      <w:r w:rsidR="00580DB3" w:rsidRPr="00152621">
        <w:t xml:space="preserve">prior to the sale </w:t>
      </w:r>
      <w:r w:rsidR="00D92E4B" w:rsidRPr="00152621">
        <w:t xml:space="preserve">the County approached the firm of Kestrel Verifiers to </w:t>
      </w:r>
      <w:r w:rsidR="00651EFF" w:rsidRPr="00152621">
        <w:t>pre-qualify</w:t>
      </w:r>
      <w:r w:rsidR="00D92E4B" w:rsidRPr="00152621">
        <w:t xml:space="preserve"> a “Social Bond” designation for these bonds. With such </w:t>
      </w:r>
      <w:r w:rsidR="00666353" w:rsidRPr="00152621">
        <w:t>pre-qualification</w:t>
      </w:r>
      <w:r w:rsidR="00D92E4B" w:rsidRPr="00152621">
        <w:t xml:space="preserve">, underwriters bidding for the bonds had the option of applying this designation to the series in order to make them more attractive to certain groups of investors. </w:t>
      </w:r>
      <w:r w:rsidR="0097608D" w:rsidRPr="00152621">
        <w:t>B</w:t>
      </w:r>
      <w:r w:rsidR="00823E7A">
        <w:t xml:space="preserve"> </w:t>
      </w:r>
      <w:r w:rsidR="0097608D" w:rsidRPr="00152621">
        <w:t>of</w:t>
      </w:r>
      <w:r w:rsidR="00823E7A">
        <w:t xml:space="preserve"> </w:t>
      </w:r>
      <w:r w:rsidR="0097608D" w:rsidRPr="00152621">
        <w:t xml:space="preserve">A Securities, the winning bidder, </w:t>
      </w:r>
      <w:r w:rsidR="00D92E4B" w:rsidRPr="00152621">
        <w:t xml:space="preserve">did </w:t>
      </w:r>
      <w:r w:rsidR="0097608D" w:rsidRPr="00152621">
        <w:t>ch</w:t>
      </w:r>
      <w:r w:rsidR="00D92E4B" w:rsidRPr="00152621">
        <w:t>o</w:t>
      </w:r>
      <w:r w:rsidR="0097608D" w:rsidRPr="00152621">
        <w:t xml:space="preserve">ose to </w:t>
      </w:r>
      <w:r w:rsidR="00D92E4B" w:rsidRPr="00152621">
        <w:t xml:space="preserve">utilize this </w:t>
      </w:r>
      <w:r w:rsidR="0097608D" w:rsidRPr="00152621">
        <w:t>designat</w:t>
      </w:r>
      <w:r w:rsidR="00D92E4B" w:rsidRPr="00152621">
        <w:t>ion</w:t>
      </w:r>
      <w:r w:rsidR="00CD1E81">
        <w:t>.</w:t>
      </w:r>
      <w:r w:rsidR="00842C5F">
        <w:t xml:space="preserve"> </w:t>
      </w:r>
      <w:r w:rsidR="0097608D" w:rsidRPr="00152621">
        <w:t xml:space="preserve">While it is not possible to identify any direct </w:t>
      </w:r>
      <w:r w:rsidR="00CD1E81">
        <w:t xml:space="preserve">quantifiable </w:t>
      </w:r>
      <w:r w:rsidR="0097608D" w:rsidRPr="00152621">
        <w:t xml:space="preserve">benefit </w:t>
      </w:r>
      <w:r w:rsidR="00D92E4B" w:rsidRPr="00152621">
        <w:t xml:space="preserve">from using this designation </w:t>
      </w:r>
      <w:r w:rsidR="00CD1E81">
        <w:t xml:space="preserve">for </w:t>
      </w:r>
      <w:r w:rsidR="0097608D" w:rsidRPr="00152621">
        <w:t xml:space="preserve">the County, it is important to note that the </w:t>
      </w:r>
      <w:r w:rsidR="00D92E4B" w:rsidRPr="00152621">
        <w:t xml:space="preserve">full </w:t>
      </w:r>
      <w:r w:rsidR="0097608D" w:rsidRPr="00152621">
        <w:t>cost for such was incurred solely by B</w:t>
      </w:r>
      <w:r w:rsidR="00823E7A">
        <w:t xml:space="preserve"> </w:t>
      </w:r>
      <w:r w:rsidR="0097608D" w:rsidRPr="00152621">
        <w:t>of</w:t>
      </w:r>
      <w:r w:rsidR="00823E7A">
        <w:t xml:space="preserve"> </w:t>
      </w:r>
      <w:proofErr w:type="gramStart"/>
      <w:r w:rsidR="0097608D" w:rsidRPr="00152621">
        <w:t>A</w:t>
      </w:r>
      <w:proofErr w:type="gramEnd"/>
      <w:r w:rsidR="0097608D" w:rsidRPr="00152621">
        <w:t xml:space="preserve"> Securities and that it did not involve the imposition of any additional reporting requirements on the County.</w:t>
      </w:r>
    </w:p>
    <w:p w14:paraId="522BFE5B" w14:textId="77777777" w:rsidR="00F84010" w:rsidRDefault="00F84010" w:rsidP="002023C0">
      <w:pPr>
        <w:spacing w:after="0" w:line="240" w:lineRule="auto"/>
      </w:pPr>
    </w:p>
    <w:p w14:paraId="5368E4F3" w14:textId="4B89365F" w:rsidR="00747C84" w:rsidRDefault="00747C84" w:rsidP="002023C0">
      <w:pPr>
        <w:pStyle w:val="Heading1"/>
        <w:spacing w:before="0"/>
      </w:pPr>
      <w:bookmarkStart w:id="3" w:name="_Toc97027132"/>
      <w:r>
        <w:t>Next Steps</w:t>
      </w:r>
      <w:bookmarkEnd w:id="3"/>
    </w:p>
    <w:p w14:paraId="69F7B28D" w14:textId="5E89B578" w:rsidR="00747C84" w:rsidRDefault="00747C84" w:rsidP="002023C0">
      <w:pPr>
        <w:spacing w:after="0" w:line="240" w:lineRule="auto"/>
      </w:pPr>
    </w:p>
    <w:p w14:paraId="6403AC29" w14:textId="3468F775" w:rsidR="00747C84" w:rsidRPr="00747C84" w:rsidRDefault="00747C84" w:rsidP="002023C0">
      <w:pPr>
        <w:spacing w:after="0" w:line="240" w:lineRule="auto"/>
      </w:pPr>
      <w:r>
        <w:t>No further steps are necessary.</w:t>
      </w:r>
      <w:r w:rsidR="007E539C">
        <w:t xml:space="preserve"> </w:t>
      </w:r>
      <w:r w:rsidR="00823E7A">
        <w:t xml:space="preserve">The Executive will submit the next </w:t>
      </w:r>
      <w:r w:rsidR="007E539C">
        <w:t xml:space="preserve">FBOD </w:t>
      </w:r>
      <w:r w:rsidR="00D2585D">
        <w:t>report in 2022.</w:t>
      </w:r>
    </w:p>
    <w:p w14:paraId="7A242E38" w14:textId="77777777" w:rsidR="00747C84" w:rsidRDefault="00747C84" w:rsidP="002023C0">
      <w:pPr>
        <w:spacing w:after="0" w:line="240" w:lineRule="auto"/>
      </w:pPr>
    </w:p>
    <w:p w14:paraId="5FC56E31" w14:textId="6BE7ECF3" w:rsidR="00E7755A" w:rsidRDefault="00DC5DE4" w:rsidP="002023C0">
      <w:pPr>
        <w:spacing w:after="0" w:line="240" w:lineRule="auto"/>
      </w:pPr>
      <w:r w:rsidRPr="00152621">
        <w:t xml:space="preserve"> </w:t>
      </w:r>
    </w:p>
    <w:sectPr w:rsidR="00E7755A" w:rsidSect="00B8333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0D52" w14:textId="77777777" w:rsidR="00664723" w:rsidRDefault="00664723" w:rsidP="001A1F09">
      <w:pPr>
        <w:spacing w:after="0" w:line="240" w:lineRule="auto"/>
      </w:pPr>
      <w:r>
        <w:separator/>
      </w:r>
    </w:p>
  </w:endnote>
  <w:endnote w:type="continuationSeparator" w:id="0">
    <w:p w14:paraId="7CB7373F" w14:textId="77777777" w:rsidR="00664723" w:rsidRDefault="00664723" w:rsidP="001A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7F79" w14:textId="77777777" w:rsidR="00A05477" w:rsidRDefault="00A05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826421"/>
      <w:docPartObj>
        <w:docPartGallery w:val="Page Numbers (Bottom of Page)"/>
        <w:docPartUnique/>
      </w:docPartObj>
    </w:sdtPr>
    <w:sdtEndPr>
      <w:rPr>
        <w:rFonts w:ascii="Arial" w:hAnsi="Arial" w:cs="Arial"/>
        <w:noProof/>
      </w:rPr>
    </w:sdtEndPr>
    <w:sdtContent>
      <w:p w14:paraId="44B2CF6E" w14:textId="7C023C30" w:rsidR="005F71C8" w:rsidRPr="005F71C8" w:rsidRDefault="00A05477">
        <w:pPr>
          <w:pStyle w:val="Footer"/>
          <w:rPr>
            <w:rFonts w:ascii="Arial" w:hAnsi="Arial" w:cs="Arial"/>
            <w:color w:val="2E74B5" w:themeColor="accent1" w:themeShade="BF"/>
          </w:rPr>
        </w:pPr>
        <w:r>
          <w:rPr>
            <w:rFonts w:ascii="Arial" w:hAnsi="Arial" w:cs="Arial"/>
            <w:color w:val="2E74B5" w:themeColor="accent1" w:themeShade="BF"/>
          </w:rPr>
          <w:t>2021 A</w:t>
        </w:r>
        <w:r w:rsidR="005F71C8" w:rsidRPr="005F71C8">
          <w:rPr>
            <w:rFonts w:ascii="Arial" w:hAnsi="Arial" w:cs="Arial"/>
            <w:color w:val="2E74B5" w:themeColor="accent1" w:themeShade="BF"/>
          </w:rPr>
          <w:t xml:space="preserve">nnual Report on General Obligation Debt Issuances </w:t>
        </w:r>
      </w:p>
      <w:p w14:paraId="33651DB0" w14:textId="32FD9110" w:rsidR="005F71C8" w:rsidRPr="005F71C8" w:rsidRDefault="005F71C8">
        <w:pPr>
          <w:pStyle w:val="Footer"/>
          <w:rPr>
            <w:rFonts w:ascii="Arial" w:hAnsi="Arial" w:cs="Arial"/>
          </w:rPr>
        </w:pPr>
        <w:r w:rsidRPr="005F71C8">
          <w:rPr>
            <w:rFonts w:ascii="Arial" w:hAnsi="Arial" w:cs="Arial"/>
          </w:rPr>
          <w:t xml:space="preserve">Page | </w:t>
        </w:r>
        <w:r w:rsidRPr="005F71C8">
          <w:rPr>
            <w:rFonts w:ascii="Arial" w:hAnsi="Arial" w:cs="Arial"/>
            <w:b/>
            <w:bCs/>
          </w:rPr>
          <w:fldChar w:fldCharType="begin"/>
        </w:r>
        <w:r w:rsidRPr="005F71C8">
          <w:rPr>
            <w:rFonts w:ascii="Arial" w:hAnsi="Arial" w:cs="Arial"/>
            <w:b/>
            <w:bCs/>
          </w:rPr>
          <w:instrText xml:space="preserve"> PAGE   \* MERGEFORMAT </w:instrText>
        </w:r>
        <w:r w:rsidRPr="005F71C8">
          <w:rPr>
            <w:rFonts w:ascii="Arial" w:hAnsi="Arial" w:cs="Arial"/>
            <w:b/>
            <w:bCs/>
          </w:rPr>
          <w:fldChar w:fldCharType="separate"/>
        </w:r>
        <w:r w:rsidRPr="005F71C8">
          <w:rPr>
            <w:rFonts w:ascii="Arial" w:hAnsi="Arial" w:cs="Arial"/>
            <w:b/>
            <w:bCs/>
            <w:noProof/>
          </w:rPr>
          <w:t>2</w:t>
        </w:r>
        <w:r w:rsidRPr="005F71C8">
          <w:rPr>
            <w:rFonts w:ascii="Arial" w:hAnsi="Arial" w:cs="Arial"/>
            <w:b/>
            <w:bCs/>
            <w:noProof/>
          </w:rPr>
          <w:fldChar w:fldCharType="end"/>
        </w:r>
      </w:p>
    </w:sdtContent>
  </w:sdt>
  <w:p w14:paraId="5DE4A9BB" w14:textId="77777777" w:rsidR="001A1F09" w:rsidRDefault="001A1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EE91" w14:textId="77777777" w:rsidR="00A05477" w:rsidRDefault="00A0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3C81" w14:textId="77777777" w:rsidR="00664723" w:rsidRDefault="00664723" w:rsidP="001A1F09">
      <w:pPr>
        <w:spacing w:after="0" w:line="240" w:lineRule="auto"/>
      </w:pPr>
      <w:r>
        <w:separator/>
      </w:r>
    </w:p>
  </w:footnote>
  <w:footnote w:type="continuationSeparator" w:id="0">
    <w:p w14:paraId="5DDB40DE" w14:textId="77777777" w:rsidR="00664723" w:rsidRDefault="00664723" w:rsidP="001A1F09">
      <w:pPr>
        <w:spacing w:after="0" w:line="240" w:lineRule="auto"/>
      </w:pPr>
      <w:r>
        <w:continuationSeparator/>
      </w:r>
    </w:p>
  </w:footnote>
  <w:footnote w:id="1">
    <w:p w14:paraId="0D864818" w14:textId="73001D95" w:rsidR="0019033D" w:rsidRDefault="0019033D">
      <w:pPr>
        <w:pStyle w:val="FootnoteText"/>
      </w:pPr>
      <w:r>
        <w:rPr>
          <w:rStyle w:val="FootnoteReference"/>
        </w:rPr>
        <w:footnoteRef/>
      </w:r>
      <w:r>
        <w:t xml:space="preserve">  </w:t>
      </w:r>
      <w:hyperlink r:id="rId1" w:history="1">
        <w:r w:rsidRPr="00D42991">
          <w:rPr>
            <w:rStyle w:val="Hyperlink"/>
            <w:sz w:val="22"/>
            <w:szCs w:val="22"/>
          </w:rPr>
          <w:t>Link to Ordinance 19279</w:t>
        </w:r>
      </w:hyperlink>
    </w:p>
  </w:footnote>
  <w:footnote w:id="2">
    <w:p w14:paraId="43747B42" w14:textId="03B8DAD9" w:rsidR="0019033D" w:rsidRDefault="0019033D">
      <w:pPr>
        <w:pStyle w:val="FootnoteText"/>
      </w:pPr>
      <w:r>
        <w:rPr>
          <w:rStyle w:val="FootnoteReference"/>
        </w:rPr>
        <w:footnoteRef/>
      </w:r>
      <w:r>
        <w:t xml:space="preserve">  </w:t>
      </w:r>
      <w:hyperlink r:id="rId2" w:history="1">
        <w:r>
          <w:rPr>
            <w:color w:val="0000FF"/>
            <w:sz w:val="22"/>
            <w:szCs w:val="22"/>
            <w:u w:val="single"/>
          </w:rPr>
          <w:t>Link to Ordinance 19325</w:t>
        </w:r>
      </w:hyperlink>
    </w:p>
  </w:footnote>
  <w:footnote w:id="3">
    <w:p w14:paraId="5EA420E1" w14:textId="43ED4564" w:rsidR="00AE5658" w:rsidRDefault="00AE5658">
      <w:pPr>
        <w:pStyle w:val="FootnoteText"/>
      </w:pPr>
      <w:r>
        <w:rPr>
          <w:rStyle w:val="FootnoteReference"/>
        </w:rPr>
        <w:footnoteRef/>
      </w:r>
      <w:r>
        <w:t xml:space="preserve"> </w:t>
      </w:r>
      <w:r w:rsidR="006025C8">
        <w:t xml:space="preserve"> </w:t>
      </w:r>
      <w:hyperlink r:id="rId3" w:history="1">
        <w:r>
          <w:rPr>
            <w:color w:val="0000FF"/>
            <w:sz w:val="22"/>
            <w:szCs w:val="22"/>
            <w:u w:val="single"/>
          </w:rPr>
          <w:t>Link to Motion 15984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F15E" w14:textId="77777777" w:rsidR="00A05477" w:rsidRDefault="00A05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EAD1" w14:textId="77777777" w:rsidR="00A05477" w:rsidRDefault="00A05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D4D3" w14:textId="0138ADC0" w:rsidR="00101181" w:rsidRDefault="0010118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696E"/>
    <w:multiLevelType w:val="hybridMultilevel"/>
    <w:tmpl w:val="C264FCB0"/>
    <w:lvl w:ilvl="0" w:tplc="7DA24D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BE3DBE"/>
    <w:multiLevelType w:val="hybridMultilevel"/>
    <w:tmpl w:val="B6460D42"/>
    <w:lvl w:ilvl="0" w:tplc="BABE9C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6DF4"/>
    <w:multiLevelType w:val="hybridMultilevel"/>
    <w:tmpl w:val="26DE9468"/>
    <w:lvl w:ilvl="0" w:tplc="F670A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208AC"/>
    <w:multiLevelType w:val="hybridMultilevel"/>
    <w:tmpl w:val="B21A12FE"/>
    <w:lvl w:ilvl="0" w:tplc="F822B7E0">
      <w:start w:val="1"/>
      <w:numFmt w:val="upperRoman"/>
      <w:pStyle w:val="Heading1"/>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C03C17"/>
    <w:multiLevelType w:val="hybridMultilevel"/>
    <w:tmpl w:val="FB80F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EB"/>
    <w:rsid w:val="000076FB"/>
    <w:rsid w:val="000368B2"/>
    <w:rsid w:val="000451A8"/>
    <w:rsid w:val="00045C14"/>
    <w:rsid w:val="000506FE"/>
    <w:rsid w:val="00067B28"/>
    <w:rsid w:val="0007380B"/>
    <w:rsid w:val="00073A90"/>
    <w:rsid w:val="00074D70"/>
    <w:rsid w:val="00081BFE"/>
    <w:rsid w:val="00081D19"/>
    <w:rsid w:val="00082A2E"/>
    <w:rsid w:val="000956F5"/>
    <w:rsid w:val="000A5C30"/>
    <w:rsid w:val="000B2231"/>
    <w:rsid w:val="000B6786"/>
    <w:rsid w:val="000C399B"/>
    <w:rsid w:val="000C7136"/>
    <w:rsid w:val="000F2899"/>
    <w:rsid w:val="000F50A7"/>
    <w:rsid w:val="000F7C24"/>
    <w:rsid w:val="00101181"/>
    <w:rsid w:val="00104B66"/>
    <w:rsid w:val="00106524"/>
    <w:rsid w:val="00111EE1"/>
    <w:rsid w:val="00117E64"/>
    <w:rsid w:val="00131A40"/>
    <w:rsid w:val="00134862"/>
    <w:rsid w:val="00147A31"/>
    <w:rsid w:val="00152135"/>
    <w:rsid w:val="00152621"/>
    <w:rsid w:val="001531E1"/>
    <w:rsid w:val="00165A58"/>
    <w:rsid w:val="00167CDB"/>
    <w:rsid w:val="00171A87"/>
    <w:rsid w:val="00184D33"/>
    <w:rsid w:val="00186F6D"/>
    <w:rsid w:val="0019033D"/>
    <w:rsid w:val="00194C12"/>
    <w:rsid w:val="001A1F09"/>
    <w:rsid w:val="001A38B0"/>
    <w:rsid w:val="001B0F0B"/>
    <w:rsid w:val="001B3F59"/>
    <w:rsid w:val="001B69EC"/>
    <w:rsid w:val="001C7FF2"/>
    <w:rsid w:val="001D1824"/>
    <w:rsid w:val="001D280D"/>
    <w:rsid w:val="001D5D30"/>
    <w:rsid w:val="001E371C"/>
    <w:rsid w:val="001E37DB"/>
    <w:rsid w:val="002012FE"/>
    <w:rsid w:val="002022FA"/>
    <w:rsid w:val="002023C0"/>
    <w:rsid w:val="0020289B"/>
    <w:rsid w:val="00203A56"/>
    <w:rsid w:val="002120CE"/>
    <w:rsid w:val="002133CB"/>
    <w:rsid w:val="002175E8"/>
    <w:rsid w:val="00230FC0"/>
    <w:rsid w:val="0023202B"/>
    <w:rsid w:val="00252CE0"/>
    <w:rsid w:val="00263B93"/>
    <w:rsid w:val="00273C79"/>
    <w:rsid w:val="00284D34"/>
    <w:rsid w:val="00286B82"/>
    <w:rsid w:val="00297CBB"/>
    <w:rsid w:val="002A00B6"/>
    <w:rsid w:val="002C5919"/>
    <w:rsid w:val="002D377C"/>
    <w:rsid w:val="002D40F5"/>
    <w:rsid w:val="002D699A"/>
    <w:rsid w:val="002E663F"/>
    <w:rsid w:val="002F53A1"/>
    <w:rsid w:val="00304156"/>
    <w:rsid w:val="00310431"/>
    <w:rsid w:val="00316F4B"/>
    <w:rsid w:val="003177E5"/>
    <w:rsid w:val="0032552A"/>
    <w:rsid w:val="0033454A"/>
    <w:rsid w:val="003453FA"/>
    <w:rsid w:val="00347C84"/>
    <w:rsid w:val="00363492"/>
    <w:rsid w:val="00384CA5"/>
    <w:rsid w:val="0038587B"/>
    <w:rsid w:val="00387069"/>
    <w:rsid w:val="003922F0"/>
    <w:rsid w:val="00392457"/>
    <w:rsid w:val="0039562C"/>
    <w:rsid w:val="003A0AF2"/>
    <w:rsid w:val="003A5DD1"/>
    <w:rsid w:val="003B3D3A"/>
    <w:rsid w:val="003D3D2A"/>
    <w:rsid w:val="003D5328"/>
    <w:rsid w:val="003E0A5E"/>
    <w:rsid w:val="003E5C8D"/>
    <w:rsid w:val="003F0CED"/>
    <w:rsid w:val="003F5B9D"/>
    <w:rsid w:val="004000CC"/>
    <w:rsid w:val="00415E50"/>
    <w:rsid w:val="00425D9F"/>
    <w:rsid w:val="00434189"/>
    <w:rsid w:val="00434BE0"/>
    <w:rsid w:val="004469A9"/>
    <w:rsid w:val="00450D5E"/>
    <w:rsid w:val="00453619"/>
    <w:rsid w:val="0049503F"/>
    <w:rsid w:val="00497B5C"/>
    <w:rsid w:val="00497E37"/>
    <w:rsid w:val="004B58BD"/>
    <w:rsid w:val="004C0DD4"/>
    <w:rsid w:val="004C12EB"/>
    <w:rsid w:val="004C1F77"/>
    <w:rsid w:val="004C6F8B"/>
    <w:rsid w:val="004D597B"/>
    <w:rsid w:val="004D5D62"/>
    <w:rsid w:val="004E2160"/>
    <w:rsid w:val="004E37A5"/>
    <w:rsid w:val="004E5D27"/>
    <w:rsid w:val="004E6839"/>
    <w:rsid w:val="0050094E"/>
    <w:rsid w:val="00501949"/>
    <w:rsid w:val="00502DB5"/>
    <w:rsid w:val="00504DD3"/>
    <w:rsid w:val="00512CC6"/>
    <w:rsid w:val="00515FEE"/>
    <w:rsid w:val="005325BC"/>
    <w:rsid w:val="00544C15"/>
    <w:rsid w:val="00553081"/>
    <w:rsid w:val="00553D13"/>
    <w:rsid w:val="00562FC1"/>
    <w:rsid w:val="00564CBA"/>
    <w:rsid w:val="00573E1D"/>
    <w:rsid w:val="00575FE1"/>
    <w:rsid w:val="00580DB3"/>
    <w:rsid w:val="00583490"/>
    <w:rsid w:val="00585739"/>
    <w:rsid w:val="005A15B3"/>
    <w:rsid w:val="005A1E11"/>
    <w:rsid w:val="005B5A07"/>
    <w:rsid w:val="005C2641"/>
    <w:rsid w:val="005D41F5"/>
    <w:rsid w:val="005D575D"/>
    <w:rsid w:val="005D7D84"/>
    <w:rsid w:val="005E5333"/>
    <w:rsid w:val="005F1672"/>
    <w:rsid w:val="005F22FD"/>
    <w:rsid w:val="005F71C8"/>
    <w:rsid w:val="006025C8"/>
    <w:rsid w:val="006168D5"/>
    <w:rsid w:val="0062026B"/>
    <w:rsid w:val="006223DF"/>
    <w:rsid w:val="00635D34"/>
    <w:rsid w:val="00644438"/>
    <w:rsid w:val="00647390"/>
    <w:rsid w:val="006510F6"/>
    <w:rsid w:val="00651EFF"/>
    <w:rsid w:val="006627DE"/>
    <w:rsid w:val="00664723"/>
    <w:rsid w:val="00666353"/>
    <w:rsid w:val="00666EF5"/>
    <w:rsid w:val="006737CA"/>
    <w:rsid w:val="00680C30"/>
    <w:rsid w:val="00684419"/>
    <w:rsid w:val="00684689"/>
    <w:rsid w:val="00691EBC"/>
    <w:rsid w:val="006A2465"/>
    <w:rsid w:val="006A24F9"/>
    <w:rsid w:val="006B5218"/>
    <w:rsid w:val="006C08B3"/>
    <w:rsid w:val="006C1F09"/>
    <w:rsid w:val="006C5FAB"/>
    <w:rsid w:val="006D61B7"/>
    <w:rsid w:val="006E0758"/>
    <w:rsid w:val="006F0CFC"/>
    <w:rsid w:val="006F23A8"/>
    <w:rsid w:val="006F5CAF"/>
    <w:rsid w:val="006F73B3"/>
    <w:rsid w:val="00705E23"/>
    <w:rsid w:val="007171CE"/>
    <w:rsid w:val="00732094"/>
    <w:rsid w:val="00747C84"/>
    <w:rsid w:val="00750860"/>
    <w:rsid w:val="00753640"/>
    <w:rsid w:val="007569D2"/>
    <w:rsid w:val="00762CA8"/>
    <w:rsid w:val="00767475"/>
    <w:rsid w:val="0076768F"/>
    <w:rsid w:val="00770991"/>
    <w:rsid w:val="00773A01"/>
    <w:rsid w:val="00774742"/>
    <w:rsid w:val="00780725"/>
    <w:rsid w:val="00781DFC"/>
    <w:rsid w:val="00784771"/>
    <w:rsid w:val="007943A3"/>
    <w:rsid w:val="007A393F"/>
    <w:rsid w:val="007A45F2"/>
    <w:rsid w:val="007A4829"/>
    <w:rsid w:val="007B0D8C"/>
    <w:rsid w:val="007C2BFE"/>
    <w:rsid w:val="007C3EF6"/>
    <w:rsid w:val="007D2C29"/>
    <w:rsid w:val="007D335C"/>
    <w:rsid w:val="007E539C"/>
    <w:rsid w:val="007E53A3"/>
    <w:rsid w:val="007F2873"/>
    <w:rsid w:val="007F4C98"/>
    <w:rsid w:val="007F60A9"/>
    <w:rsid w:val="00800B52"/>
    <w:rsid w:val="008012FD"/>
    <w:rsid w:val="008165F1"/>
    <w:rsid w:val="00817556"/>
    <w:rsid w:val="0082078E"/>
    <w:rsid w:val="00823E7A"/>
    <w:rsid w:val="00831D89"/>
    <w:rsid w:val="008323CD"/>
    <w:rsid w:val="008370AD"/>
    <w:rsid w:val="008429E5"/>
    <w:rsid w:val="00842C5F"/>
    <w:rsid w:val="00874F96"/>
    <w:rsid w:val="008750C9"/>
    <w:rsid w:val="0088305A"/>
    <w:rsid w:val="008A74B1"/>
    <w:rsid w:val="008B5791"/>
    <w:rsid w:val="008C3E56"/>
    <w:rsid w:val="008E0677"/>
    <w:rsid w:val="008F7C33"/>
    <w:rsid w:val="00917200"/>
    <w:rsid w:val="00930BB2"/>
    <w:rsid w:val="0093405B"/>
    <w:rsid w:val="00942DFF"/>
    <w:rsid w:val="00951009"/>
    <w:rsid w:val="009553DB"/>
    <w:rsid w:val="0097608D"/>
    <w:rsid w:val="00976BFD"/>
    <w:rsid w:val="00981D4A"/>
    <w:rsid w:val="00981F48"/>
    <w:rsid w:val="009856C6"/>
    <w:rsid w:val="0099690F"/>
    <w:rsid w:val="00997630"/>
    <w:rsid w:val="009A5E43"/>
    <w:rsid w:val="009B71A4"/>
    <w:rsid w:val="009B727A"/>
    <w:rsid w:val="009D1B28"/>
    <w:rsid w:val="009E4CC3"/>
    <w:rsid w:val="009F046D"/>
    <w:rsid w:val="009F6B10"/>
    <w:rsid w:val="00A02728"/>
    <w:rsid w:val="00A05477"/>
    <w:rsid w:val="00A071A7"/>
    <w:rsid w:val="00A11B2A"/>
    <w:rsid w:val="00A316F8"/>
    <w:rsid w:val="00A34AFA"/>
    <w:rsid w:val="00A41181"/>
    <w:rsid w:val="00A650B2"/>
    <w:rsid w:val="00A66A1D"/>
    <w:rsid w:val="00A7793D"/>
    <w:rsid w:val="00A83FE8"/>
    <w:rsid w:val="00A84E03"/>
    <w:rsid w:val="00A9131A"/>
    <w:rsid w:val="00A920CA"/>
    <w:rsid w:val="00A939B7"/>
    <w:rsid w:val="00A94B6D"/>
    <w:rsid w:val="00AA47CF"/>
    <w:rsid w:val="00AA7FB4"/>
    <w:rsid w:val="00AB07BA"/>
    <w:rsid w:val="00AB33BA"/>
    <w:rsid w:val="00AB66BF"/>
    <w:rsid w:val="00AB7434"/>
    <w:rsid w:val="00AC0A56"/>
    <w:rsid w:val="00AD43BA"/>
    <w:rsid w:val="00AE41DE"/>
    <w:rsid w:val="00AE5658"/>
    <w:rsid w:val="00B22FEF"/>
    <w:rsid w:val="00B42665"/>
    <w:rsid w:val="00B42DCA"/>
    <w:rsid w:val="00B46E1B"/>
    <w:rsid w:val="00B625EB"/>
    <w:rsid w:val="00B62BEA"/>
    <w:rsid w:val="00B65CE9"/>
    <w:rsid w:val="00B80CD0"/>
    <w:rsid w:val="00B83333"/>
    <w:rsid w:val="00B839B2"/>
    <w:rsid w:val="00B87CC0"/>
    <w:rsid w:val="00B91AF0"/>
    <w:rsid w:val="00B960FD"/>
    <w:rsid w:val="00B970A1"/>
    <w:rsid w:val="00BA44BF"/>
    <w:rsid w:val="00BA4961"/>
    <w:rsid w:val="00BB43FC"/>
    <w:rsid w:val="00BB48FA"/>
    <w:rsid w:val="00BD07E4"/>
    <w:rsid w:val="00BD1508"/>
    <w:rsid w:val="00BE0805"/>
    <w:rsid w:val="00BE1918"/>
    <w:rsid w:val="00BE273A"/>
    <w:rsid w:val="00BE405A"/>
    <w:rsid w:val="00BE5D1E"/>
    <w:rsid w:val="00BE6ED4"/>
    <w:rsid w:val="00BE7D27"/>
    <w:rsid w:val="00C024E1"/>
    <w:rsid w:val="00C10587"/>
    <w:rsid w:val="00C216D6"/>
    <w:rsid w:val="00C36BF5"/>
    <w:rsid w:val="00C56342"/>
    <w:rsid w:val="00C56818"/>
    <w:rsid w:val="00C569CA"/>
    <w:rsid w:val="00C604B6"/>
    <w:rsid w:val="00C61E7F"/>
    <w:rsid w:val="00C652B8"/>
    <w:rsid w:val="00C94090"/>
    <w:rsid w:val="00C94D84"/>
    <w:rsid w:val="00CA7CC3"/>
    <w:rsid w:val="00CB068A"/>
    <w:rsid w:val="00CB11F6"/>
    <w:rsid w:val="00CB4799"/>
    <w:rsid w:val="00CB58C4"/>
    <w:rsid w:val="00CC35D0"/>
    <w:rsid w:val="00CC7044"/>
    <w:rsid w:val="00CC7462"/>
    <w:rsid w:val="00CD1E81"/>
    <w:rsid w:val="00CD6865"/>
    <w:rsid w:val="00CD7F6C"/>
    <w:rsid w:val="00CE1963"/>
    <w:rsid w:val="00CE70D9"/>
    <w:rsid w:val="00D03079"/>
    <w:rsid w:val="00D05257"/>
    <w:rsid w:val="00D21F53"/>
    <w:rsid w:val="00D22387"/>
    <w:rsid w:val="00D2585D"/>
    <w:rsid w:val="00D33B0E"/>
    <w:rsid w:val="00D374F1"/>
    <w:rsid w:val="00D42991"/>
    <w:rsid w:val="00D5289B"/>
    <w:rsid w:val="00D55AE2"/>
    <w:rsid w:val="00D56777"/>
    <w:rsid w:val="00D57D21"/>
    <w:rsid w:val="00D61037"/>
    <w:rsid w:val="00D677D3"/>
    <w:rsid w:val="00D77BB6"/>
    <w:rsid w:val="00D84DF4"/>
    <w:rsid w:val="00D8770C"/>
    <w:rsid w:val="00D91038"/>
    <w:rsid w:val="00D92E4B"/>
    <w:rsid w:val="00D93E87"/>
    <w:rsid w:val="00DB05A4"/>
    <w:rsid w:val="00DC3290"/>
    <w:rsid w:val="00DC4375"/>
    <w:rsid w:val="00DC5DE4"/>
    <w:rsid w:val="00E004CF"/>
    <w:rsid w:val="00E00880"/>
    <w:rsid w:val="00E00B19"/>
    <w:rsid w:val="00E01994"/>
    <w:rsid w:val="00E1041B"/>
    <w:rsid w:val="00E1620B"/>
    <w:rsid w:val="00E21BD6"/>
    <w:rsid w:val="00E332BC"/>
    <w:rsid w:val="00E34F4F"/>
    <w:rsid w:val="00E35647"/>
    <w:rsid w:val="00E41A98"/>
    <w:rsid w:val="00E43464"/>
    <w:rsid w:val="00E45C55"/>
    <w:rsid w:val="00E4608B"/>
    <w:rsid w:val="00E46CBC"/>
    <w:rsid w:val="00E52253"/>
    <w:rsid w:val="00E54B56"/>
    <w:rsid w:val="00E61E35"/>
    <w:rsid w:val="00E71F84"/>
    <w:rsid w:val="00E7755A"/>
    <w:rsid w:val="00E779E8"/>
    <w:rsid w:val="00E80BE6"/>
    <w:rsid w:val="00EA491F"/>
    <w:rsid w:val="00EC3203"/>
    <w:rsid w:val="00EC4B06"/>
    <w:rsid w:val="00ED7344"/>
    <w:rsid w:val="00EE26CF"/>
    <w:rsid w:val="00EE6117"/>
    <w:rsid w:val="00EF2D9D"/>
    <w:rsid w:val="00F07F45"/>
    <w:rsid w:val="00F11FF9"/>
    <w:rsid w:val="00F12936"/>
    <w:rsid w:val="00F12DBA"/>
    <w:rsid w:val="00F31E84"/>
    <w:rsid w:val="00F36CEC"/>
    <w:rsid w:val="00F40243"/>
    <w:rsid w:val="00F40677"/>
    <w:rsid w:val="00F46476"/>
    <w:rsid w:val="00F608B2"/>
    <w:rsid w:val="00F61F1A"/>
    <w:rsid w:val="00F627C4"/>
    <w:rsid w:val="00F70657"/>
    <w:rsid w:val="00F746C4"/>
    <w:rsid w:val="00F84010"/>
    <w:rsid w:val="00F9045D"/>
    <w:rsid w:val="00F96204"/>
    <w:rsid w:val="00FA27A4"/>
    <w:rsid w:val="00FD2642"/>
    <w:rsid w:val="00FD48BC"/>
    <w:rsid w:val="00FE0581"/>
    <w:rsid w:val="00FE100B"/>
    <w:rsid w:val="00FE2661"/>
    <w:rsid w:val="00FE3046"/>
    <w:rsid w:val="00FE3B59"/>
    <w:rsid w:val="00FE5704"/>
    <w:rsid w:val="00FF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D5F15"/>
  <w15:chartTrackingRefBased/>
  <w15:docId w15:val="{3F03392A-831B-4F28-A86A-00C7B4CB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0094E"/>
    <w:pPr>
      <w:keepNext/>
      <w:keepLines/>
      <w:numPr>
        <w:numId w:val="4"/>
      </w:numPr>
      <w:spacing w:before="240" w:after="0" w:line="240" w:lineRule="auto"/>
      <w:outlineLvl w:val="0"/>
    </w:pPr>
    <w:rPr>
      <w:rFonts w:eastAsiaTheme="majorEastAsia" w:cstheme="minorHAnsi"/>
      <w:b/>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63F"/>
    <w:pPr>
      <w:ind w:left="720"/>
      <w:contextualSpacing/>
    </w:pPr>
  </w:style>
  <w:style w:type="paragraph" w:styleId="BalloonText">
    <w:name w:val="Balloon Text"/>
    <w:basedOn w:val="Normal"/>
    <w:link w:val="BalloonTextChar"/>
    <w:uiPriority w:val="99"/>
    <w:semiHidden/>
    <w:unhideWhenUsed/>
    <w:rsid w:val="00B9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AF0"/>
    <w:rPr>
      <w:rFonts w:ascii="Segoe UI" w:hAnsi="Segoe UI" w:cs="Segoe UI"/>
      <w:sz w:val="18"/>
      <w:szCs w:val="18"/>
    </w:rPr>
  </w:style>
  <w:style w:type="paragraph" w:styleId="Header">
    <w:name w:val="header"/>
    <w:basedOn w:val="Normal"/>
    <w:link w:val="HeaderChar"/>
    <w:uiPriority w:val="99"/>
    <w:unhideWhenUsed/>
    <w:rsid w:val="001A1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F09"/>
  </w:style>
  <w:style w:type="paragraph" w:styleId="Footer">
    <w:name w:val="footer"/>
    <w:basedOn w:val="Normal"/>
    <w:link w:val="FooterChar"/>
    <w:uiPriority w:val="99"/>
    <w:unhideWhenUsed/>
    <w:rsid w:val="001A1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F09"/>
  </w:style>
  <w:style w:type="character" w:styleId="CommentReference">
    <w:name w:val="annotation reference"/>
    <w:basedOn w:val="DefaultParagraphFont"/>
    <w:uiPriority w:val="99"/>
    <w:semiHidden/>
    <w:unhideWhenUsed/>
    <w:rsid w:val="00E00880"/>
    <w:rPr>
      <w:sz w:val="16"/>
      <w:szCs w:val="16"/>
    </w:rPr>
  </w:style>
  <w:style w:type="paragraph" w:styleId="CommentText">
    <w:name w:val="annotation text"/>
    <w:basedOn w:val="Normal"/>
    <w:link w:val="CommentTextChar"/>
    <w:uiPriority w:val="99"/>
    <w:semiHidden/>
    <w:unhideWhenUsed/>
    <w:rsid w:val="00E00880"/>
    <w:pPr>
      <w:spacing w:line="240" w:lineRule="auto"/>
    </w:pPr>
    <w:rPr>
      <w:sz w:val="20"/>
      <w:szCs w:val="20"/>
    </w:rPr>
  </w:style>
  <w:style w:type="character" w:customStyle="1" w:styleId="CommentTextChar">
    <w:name w:val="Comment Text Char"/>
    <w:basedOn w:val="DefaultParagraphFont"/>
    <w:link w:val="CommentText"/>
    <w:uiPriority w:val="99"/>
    <w:semiHidden/>
    <w:rsid w:val="00E00880"/>
    <w:rPr>
      <w:sz w:val="20"/>
      <w:szCs w:val="20"/>
    </w:rPr>
  </w:style>
  <w:style w:type="paragraph" w:styleId="CommentSubject">
    <w:name w:val="annotation subject"/>
    <w:basedOn w:val="CommentText"/>
    <w:next w:val="CommentText"/>
    <w:link w:val="CommentSubjectChar"/>
    <w:uiPriority w:val="99"/>
    <w:semiHidden/>
    <w:unhideWhenUsed/>
    <w:rsid w:val="00E00880"/>
    <w:rPr>
      <w:b/>
      <w:bCs/>
    </w:rPr>
  </w:style>
  <w:style w:type="character" w:customStyle="1" w:styleId="CommentSubjectChar">
    <w:name w:val="Comment Subject Char"/>
    <w:basedOn w:val="CommentTextChar"/>
    <w:link w:val="CommentSubject"/>
    <w:uiPriority w:val="99"/>
    <w:semiHidden/>
    <w:rsid w:val="00E00880"/>
    <w:rPr>
      <w:b/>
      <w:bCs/>
      <w:sz w:val="20"/>
      <w:szCs w:val="20"/>
    </w:rPr>
  </w:style>
  <w:style w:type="paragraph" w:styleId="NoSpacing">
    <w:name w:val="No Spacing"/>
    <w:link w:val="NoSpacingChar"/>
    <w:uiPriority w:val="1"/>
    <w:qFormat/>
    <w:rsid w:val="009D1B28"/>
    <w:pPr>
      <w:spacing w:after="0" w:line="240" w:lineRule="auto"/>
    </w:pPr>
    <w:rPr>
      <w:rFonts w:eastAsiaTheme="minorEastAsia"/>
    </w:rPr>
  </w:style>
  <w:style w:type="character" w:customStyle="1" w:styleId="NoSpacingChar">
    <w:name w:val="No Spacing Char"/>
    <w:basedOn w:val="DefaultParagraphFont"/>
    <w:link w:val="NoSpacing"/>
    <w:uiPriority w:val="1"/>
    <w:rsid w:val="009D1B28"/>
    <w:rPr>
      <w:rFonts w:eastAsiaTheme="minorEastAsia"/>
    </w:rPr>
  </w:style>
  <w:style w:type="character" w:customStyle="1" w:styleId="Heading1Char">
    <w:name w:val="Heading 1 Char"/>
    <w:basedOn w:val="DefaultParagraphFont"/>
    <w:link w:val="Heading1"/>
    <w:uiPriority w:val="9"/>
    <w:rsid w:val="0050094E"/>
    <w:rPr>
      <w:rFonts w:eastAsiaTheme="majorEastAsia" w:cstheme="minorHAnsi"/>
      <w:b/>
      <w:color w:val="2E74B5" w:themeColor="accent1" w:themeShade="BF"/>
      <w:sz w:val="28"/>
      <w:szCs w:val="28"/>
    </w:rPr>
  </w:style>
  <w:style w:type="paragraph" w:styleId="TOCHeading">
    <w:name w:val="TOC Heading"/>
    <w:basedOn w:val="Heading1"/>
    <w:next w:val="Normal"/>
    <w:uiPriority w:val="39"/>
    <w:unhideWhenUsed/>
    <w:qFormat/>
    <w:rsid w:val="0050094E"/>
    <w:pPr>
      <w:spacing w:line="259" w:lineRule="auto"/>
      <w:outlineLvl w:val="9"/>
    </w:pPr>
  </w:style>
  <w:style w:type="paragraph" w:styleId="TOC1">
    <w:name w:val="toc 1"/>
    <w:basedOn w:val="Normal"/>
    <w:next w:val="Normal"/>
    <w:autoRedefine/>
    <w:uiPriority w:val="39"/>
    <w:unhideWhenUsed/>
    <w:rsid w:val="00186F6D"/>
    <w:pPr>
      <w:tabs>
        <w:tab w:val="left" w:pos="720"/>
        <w:tab w:val="right" w:leader="dot" w:pos="9350"/>
      </w:tabs>
      <w:spacing w:after="100" w:line="240" w:lineRule="auto"/>
    </w:pPr>
    <w:rPr>
      <w:rFonts w:ascii="Arial" w:hAnsi="Arial" w:cs="Arial"/>
      <w:noProof/>
    </w:rPr>
  </w:style>
  <w:style w:type="paragraph" w:styleId="TOC2">
    <w:name w:val="toc 2"/>
    <w:basedOn w:val="Normal"/>
    <w:next w:val="Normal"/>
    <w:autoRedefine/>
    <w:uiPriority w:val="39"/>
    <w:unhideWhenUsed/>
    <w:rsid w:val="0050094E"/>
    <w:pPr>
      <w:tabs>
        <w:tab w:val="right" w:leader="dot" w:pos="9350"/>
      </w:tabs>
      <w:spacing w:after="100" w:line="240" w:lineRule="auto"/>
      <w:ind w:left="270"/>
    </w:pPr>
    <w:rPr>
      <w:rFonts w:ascii="Calibri" w:hAnsi="Calibri" w:cs="Calibri"/>
    </w:rPr>
  </w:style>
  <w:style w:type="character" w:styleId="Hyperlink">
    <w:name w:val="Hyperlink"/>
    <w:basedOn w:val="DefaultParagraphFont"/>
    <w:uiPriority w:val="99"/>
    <w:unhideWhenUsed/>
    <w:rsid w:val="0050094E"/>
    <w:rPr>
      <w:color w:val="0563C1" w:themeColor="hyperlink"/>
      <w:u w:val="single"/>
    </w:rPr>
  </w:style>
  <w:style w:type="character" w:styleId="FootnoteReference">
    <w:name w:val="footnote reference"/>
    <w:basedOn w:val="DefaultParagraphFont"/>
    <w:uiPriority w:val="99"/>
    <w:semiHidden/>
    <w:unhideWhenUsed/>
    <w:rsid w:val="004C0DD4"/>
    <w:rPr>
      <w:vertAlign w:val="superscript"/>
    </w:rPr>
  </w:style>
  <w:style w:type="character" w:customStyle="1" w:styleId="UnresolvedMention1">
    <w:name w:val="Unresolved Mention1"/>
    <w:basedOn w:val="DefaultParagraphFont"/>
    <w:uiPriority w:val="99"/>
    <w:semiHidden/>
    <w:unhideWhenUsed/>
    <w:rsid w:val="003A0AF2"/>
    <w:rPr>
      <w:color w:val="605E5C"/>
      <w:shd w:val="clear" w:color="auto" w:fill="E1DFDD"/>
    </w:rPr>
  </w:style>
  <w:style w:type="paragraph" w:styleId="FootnoteText">
    <w:name w:val="footnote text"/>
    <w:basedOn w:val="Normal"/>
    <w:link w:val="FootnoteTextChar"/>
    <w:uiPriority w:val="99"/>
    <w:semiHidden/>
    <w:unhideWhenUsed/>
    <w:rsid w:val="00B80C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CD0"/>
    <w:rPr>
      <w:sz w:val="20"/>
      <w:szCs w:val="20"/>
    </w:rPr>
  </w:style>
  <w:style w:type="paragraph" w:customStyle="1" w:styleId="xmsonormal">
    <w:name w:val="xmsonormal"/>
    <w:basedOn w:val="Normal"/>
    <w:rsid w:val="00ED734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F40677"/>
    <w:rPr>
      <w:color w:val="605E5C"/>
      <w:shd w:val="clear" w:color="auto" w:fill="E1DFDD"/>
    </w:rPr>
  </w:style>
  <w:style w:type="character" w:styleId="FollowedHyperlink">
    <w:name w:val="FollowedHyperlink"/>
    <w:basedOn w:val="DefaultParagraphFont"/>
    <w:uiPriority w:val="99"/>
    <w:semiHidden/>
    <w:unhideWhenUsed/>
    <w:rsid w:val="00F40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877">
      <w:bodyDiv w:val="1"/>
      <w:marLeft w:val="0"/>
      <w:marRight w:val="0"/>
      <w:marTop w:val="0"/>
      <w:marBottom w:val="0"/>
      <w:divBdr>
        <w:top w:val="none" w:sz="0" w:space="0" w:color="auto"/>
        <w:left w:val="none" w:sz="0" w:space="0" w:color="auto"/>
        <w:bottom w:val="none" w:sz="0" w:space="0" w:color="auto"/>
        <w:right w:val="none" w:sz="0" w:space="0" w:color="auto"/>
      </w:divBdr>
    </w:div>
    <w:div w:id="120863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mkcclegisearch.kingcounty.gov/LegislationDetail.aspx?ID=5122763&amp;GUID=6DB14047-6C76-4BBD-A669-9B8C8647C379&amp;Options=Advanced&amp;Search=" TargetMode="External"/><Relationship Id="rId2" Type="http://schemas.openxmlformats.org/officeDocument/2006/relationships/hyperlink" Target="https://mkcclegisearch.kingcounty.gov/View.ashx?M=F&amp;ID=9832414&amp;GUID=38ADB4EE-3291-4B06-95D5-F6B025857647" TargetMode="External"/><Relationship Id="rId1" Type="http://schemas.openxmlformats.org/officeDocument/2006/relationships/hyperlink" Target="https://mkcclegisearch.kingcounty.gov/View.ashx?M=F&amp;ID=9424600&amp;GUID=5C5A86A1-3FB6-4772-AF3C-5A193E12F3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viewer Log" ma:contentTypeID="0x010100D03C1FEDB24A304B88B22491CFC09769003AFEC870DAFA594B9D866D000FDCF172" ma:contentTypeVersion="14" ma:contentTypeDescription="" ma:contentTypeScope="" ma:versionID="cea6b5efe6e79afc30ef84729ecc7554">
  <xsd:schema xmlns:xsd="http://www.w3.org/2001/XMLSchema" xmlns:xs="http://www.w3.org/2001/XMLSchema" xmlns:p="http://schemas.microsoft.com/office/2006/metadata/properties" xmlns:ns1="http://schemas.microsoft.com/sharepoint/v3" xmlns:ns2="cc811197-5a73-4d86-a206-c117da05ddaa" xmlns:ns3="4014f290-5a86-44a6-bf90-5365310a716f" targetNamespace="http://schemas.microsoft.com/office/2006/metadata/properties" ma:root="true" ma:fieldsID="6a4476b2222416b36b3f6caae567fc56" ns1:_="" ns2:_="" ns3:_="">
    <xsd:import namespace="http://schemas.microsoft.com/sharepoint/v3"/>
    <xsd:import namespace="cc811197-5a73-4d86-a206-c117da05ddaa"/>
    <xsd:import namespace="4014f290-5a86-44a6-bf90-5365310a716f"/>
    <xsd:element name="properties">
      <xsd:complexType>
        <xsd:sequence>
          <xsd:element name="documentManagement">
            <xsd:complexType>
              <xsd:all>
                <xsd:element ref="ns1:AssignedTo" minOccurs="0"/>
                <xsd:element ref="ns2:SharedWithUsers" minOccurs="0"/>
                <xsd:element ref="ns2:SharingHintHash" minOccurs="0"/>
                <xsd:element ref="ns2:SharedWithDetails" minOccurs="0"/>
                <xsd:element ref="ns3:MediaServiceMetadata" minOccurs="0"/>
                <xsd:element ref="ns3:MediaServiceFastMetadata" minOccurs="0"/>
                <xsd:element ref="ns3:PSB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4f290-5a86-44a6-bf90-5365310a716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SBReviewer" ma:index="14" nillable="true" ma:displayName="PSB Reviewer" ma:format="Dropdown" ma:list="UserInfo" ma:SharePointGroup="0" ma:internalName="PSB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SBReviewer xmlns="4014f290-5a86-44a6-bf90-5365310a716f">
      <UserInfo>
        <DisplayName/>
        <AccountId xsi:nil="true"/>
        <AccountType/>
      </UserInfo>
    </PSBReview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https://kc1-portal6.sharepoint.com/_cts/Document/2022ReviewerLog.xlsx</xsnLocation>
  <cached>False</cached>
  <openByDefault>False</openByDefault>
  <xsnScope>https://kc1-portal6.sharepoint.com</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6C358-D4EC-44D5-BB7C-F9515269D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11197-5a73-4d86-a206-c117da05ddaa"/>
    <ds:schemaRef ds:uri="4014f290-5a86-44a6-bf90-5365310a7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424D5-96D8-4443-8B32-934DB962FD18}">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4014f290-5a86-44a6-bf90-5365310a716f"/>
    <ds:schemaRef ds:uri="http://schemas.microsoft.com/office/2006/metadata/properties"/>
    <ds:schemaRef ds:uri="cc811197-5a73-4d86-a206-c117da05ddaa"/>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E95A5EBF-764F-46C2-B832-5238D01E9281}">
  <ds:schemaRefs>
    <ds:schemaRef ds:uri="http://schemas.microsoft.com/sharepoint/v3/contenttype/forms"/>
  </ds:schemaRefs>
</ds:datastoreItem>
</file>

<file path=customXml/itemProps4.xml><?xml version="1.0" encoding="utf-8"?>
<ds:datastoreItem xmlns:ds="http://schemas.openxmlformats.org/officeDocument/2006/customXml" ds:itemID="{BD6EB600-B76D-4838-81D7-451321F5ACA8}">
  <ds:schemaRefs>
    <ds:schemaRef ds:uri="http://schemas.microsoft.com/office/2006/metadata/customXsn"/>
  </ds:schemaRefs>
</ds:datastoreItem>
</file>

<file path=customXml/itemProps5.xml><?xml version="1.0" encoding="utf-8"?>
<ds:datastoreItem xmlns:ds="http://schemas.openxmlformats.org/officeDocument/2006/customXml" ds:itemID="{4B90C944-9BB5-44A4-B96D-E78268C9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report</vt:lpstr>
    </vt:vector>
  </TitlesOfParts>
  <Company>King County</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Lewis, Nigel</dc:creator>
  <cp:keywords/>
  <dc:description/>
  <cp:lastModifiedBy>Carroll, Kelli</cp:lastModifiedBy>
  <cp:revision>32</cp:revision>
  <cp:lastPrinted>2020-01-14T22:50:00Z</cp:lastPrinted>
  <dcterms:created xsi:type="dcterms:W3CDTF">2022-02-24T21:35:00Z</dcterms:created>
  <dcterms:modified xsi:type="dcterms:W3CDTF">2022-03-14T20:08:00Z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0x010100D03C1FEDB24A304B88B22491CFC09769003AFEC870DAFA594B9D866D000FDCF172</vt:lpwstr>
  </property>
</Properties>
</file>