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274EB" w14:textId="68D91EE4" w:rsidR="0035581F" w:rsidRDefault="00AB5F82" w:rsidP="00AB5F82">
      <w:r w:rsidRPr="00E47506">
        <w:rPr>
          <w:b/>
          <w:bCs/>
          <w:sz w:val="24"/>
          <w:szCs w:val="24"/>
        </w:rPr>
        <w:t>Proposed Ordinance 2026-0066 Changes by Line Number</w:t>
      </w:r>
    </w:p>
    <w:tbl>
      <w:tblPr>
        <w:tblW w:w="13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55"/>
        <w:gridCol w:w="1419"/>
        <w:gridCol w:w="2264"/>
        <w:gridCol w:w="4505"/>
        <w:gridCol w:w="4506"/>
      </w:tblGrid>
      <w:tr w:rsidR="00165DDB" w:rsidRPr="001D6A4F" w14:paraId="6F3274F2" w14:textId="77777777" w:rsidTr="001D6A4F">
        <w:trPr>
          <w:tblHeader/>
          <w:jc w:val="center"/>
        </w:trPr>
        <w:tc>
          <w:tcPr>
            <w:tcW w:w="1259" w:type="dxa"/>
            <w:tcBorders>
              <w:top w:val="single" w:sz="1" w:space="0" w:color="AAAAAA"/>
              <w:left w:val="single" w:sz="1" w:space="0" w:color="AAAAAA"/>
              <w:bottom w:val="single" w:sz="1" w:space="0" w:color="AAAAAA"/>
              <w:right w:val="single" w:sz="1" w:space="0" w:color="AAAAAA"/>
            </w:tcBorders>
            <w:shd w:val="clear" w:color="auto" w:fill="000000" w:themeFill="text1"/>
            <w:tcMar>
              <w:top w:w="80" w:type="dxa"/>
              <w:left w:w="120" w:type="dxa"/>
              <w:bottom w:w="80" w:type="dxa"/>
              <w:right w:w="120" w:type="dxa"/>
            </w:tcMar>
            <w:vAlign w:val="center"/>
          </w:tcPr>
          <w:p w14:paraId="6F3274ED" w14:textId="75BC46A0" w:rsidR="00165DDB" w:rsidRPr="001D6A4F" w:rsidRDefault="00165DDB" w:rsidP="00AB5F82">
            <w:pPr>
              <w:jc w:val="center"/>
              <w:rPr>
                <w:b/>
                <w:bCs/>
              </w:rPr>
            </w:pPr>
            <w:r w:rsidRPr="001D6A4F">
              <w:rPr>
                <w:b/>
                <w:bCs/>
              </w:rPr>
              <w:t>Line Numbers</w:t>
            </w:r>
          </w:p>
        </w:tc>
        <w:tc>
          <w:tcPr>
            <w:tcW w:w="1267" w:type="dxa"/>
            <w:tcBorders>
              <w:top w:val="single" w:sz="1" w:space="0" w:color="AAAAAA"/>
              <w:left w:val="single" w:sz="1" w:space="0" w:color="AAAAAA"/>
              <w:bottom w:val="single" w:sz="1" w:space="0" w:color="AAAAAA"/>
              <w:right w:val="single" w:sz="1" w:space="0" w:color="AAAAAA"/>
            </w:tcBorders>
            <w:shd w:val="clear" w:color="auto" w:fill="000000" w:themeFill="text1"/>
            <w:tcMar>
              <w:top w:w="80" w:type="dxa"/>
              <w:left w:w="120" w:type="dxa"/>
              <w:bottom w:w="80" w:type="dxa"/>
              <w:right w:w="120" w:type="dxa"/>
            </w:tcMar>
            <w:vAlign w:val="center"/>
          </w:tcPr>
          <w:p w14:paraId="6F3274EE" w14:textId="77777777" w:rsidR="00165DDB" w:rsidRPr="001D6A4F" w:rsidRDefault="00165DDB" w:rsidP="00AB5F82">
            <w:pPr>
              <w:jc w:val="center"/>
              <w:rPr>
                <w:b/>
                <w:bCs/>
              </w:rPr>
            </w:pPr>
            <w:r w:rsidRPr="001D6A4F">
              <w:rPr>
                <w:b/>
                <w:bCs/>
              </w:rPr>
              <w:t>Change Type</w:t>
            </w:r>
          </w:p>
        </w:tc>
        <w:tc>
          <w:tcPr>
            <w:tcW w:w="2282" w:type="dxa"/>
            <w:tcBorders>
              <w:top w:val="single" w:sz="1" w:space="0" w:color="AAAAAA"/>
              <w:left w:val="single" w:sz="1" w:space="0" w:color="AAAAAA"/>
              <w:bottom w:val="single" w:sz="1" w:space="0" w:color="AAAAAA"/>
              <w:right w:val="single" w:sz="1" w:space="0" w:color="AAAAAA"/>
            </w:tcBorders>
            <w:shd w:val="clear" w:color="auto" w:fill="000000" w:themeFill="text1"/>
            <w:tcMar>
              <w:top w:w="80" w:type="dxa"/>
              <w:left w:w="120" w:type="dxa"/>
              <w:bottom w:w="80" w:type="dxa"/>
              <w:right w:w="120" w:type="dxa"/>
            </w:tcMar>
            <w:vAlign w:val="center"/>
          </w:tcPr>
          <w:p w14:paraId="6F3274EF" w14:textId="77777777" w:rsidR="00165DDB" w:rsidRPr="001D6A4F" w:rsidRDefault="00165DDB" w:rsidP="00AB5F82">
            <w:pPr>
              <w:jc w:val="center"/>
              <w:rPr>
                <w:b/>
                <w:bCs/>
              </w:rPr>
            </w:pPr>
            <w:r w:rsidRPr="001D6A4F">
              <w:rPr>
                <w:b/>
                <w:bCs/>
              </w:rPr>
              <w:t>Description</w:t>
            </w:r>
          </w:p>
        </w:tc>
        <w:tc>
          <w:tcPr>
            <w:tcW w:w="4570" w:type="dxa"/>
            <w:tcBorders>
              <w:top w:val="single" w:sz="1" w:space="0" w:color="AAAAAA"/>
              <w:left w:val="single" w:sz="1" w:space="0" w:color="AAAAAA"/>
              <w:bottom w:val="single" w:sz="1" w:space="0" w:color="AAAAAA"/>
              <w:right w:val="single" w:sz="1" w:space="0" w:color="AAAAAA"/>
            </w:tcBorders>
            <w:shd w:val="clear" w:color="auto" w:fill="000000" w:themeFill="text1"/>
            <w:tcMar>
              <w:top w:w="80" w:type="dxa"/>
              <w:left w:w="120" w:type="dxa"/>
              <w:bottom w:w="80" w:type="dxa"/>
              <w:right w:w="120" w:type="dxa"/>
            </w:tcMar>
            <w:vAlign w:val="center"/>
          </w:tcPr>
          <w:p w14:paraId="6F3274F0" w14:textId="77777777" w:rsidR="00165DDB" w:rsidRPr="001D6A4F" w:rsidRDefault="00165DDB" w:rsidP="00AB5F82">
            <w:pPr>
              <w:jc w:val="center"/>
              <w:rPr>
                <w:b/>
                <w:bCs/>
              </w:rPr>
            </w:pPr>
            <w:r w:rsidRPr="001D6A4F">
              <w:rPr>
                <w:b/>
                <w:bCs/>
              </w:rPr>
              <w:t>Old Text (struck)</w:t>
            </w:r>
          </w:p>
        </w:tc>
        <w:tc>
          <w:tcPr>
            <w:tcW w:w="4571" w:type="dxa"/>
            <w:tcBorders>
              <w:top w:val="single" w:sz="1" w:space="0" w:color="AAAAAA"/>
              <w:left w:val="single" w:sz="1" w:space="0" w:color="AAAAAA"/>
              <w:bottom w:val="single" w:sz="1" w:space="0" w:color="AAAAAA"/>
              <w:right w:val="single" w:sz="1" w:space="0" w:color="AAAAAA"/>
            </w:tcBorders>
            <w:shd w:val="clear" w:color="auto" w:fill="000000" w:themeFill="text1"/>
            <w:tcMar>
              <w:top w:w="80" w:type="dxa"/>
              <w:left w:w="120" w:type="dxa"/>
              <w:bottom w:w="80" w:type="dxa"/>
              <w:right w:w="120" w:type="dxa"/>
            </w:tcMar>
            <w:vAlign w:val="center"/>
          </w:tcPr>
          <w:p w14:paraId="6F3274F1" w14:textId="77777777" w:rsidR="00165DDB" w:rsidRPr="001D6A4F" w:rsidRDefault="00165DDB" w:rsidP="00AB5F82">
            <w:pPr>
              <w:jc w:val="center"/>
              <w:rPr>
                <w:b/>
                <w:bCs/>
              </w:rPr>
            </w:pPr>
            <w:r w:rsidRPr="001D6A4F">
              <w:rPr>
                <w:b/>
                <w:bCs/>
              </w:rPr>
              <w:t>New Text (underlined)</w:t>
            </w:r>
          </w:p>
        </w:tc>
      </w:tr>
      <w:tr w:rsidR="00165DDB" w:rsidRPr="001D6A4F" w14:paraId="6F3274F9"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4F4" w14:textId="29FDDBAD" w:rsidR="00165DDB" w:rsidRPr="001D6A4F" w:rsidRDefault="00F478DC" w:rsidP="00AB5F82">
            <w:r w:rsidRPr="001D6A4F">
              <w:t>Lines 163 to 172</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4F5" w14:textId="77777777" w:rsidR="00165DDB" w:rsidRPr="001D6A4F" w:rsidRDefault="00165DDB">
            <w:r w:rsidRPr="001D6A4F">
              <w:t>Deletion</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4F6" w14:textId="30F118D8" w:rsidR="00165DDB" w:rsidRPr="001D6A4F" w:rsidRDefault="001D7151" w:rsidP="00E415DB">
            <w:r w:rsidRPr="001D6A4F">
              <w:t>E</w:t>
            </w:r>
            <w:r w:rsidR="00165DDB" w:rsidRPr="001D6A4F">
              <w:t xml:space="preserve">xisting/new customer cost-split </w:t>
            </w:r>
            <w:r w:rsidRPr="001D6A4F">
              <w:t>language</w:t>
            </w:r>
            <w:r w:rsidR="00165DDB" w:rsidRPr="001D6A4F">
              <w:t xml:space="preserve"> deleted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4F7" w14:textId="77777777" w:rsidR="00165DDB" w:rsidRPr="001D6A4F" w:rsidRDefault="00165DDB" w:rsidP="00E415DB">
            <w:r w:rsidRPr="001D6A4F">
              <w:t>"Existing and new sewer customers shall each contribute... a. Existing customers shall pay through the monthly sewer rate... b. New customers shall pay costs... growth pay for growth."</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4F8" w14:textId="04424D38" w:rsidR="00165DDB" w:rsidRPr="001D6A4F" w:rsidRDefault="00283DA9" w:rsidP="00E415DB">
            <w:r w:rsidRPr="001D6A4F">
              <w:t>N/A</w:t>
            </w:r>
          </w:p>
        </w:tc>
      </w:tr>
      <w:tr w:rsidR="00165DDB" w:rsidRPr="001D6A4F" w14:paraId="6F327507"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02" w14:textId="1A71A2CF" w:rsidR="00165DDB" w:rsidRPr="001D6A4F" w:rsidRDefault="00771926" w:rsidP="00AB5F82">
            <w:r w:rsidRPr="001D6A4F">
              <w:t>Lines 175 to 179</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03" w14:textId="77777777" w:rsidR="00165DDB" w:rsidRPr="001D6A4F" w:rsidRDefault="00165DDB">
            <w:r w:rsidRPr="001D6A4F">
              <w:t>Replacement</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04" w14:textId="77777777" w:rsidR="00165DDB" w:rsidRPr="001D6A4F" w:rsidRDefault="00165DDB" w:rsidP="00E415DB">
            <w:r w:rsidRPr="001D6A4F">
              <w:t>Sewer rate cost coverage standard broadened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05" w14:textId="34282608" w:rsidR="00165DDB" w:rsidRPr="001D6A4F" w:rsidRDefault="00165DDB" w:rsidP="00E415DB">
            <w:r w:rsidRPr="001D6A4F">
              <w:t>...at a minimum, all</w:t>
            </w:r>
            <w:r w:rsidR="00B9634D" w:rsidRPr="001D6A4F">
              <w:t xml:space="preserve"> </w:t>
            </w:r>
            <w:r w:rsidRPr="001D6A4F">
              <w:t>operation and maintenance and all capital costs incurred to serve existing customers</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06" w14:textId="30E3508F" w:rsidR="00165DDB" w:rsidRPr="001D6A4F" w:rsidRDefault="00165DDB" w:rsidP="00E415DB">
            <w:r w:rsidRPr="001D6A4F">
              <w:t>...the total annual</w:t>
            </w:r>
            <w:r w:rsidR="00CD6A83" w:rsidRPr="001D6A4F">
              <w:t xml:space="preserve"> costs of the system</w:t>
            </w:r>
            <w:r w:rsidRPr="001D6A4F">
              <w:t xml:space="preserve"> after adjusting for other revenue sources such as capacity charge, industrial waste surcharge, interest earnings, and other non-sewer rate revenue</w:t>
            </w:r>
          </w:p>
        </w:tc>
      </w:tr>
      <w:tr w:rsidR="00165DDB" w:rsidRPr="001D6A4F" w14:paraId="6F327515"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0" w14:textId="6FDD8187" w:rsidR="00165DDB" w:rsidRPr="001D6A4F" w:rsidRDefault="0040765B" w:rsidP="00AB5F82">
            <w:r w:rsidRPr="001D6A4F">
              <w:t>Lines 190 to 196</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1" w14:textId="77777777" w:rsidR="00165DDB" w:rsidRPr="001D6A4F" w:rsidRDefault="00165DDB">
            <w:r w:rsidRPr="001D6A4F">
              <w:t>Insertion</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2" w14:textId="7B052AC7" w:rsidR="00165DDB" w:rsidRPr="001D6A4F" w:rsidRDefault="00165DDB" w:rsidP="00E415DB">
            <w:r w:rsidRPr="001D6A4F">
              <w:t>New capacity charge methodology subsection added</w:t>
            </w:r>
            <w:r w:rsidR="006508AD" w:rsidRPr="001D6A4F">
              <w:t>; update provision added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3" w14:textId="64A55C32" w:rsidR="00165DDB" w:rsidRPr="001D6A4F" w:rsidRDefault="00283DA9" w:rsidP="00E415DB">
            <w:r w:rsidRPr="001D6A4F">
              <w:t>N/A</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4" w14:textId="515AD13F" w:rsidR="00165DDB" w:rsidRPr="001D6A4F" w:rsidRDefault="000E375E" w:rsidP="00E415DB">
            <w:r w:rsidRPr="001D6A4F">
              <w:t>The capacity charge shall be set such that each new or expanded connection shall pay an equitable share of the cost of the system, as authorized in RCW 35.58.570.  The capacity charge shall be based upon the planned system capacity and costs provided for in the Regional Wastewater Services Plan adopted by Ordinance 13680.  The King County department of natural resources and parks should update the capacity charge inputs and calculation at least every five years or when substantial system capacity investments are completed or updated.</w:t>
            </w:r>
          </w:p>
        </w:tc>
      </w:tr>
      <w:tr w:rsidR="00165DDB" w:rsidRPr="001D6A4F" w14:paraId="6F32751C"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7" w14:textId="38443562" w:rsidR="00165DDB" w:rsidRPr="001D6A4F" w:rsidRDefault="00AE075D" w:rsidP="00AB5F82">
            <w:r w:rsidRPr="001D6A4F">
              <w:t>Lines 197 to 200</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8" w14:textId="77777777" w:rsidR="00165DDB" w:rsidRPr="001D6A4F" w:rsidRDefault="00165DDB">
            <w:r w:rsidRPr="001D6A4F">
              <w:t>Replacement</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9" w14:textId="77777777" w:rsidR="00165DDB" w:rsidRPr="001D6A4F" w:rsidRDefault="00165DDB" w:rsidP="00E415DB">
            <w:r w:rsidRPr="001D6A4F">
              <w:t>Capacity charge per-RCE unit made explicit; "uniform charge" phrasing revised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A" w14:textId="77777777" w:rsidR="00165DDB" w:rsidRPr="001D6A4F" w:rsidRDefault="00165DDB" w:rsidP="00E415DB">
            <w:r w:rsidRPr="001D6A4F">
              <w:t>amount of the... a uniform charge</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B" w14:textId="5C5D6A9A" w:rsidR="00165DDB" w:rsidRPr="001D6A4F" w:rsidRDefault="00165DDB" w:rsidP="00E415DB">
            <w:r w:rsidRPr="001D6A4F">
              <w:t>per residential customer equivalent... applied uniformly</w:t>
            </w:r>
          </w:p>
        </w:tc>
      </w:tr>
      <w:tr w:rsidR="00165DDB" w:rsidRPr="001D6A4F" w14:paraId="6F327523"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E" w14:textId="47C306C0" w:rsidR="00165DDB" w:rsidRPr="001D6A4F" w:rsidRDefault="007E3FB7" w:rsidP="00AB5F82">
            <w:r w:rsidRPr="001D6A4F">
              <w:t>Lines 202 to 205</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F" w14:textId="77777777" w:rsidR="00165DDB" w:rsidRPr="001D6A4F" w:rsidRDefault="00165DDB">
            <w:r w:rsidRPr="001D6A4F">
              <w:t>Replacement</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0" w14:textId="75AE17EB" w:rsidR="00165DDB" w:rsidRPr="001D6A4F" w:rsidRDefault="00CC4650" w:rsidP="00E415DB">
            <w:r w:rsidRPr="001D6A4F">
              <w:t>I</w:t>
            </w:r>
            <w:r w:rsidR="00165DDB" w:rsidRPr="001D6A4F">
              <w:t xml:space="preserve">nternal policy </w:t>
            </w:r>
            <w:r w:rsidRPr="001D6A4F">
              <w:t>reference</w:t>
            </w:r>
            <w:r w:rsidR="00E41571" w:rsidRPr="001D6A4F">
              <w:t xml:space="preserve"> replaced</w:t>
            </w:r>
            <w:r w:rsidR="00165DDB" w:rsidRPr="001D6A4F">
              <w:t xml:space="preserve"> with cross-reference</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1" w14:textId="77777777" w:rsidR="00165DDB" w:rsidRPr="001D6A4F" w:rsidRDefault="00165DDB" w:rsidP="00E415DB">
            <w:r w:rsidRPr="001D6A4F">
              <w:t>The methodology that shall be applied to set the capacity charge is set forth in FP-15.</w:t>
            </w:r>
            <w:proofErr w:type="gramStart"/>
            <w:r w:rsidRPr="001D6A4F">
              <w:t>3.a.</w:t>
            </w:r>
            <w:proofErr w:type="gramEnd"/>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2" w14:textId="77777777" w:rsidR="00165DDB" w:rsidRPr="001D6A4F" w:rsidRDefault="00165DDB" w:rsidP="00E415DB">
            <w:r w:rsidRPr="001D6A4F">
              <w:t>Capacity charge rate structure and senior resident, low income, and special purpose housing discount rates are governed by KCC 28.84.</w:t>
            </w:r>
            <w:proofErr w:type="gramStart"/>
            <w:r w:rsidRPr="001D6A4F">
              <w:t>050.O.</w:t>
            </w:r>
            <w:proofErr w:type="gramEnd"/>
          </w:p>
        </w:tc>
      </w:tr>
      <w:tr w:rsidR="00165DDB" w:rsidRPr="001D6A4F" w14:paraId="6F32752A"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5" w14:textId="19BDF25B" w:rsidR="00165DDB" w:rsidRPr="001D6A4F" w:rsidRDefault="00373B7E" w:rsidP="00AB5F82">
            <w:r w:rsidRPr="001D6A4F">
              <w:t>Lines 206 to 230</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6" w14:textId="77777777" w:rsidR="00165DDB" w:rsidRPr="001D6A4F" w:rsidRDefault="00165DDB">
            <w:r w:rsidRPr="001D6A4F">
              <w:t>Replacement</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7" w14:textId="33C04284" w:rsidR="00165DDB" w:rsidRPr="001D6A4F" w:rsidRDefault="00C441C7" w:rsidP="00E415DB">
            <w:r w:rsidRPr="001D6A4F">
              <w:t xml:space="preserve">System cost definition </w:t>
            </w:r>
            <w:r w:rsidR="00BA7475" w:rsidRPr="001D6A4F">
              <w:t>removed</w:t>
            </w:r>
            <w:r w:rsidR="00B82C59" w:rsidRPr="001D6A4F">
              <w:t xml:space="preserve"> and f</w:t>
            </w:r>
            <w:r w:rsidR="00165DDB" w:rsidRPr="001D6A4F">
              <w:t>ormula replaced with simplified unit-rate approach</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9428401" w14:textId="72D50AA5" w:rsidR="001D1348" w:rsidRPr="001D6A4F" w:rsidRDefault="001D1348" w:rsidP="00E415DB">
            <w:r w:rsidRPr="001D6A4F">
              <w:t>...</w:t>
            </w:r>
            <w:r w:rsidRPr="001D1348">
              <w:t xml:space="preserve">shall be based on allocating the total cost of the wastewater system (net of grants and other </w:t>
            </w:r>
            <w:proofErr w:type="spellStart"/>
            <w:r w:rsidRPr="001D1348">
              <w:t>non rate</w:t>
            </w:r>
            <w:proofErr w:type="spellEnd"/>
            <w:r w:rsidRPr="001D1348">
              <w:t xml:space="preserve"> revenues) to existing and new customers as prescribed in this subsection.  The total system cost includes the costs to </w:t>
            </w:r>
            <w:r w:rsidRPr="001D1348">
              <w:lastRenderedPageBreak/>
              <w:t>operate, maintain, and expand the wastewater system over the life of the RWSP.  Total estimated revenues from the uniform monthly rate from all customers and capacity charge payments from new customers, together with estimated non rate revenues, shall equal the estimated total system costs.  The capacity charge calculation is represented as follows:</w:t>
            </w:r>
          </w:p>
          <w:p w14:paraId="0C19026F" w14:textId="77777777" w:rsidR="001D1348" w:rsidRPr="001D6A4F" w:rsidRDefault="001D1348" w:rsidP="00E415DB"/>
          <w:p w14:paraId="6F327528" w14:textId="67CF05A9" w:rsidR="00165DDB" w:rsidRPr="001D6A4F" w:rsidRDefault="00165DDB" w:rsidP="00E415DB">
            <w:r w:rsidRPr="001D6A4F">
              <w:t>Capacity Charge = [Total system costs - rate revenue from existing customers - rate revenue from new customers] / Number of new customers (plus sub-parts (1)(2)(3))</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9" w14:textId="42780EF9" w:rsidR="00165DDB" w:rsidRPr="001D6A4F" w:rsidRDefault="00C0769A" w:rsidP="00E415DB">
            <w:r w:rsidRPr="001D6A4F">
              <w:lastRenderedPageBreak/>
              <w:t xml:space="preserve">calculation shall determine </w:t>
            </w:r>
            <w:proofErr w:type="gramStart"/>
            <w:r w:rsidRPr="001D6A4F">
              <w:t>a cost</w:t>
            </w:r>
            <w:proofErr w:type="gramEnd"/>
            <w:r w:rsidRPr="001D6A4F">
              <w:t xml:space="preserve"> per unit by dividing eligible system facility costs by the applicable system capacity. This calculation shall continue to be based on an accepted industry approach that produces a transparent </w:t>
            </w:r>
            <w:r w:rsidRPr="001D6A4F">
              <w:lastRenderedPageBreak/>
              <w:t>charge and aligns with the principle of growth pays for growth.</w:t>
            </w:r>
          </w:p>
        </w:tc>
      </w:tr>
      <w:tr w:rsidR="00165DDB" w:rsidRPr="001D6A4F" w14:paraId="6F327531"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C" w14:textId="53002CCA" w:rsidR="00165DDB" w:rsidRPr="001D6A4F" w:rsidRDefault="00357E07" w:rsidP="00AB5F82">
            <w:r w:rsidRPr="001D6A4F">
              <w:lastRenderedPageBreak/>
              <w:t>Lines 234 to 237</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D" w14:textId="5B46C8E8" w:rsidR="00165DDB" w:rsidRPr="001D6A4F" w:rsidRDefault="005C6C34">
            <w:r w:rsidRPr="001D6A4F">
              <w:t>D</w:t>
            </w:r>
            <w:r w:rsidR="00165DDB" w:rsidRPr="001D6A4F">
              <w:t>eletion</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E" w14:textId="6E28B5F3" w:rsidR="00165DDB" w:rsidRPr="001D6A4F" w:rsidRDefault="00542009" w:rsidP="00E415DB">
            <w:r w:rsidRPr="001D6A4F">
              <w:t>E</w:t>
            </w:r>
            <w:r w:rsidR="00165DDB" w:rsidRPr="001D6A4F">
              <w:t>xecutive ordinance-transmittal sentences deleted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F" w14:textId="75720FC0" w:rsidR="00165DDB" w:rsidRPr="001D6A4F" w:rsidRDefault="00283DA9" w:rsidP="00E415DB">
            <w:r w:rsidRPr="001D6A4F">
              <w:t xml:space="preserve">The executive shall </w:t>
            </w:r>
            <w:proofErr w:type="gramStart"/>
            <w:r w:rsidRPr="001D6A4F">
              <w:t>transmit</w:t>
            </w:r>
            <w:proofErr w:type="gramEnd"/>
            <w:r w:rsidRPr="001D6A4F">
              <w:t xml:space="preserve"> </w:t>
            </w:r>
            <w:proofErr w:type="gramStart"/>
            <w:r w:rsidRPr="001D6A4F">
              <w:t>for council adoption an ordinance</w:t>
            </w:r>
            <w:proofErr w:type="gramEnd"/>
            <w:r w:rsidRPr="001D6A4F">
              <w:t xml:space="preserve"> to adjust the discount rate for lump sum payment.  The executive shall also transmit for council adoption an ordinance to adjust the monthly capacity charge to reflect the county's average cost of money if the capacity charge is paid </w:t>
            </w:r>
            <w:proofErr w:type="gramStart"/>
            <w:r w:rsidRPr="001D6A4F">
              <w:t>over time</w:t>
            </w:r>
            <w:proofErr w:type="gramEnd"/>
            <w:r w:rsidRPr="001D6A4F">
              <w:t>.</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0" w14:textId="340CCCCD" w:rsidR="00165DDB" w:rsidRPr="001D6A4F" w:rsidRDefault="00283DA9" w:rsidP="00E415DB">
            <w:r w:rsidRPr="001D6A4F">
              <w:t>N/A</w:t>
            </w:r>
          </w:p>
        </w:tc>
      </w:tr>
      <w:tr w:rsidR="00165DDB" w:rsidRPr="001D6A4F" w14:paraId="6F32753F"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A" w14:textId="419A99D7" w:rsidR="00165DDB" w:rsidRPr="001D6A4F" w:rsidRDefault="00217EB6" w:rsidP="00AB5F82">
            <w:r w:rsidRPr="001D6A4F">
              <w:t>Lines 240 to 250</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B" w14:textId="77777777" w:rsidR="00165DDB" w:rsidRPr="001D6A4F" w:rsidRDefault="00165DDB">
            <w:r w:rsidRPr="001D6A4F">
              <w:t>Deletion</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C" w14:textId="77777777" w:rsidR="00165DDB" w:rsidRPr="001D6A4F" w:rsidRDefault="00165DDB" w:rsidP="00E415DB">
            <w:r w:rsidRPr="001D6A4F">
              <w:t>RWSP-based formula and triennial update requirement (2003 baseline; 2021/2024 transition) deleted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D" w14:textId="100570EA" w:rsidR="00165DDB" w:rsidRPr="001D6A4F" w:rsidRDefault="000B4914" w:rsidP="00E415DB">
            <w:r w:rsidRPr="000B4914">
              <w:t xml:space="preserve">The capacity charge shall be set such that each new customer </w:t>
            </w:r>
            <w:proofErr w:type="gramStart"/>
            <w:r w:rsidRPr="000B4914">
              <w:t>shall</w:t>
            </w:r>
            <w:proofErr w:type="gramEnd"/>
            <w:r w:rsidRPr="000B4914">
              <w:t xml:space="preserve"> pay an equal share of the costs of facilities allocated to new customers, regardless of what year the customer </w:t>
            </w:r>
            <w:proofErr w:type="gramStart"/>
            <w:r w:rsidRPr="000B4914">
              <w:t>connects to</w:t>
            </w:r>
            <w:proofErr w:type="gramEnd"/>
            <w:r w:rsidRPr="000B4914">
              <w:t xml:space="preserve"> the system.  The capacity charge shall be based upon the costs, customer growth, and related financial assumptions used for the Regional Wastewater Services Plan adopted by Ordinance 13680 as such assumptions may be updated.  Customer growth and projected costs, including inflation, shall be updated every three years beginning in 2003.  For only the update of customer growth and projected costs scheduled for 2021 and anticipated for transmittal to the council with the proposed sewer rate in 2022, the update shall be deferred until the next annual sewer and capacity charge rate proposal following council approval of the Clean Water Plan as an update to the RWSP or 2024, whichever occurs earlier.</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E" w14:textId="62C042EC" w:rsidR="00165DDB" w:rsidRPr="001D6A4F" w:rsidRDefault="00283DA9" w:rsidP="00E415DB">
            <w:r w:rsidRPr="001D6A4F">
              <w:t>N/A</w:t>
            </w:r>
          </w:p>
        </w:tc>
      </w:tr>
      <w:tr w:rsidR="00165DDB" w:rsidRPr="001D6A4F" w14:paraId="6F327546"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41" w14:textId="763F8971" w:rsidR="00165DDB" w:rsidRPr="001D6A4F" w:rsidRDefault="00217EB6" w:rsidP="00AB5F82">
            <w:r w:rsidRPr="001D6A4F">
              <w:lastRenderedPageBreak/>
              <w:t>Lines 251 to 252</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42" w14:textId="77777777" w:rsidR="00165DDB" w:rsidRPr="001D6A4F" w:rsidRDefault="00165DDB">
            <w:r w:rsidRPr="001D6A4F">
              <w:t>Deletion</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43" w14:textId="77777777" w:rsidR="00165DDB" w:rsidRPr="001D6A4F" w:rsidRDefault="00165DDB" w:rsidP="00E415DB">
            <w:r w:rsidRPr="001D6A4F">
              <w:t>Periodic review provision deleted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44" w14:textId="77777777" w:rsidR="00165DDB" w:rsidRPr="001D6A4F" w:rsidRDefault="00165DDB" w:rsidP="00E415DB">
            <w:r w:rsidRPr="001D6A4F">
              <w:t>The county should periodically review the capacity charge to ensure that the actual costs of system expansion to serve new customers are reflected in the charge.</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45" w14:textId="60D408A5" w:rsidR="00165DDB" w:rsidRPr="001D6A4F" w:rsidRDefault="00283DA9" w:rsidP="00E415DB">
            <w:r w:rsidRPr="001D6A4F">
              <w:t>N/A</w:t>
            </w:r>
          </w:p>
        </w:tc>
      </w:tr>
    </w:tbl>
    <w:p w14:paraId="6F327586" w14:textId="77777777" w:rsidR="00DF057C" w:rsidRDefault="00DF057C"/>
    <w:sectPr w:rsidR="00DF057C" w:rsidSect="00AB5F82">
      <w:headerReference w:type="default" r:id="rId8"/>
      <w:pgSz w:w="15840" w:h="12240" w:orient="landscape"/>
      <w:pgMar w:top="720" w:right="1080" w:bottom="72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3E11A" w14:textId="77777777" w:rsidR="00F03E4A" w:rsidRDefault="00F03E4A" w:rsidP="00F03E4A">
      <w:r>
        <w:separator/>
      </w:r>
    </w:p>
  </w:endnote>
  <w:endnote w:type="continuationSeparator" w:id="0">
    <w:p w14:paraId="4660D578" w14:textId="77777777" w:rsidR="00F03E4A" w:rsidRDefault="00F03E4A" w:rsidP="00F03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833A9" w14:textId="77777777" w:rsidR="00F03E4A" w:rsidRDefault="00F03E4A" w:rsidP="00F03E4A">
      <w:r>
        <w:separator/>
      </w:r>
    </w:p>
  </w:footnote>
  <w:footnote w:type="continuationSeparator" w:id="0">
    <w:p w14:paraId="09F37104" w14:textId="77777777" w:rsidR="00F03E4A" w:rsidRDefault="00F03E4A" w:rsidP="00F03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265C7" w14:textId="0C53BB7C" w:rsidR="00F03E4A" w:rsidRPr="00F03E4A" w:rsidRDefault="00F03E4A" w:rsidP="00F03E4A">
    <w:pPr>
      <w:pStyle w:val="Header"/>
      <w:jc w:val="right"/>
      <w:rPr>
        <w:rFonts w:ascii="Times New Roman" w:hAnsi="Times New Roman" w:cs="Times New Roman"/>
        <w:sz w:val="24"/>
        <w:szCs w:val="24"/>
      </w:rPr>
    </w:pPr>
    <w:r>
      <w:rPr>
        <w:rFonts w:ascii="Times New Roman" w:hAnsi="Times New Roman" w:cs="Times New Roman"/>
        <w:sz w:val="24"/>
        <w:szCs w:val="24"/>
      </w:rPr>
      <w:t>ATTACHMENT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BB35EA"/>
    <w:multiLevelType w:val="hybridMultilevel"/>
    <w:tmpl w:val="7284C1A2"/>
    <w:lvl w:ilvl="0" w:tplc="EE560858">
      <w:start w:val="1"/>
      <w:numFmt w:val="bullet"/>
      <w:lvlText w:val="●"/>
      <w:lvlJc w:val="left"/>
      <w:pPr>
        <w:ind w:left="720" w:hanging="360"/>
      </w:pPr>
    </w:lvl>
    <w:lvl w:ilvl="1" w:tplc="811EE83A">
      <w:start w:val="1"/>
      <w:numFmt w:val="bullet"/>
      <w:lvlText w:val="○"/>
      <w:lvlJc w:val="left"/>
      <w:pPr>
        <w:ind w:left="1440" w:hanging="360"/>
      </w:pPr>
    </w:lvl>
    <w:lvl w:ilvl="2" w:tplc="7D661B62">
      <w:start w:val="1"/>
      <w:numFmt w:val="bullet"/>
      <w:lvlText w:val="■"/>
      <w:lvlJc w:val="left"/>
      <w:pPr>
        <w:ind w:left="2160" w:hanging="360"/>
      </w:pPr>
    </w:lvl>
    <w:lvl w:ilvl="3" w:tplc="F394FF06">
      <w:start w:val="1"/>
      <w:numFmt w:val="bullet"/>
      <w:lvlText w:val="●"/>
      <w:lvlJc w:val="left"/>
      <w:pPr>
        <w:ind w:left="2880" w:hanging="360"/>
      </w:pPr>
    </w:lvl>
    <w:lvl w:ilvl="4" w:tplc="482AFEB0">
      <w:start w:val="1"/>
      <w:numFmt w:val="bullet"/>
      <w:lvlText w:val="○"/>
      <w:lvlJc w:val="left"/>
      <w:pPr>
        <w:ind w:left="3600" w:hanging="360"/>
      </w:pPr>
    </w:lvl>
    <w:lvl w:ilvl="5" w:tplc="2B082F84">
      <w:start w:val="1"/>
      <w:numFmt w:val="bullet"/>
      <w:lvlText w:val="■"/>
      <w:lvlJc w:val="left"/>
      <w:pPr>
        <w:ind w:left="4320" w:hanging="360"/>
      </w:pPr>
    </w:lvl>
    <w:lvl w:ilvl="6" w:tplc="4F4681C0">
      <w:start w:val="1"/>
      <w:numFmt w:val="bullet"/>
      <w:lvlText w:val="●"/>
      <w:lvlJc w:val="left"/>
      <w:pPr>
        <w:ind w:left="5040" w:hanging="360"/>
      </w:pPr>
    </w:lvl>
    <w:lvl w:ilvl="7" w:tplc="3C7EF754">
      <w:start w:val="1"/>
      <w:numFmt w:val="bullet"/>
      <w:lvlText w:val="●"/>
      <w:lvlJc w:val="left"/>
      <w:pPr>
        <w:ind w:left="5760" w:hanging="360"/>
      </w:pPr>
    </w:lvl>
    <w:lvl w:ilvl="8" w:tplc="0A7CB54C">
      <w:start w:val="1"/>
      <w:numFmt w:val="bullet"/>
      <w:lvlText w:val="●"/>
      <w:lvlJc w:val="left"/>
      <w:pPr>
        <w:ind w:left="6480" w:hanging="360"/>
      </w:pPr>
    </w:lvl>
  </w:abstractNum>
  <w:num w:numId="1" w16cid:durableId="671908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A2sjQytjCwMDY2M7ZQ0lEKTi0uzszPAykwqQUAf+bN5iwAAAA="/>
  </w:docVars>
  <w:rsids>
    <w:rsidRoot w:val="0035581F"/>
    <w:rsid w:val="000058B1"/>
    <w:rsid w:val="00051D12"/>
    <w:rsid w:val="00084541"/>
    <w:rsid w:val="000B4914"/>
    <w:rsid w:val="000C4307"/>
    <w:rsid w:val="000E375E"/>
    <w:rsid w:val="00165DDB"/>
    <w:rsid w:val="0019686A"/>
    <w:rsid w:val="001D1348"/>
    <w:rsid w:val="001D6A4F"/>
    <w:rsid w:val="001D7151"/>
    <w:rsid w:val="00217EB6"/>
    <w:rsid w:val="002411D6"/>
    <w:rsid w:val="00283DA9"/>
    <w:rsid w:val="002962A0"/>
    <w:rsid w:val="002B35B3"/>
    <w:rsid w:val="00316821"/>
    <w:rsid w:val="0035581F"/>
    <w:rsid w:val="00357E07"/>
    <w:rsid w:val="00373B7E"/>
    <w:rsid w:val="0040765B"/>
    <w:rsid w:val="004A68F7"/>
    <w:rsid w:val="00542009"/>
    <w:rsid w:val="005471F0"/>
    <w:rsid w:val="005C6C34"/>
    <w:rsid w:val="005C767D"/>
    <w:rsid w:val="006508AD"/>
    <w:rsid w:val="007151D9"/>
    <w:rsid w:val="00771926"/>
    <w:rsid w:val="00785834"/>
    <w:rsid w:val="007E3FB7"/>
    <w:rsid w:val="00A51D33"/>
    <w:rsid w:val="00AB5F82"/>
    <w:rsid w:val="00AE075D"/>
    <w:rsid w:val="00B01D33"/>
    <w:rsid w:val="00B0626B"/>
    <w:rsid w:val="00B82C59"/>
    <w:rsid w:val="00B87364"/>
    <w:rsid w:val="00B9634D"/>
    <w:rsid w:val="00BA7475"/>
    <w:rsid w:val="00C0769A"/>
    <w:rsid w:val="00C441C7"/>
    <w:rsid w:val="00C76A51"/>
    <w:rsid w:val="00CC28AF"/>
    <w:rsid w:val="00CC4650"/>
    <w:rsid w:val="00CD6A83"/>
    <w:rsid w:val="00D60F98"/>
    <w:rsid w:val="00D65181"/>
    <w:rsid w:val="00DA4DE6"/>
    <w:rsid w:val="00DF057C"/>
    <w:rsid w:val="00E41571"/>
    <w:rsid w:val="00E415DB"/>
    <w:rsid w:val="00E47506"/>
    <w:rsid w:val="00ED308C"/>
    <w:rsid w:val="00ED6884"/>
    <w:rsid w:val="00F03E4A"/>
    <w:rsid w:val="00F478DC"/>
    <w:rsid w:val="00F65EAC"/>
    <w:rsid w:val="00F77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274EA"/>
  <w15:docId w15:val="{7982DAE2-4159-44B6-AB50-BFEDC4057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CommentReference">
    <w:name w:val="annotation reference"/>
    <w:uiPriority w:val="99"/>
    <w:semiHidden/>
    <w:unhideWhenUsed/>
    <w:rsid w:val="000E375E"/>
    <w:rPr>
      <w:sz w:val="16"/>
      <w:szCs w:val="16"/>
    </w:rPr>
  </w:style>
  <w:style w:type="paragraph" w:styleId="CommentText">
    <w:name w:val="annotation text"/>
    <w:basedOn w:val="Normal"/>
    <w:link w:val="CommentTextChar"/>
    <w:uiPriority w:val="99"/>
    <w:semiHidden/>
    <w:unhideWhenUsed/>
    <w:rsid w:val="000E375E"/>
    <w:rPr>
      <w:rFonts w:ascii="Times New Roman" w:eastAsia="Calibri" w:hAnsi="Times New Roman" w:cs="Times New Roman"/>
    </w:rPr>
  </w:style>
  <w:style w:type="character" w:customStyle="1" w:styleId="CommentTextChar">
    <w:name w:val="Comment Text Char"/>
    <w:basedOn w:val="DefaultParagraphFont"/>
    <w:link w:val="CommentText"/>
    <w:uiPriority w:val="99"/>
    <w:semiHidden/>
    <w:rsid w:val="000E375E"/>
    <w:rPr>
      <w:rFonts w:ascii="Times New Roman" w:eastAsia="Calibri" w:hAnsi="Times New Roman" w:cs="Times New Roman"/>
    </w:rPr>
  </w:style>
  <w:style w:type="paragraph" w:styleId="Header">
    <w:name w:val="header"/>
    <w:basedOn w:val="Normal"/>
    <w:link w:val="HeaderChar"/>
    <w:uiPriority w:val="99"/>
    <w:unhideWhenUsed/>
    <w:rsid w:val="00F03E4A"/>
    <w:pPr>
      <w:tabs>
        <w:tab w:val="center" w:pos="4680"/>
        <w:tab w:val="right" w:pos="9360"/>
      </w:tabs>
    </w:pPr>
  </w:style>
  <w:style w:type="character" w:customStyle="1" w:styleId="HeaderChar">
    <w:name w:val="Header Char"/>
    <w:basedOn w:val="DefaultParagraphFont"/>
    <w:link w:val="Header"/>
    <w:uiPriority w:val="99"/>
    <w:rsid w:val="00F03E4A"/>
  </w:style>
  <w:style w:type="paragraph" w:styleId="Footer">
    <w:name w:val="footer"/>
    <w:basedOn w:val="Normal"/>
    <w:link w:val="FooterChar"/>
    <w:uiPriority w:val="99"/>
    <w:unhideWhenUsed/>
    <w:rsid w:val="00F03E4A"/>
    <w:pPr>
      <w:tabs>
        <w:tab w:val="center" w:pos="4680"/>
        <w:tab w:val="right" w:pos="9360"/>
      </w:tabs>
    </w:pPr>
  </w:style>
  <w:style w:type="character" w:customStyle="1" w:styleId="FooterChar">
    <w:name w:val="Footer Char"/>
    <w:basedOn w:val="DefaultParagraphFont"/>
    <w:link w:val="Footer"/>
    <w:uiPriority w:val="99"/>
    <w:rsid w:val="00F03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67358-E3C8-40FC-BC7E-C4E999D3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703</Words>
  <Characters>4013</Characters>
  <Application>Microsoft Office Word</Application>
  <DocSecurity>0</DocSecurity>
  <Lines>33</Lines>
  <Paragraphs>9</Paragraphs>
  <ScaleCrop>false</ScaleCrop>
  <Company>King County</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Steadman, Marka</cp:lastModifiedBy>
  <cp:revision>6</cp:revision>
  <dcterms:created xsi:type="dcterms:W3CDTF">2026-04-21T20:44:00Z</dcterms:created>
  <dcterms:modified xsi:type="dcterms:W3CDTF">2026-05-01T22:03:00Z</dcterms:modified>
</cp:coreProperties>
</file>